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387985</wp:posOffset>
            </wp:positionV>
            <wp:extent cx="4368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68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On March 22, 2021, NN, Inc., a Delaware corporation (the “Company”), completed a private placement of the Company’s newly designated Series D Perpetual Preferred Stock, par value $0.01 per share (the “Series D Preferred Stock”) and warrants (the “Warrant”) to purchase shares of the Company’s common stock, par value $0.01 per share (“Common Stock”) (collectively, the “Financing Transaction”), pursuant to the terms of that certain Securities Purchase Agreement, dated March 22, 2021 (the “Purchase Agreement”), by and between the Company and NHTV Nevada Holdings LP (the “Purchaser”).</w:t>
      </w:r>
    </w:p>
    <w:p>
      <w:pPr>
        <w:spacing w:after="0" w:line="188"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In accordance with the terms and conditions of the Purchase Agreement, the Company sold to the Purchaser 65,000 shares of Series D Preferred Stock, with a liquidation preference of $1,000 per share, together with a Warrant to purchase up to 1,900,000 shares of Common Stock.</w:t>
      </w:r>
    </w:p>
    <w:p>
      <w:pPr>
        <w:spacing w:after="0" w:line="12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the Financing Transaction, the Company received gross proceeds of $65 million, before deducting transaction expenses. The Company used the proceeds from the Financing Transaction and the New Credit Facility (as defined below) to (i) redeem all of the outstanding shares of the Company’s Series B Convertible Preferred Stock, par value $0.01 per share (the “Series B Preferred Stock”), (ii) repay all of the outstanding amounts under the Company’s senior secured revolving credit facility, (iii) prepay the Company’s term loans, (iv) pay any fees, costs and expenses incurred in connection with clauses (ii) and (iii) above, (v) pay any fees and expenses in connection with the transactions contemplated by the Purchase Agreement, and (vi) with respect to any remaining proceeds after giving effect to clauses (i) through (v), for the Company’s working capital and other general corporate purposes.</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Purchase Agreement</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Purchase Agreement contains representations and warranties by the Company and the Purchaser and covenants of the Company and the Purchaser (including indemnification from the Company in the event of breaches of its representations and warranties) and other rights, obligations and restrictions, which the Company believes are customary for transactions of this type.</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i w:val="1"/>
          <w:iCs w:val="1"/>
          <w:color w:val="auto"/>
        </w:rPr>
        <w:t>Additional Agreements</w:t>
      </w:r>
      <w:r>
        <w:rPr>
          <w:rFonts w:ascii="Arial" w:cs="Arial" w:eastAsia="Arial" w:hAnsi="Arial"/>
          <w:sz w:val="18"/>
          <w:szCs w:val="18"/>
          <w:color w:val="auto"/>
        </w:rPr>
        <w:t>: The Purchase Agreement contains additional agreements and covenants between the Company and the Purchaser,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restrictions similar to those in the Certificate of Designation regarding dividends and voting rights.</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foregoing description of the Purchase Agreement has been included to provide investors with information regarding its terms. It is not intended to provide any factual information about the parties to the agreement or the Company’s business.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Certificate of Designation</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In connection with the closing of the Financing Transaction, on March 22, 2021, the Company filed a Certificate of Designation of Series D Perpetual Preferred Stock (the “Certificate of Designation”) with the Secretary of State of the State of Delaware, establishing the rights, preferences, privileges, qualifications, limitations and restrictions relating to the Series D Preferred Stock. The Certificate of Designation became effective with the Secretary of State of the State of Delaware upon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terms of the Series D Preferred Stock set forth in the Certificate of Designation is set forth below.</w:t>
      </w:r>
    </w:p>
    <w:p>
      <w:pPr>
        <w:spacing w:after="0" w:line="24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Security:</w:t>
      </w:r>
      <w:r>
        <w:rPr>
          <w:sz w:val="20"/>
          <w:szCs w:val="20"/>
          <w:color w:val="auto"/>
        </w:rPr>
        <w:tab/>
      </w:r>
      <w:r>
        <w:rPr>
          <w:rFonts w:ascii="Arial" w:cs="Arial" w:eastAsia="Arial" w:hAnsi="Arial"/>
          <w:sz w:val="18"/>
          <w:szCs w:val="18"/>
          <w:color w:val="auto"/>
        </w:rPr>
        <w:t>Series D Perpetual Preferred Stock, par value $0.01 per share.</w:t>
      </w:r>
    </w:p>
    <w:p>
      <w:pPr>
        <w:spacing w:after="0" w:line="225" w:lineRule="exact"/>
        <w:rPr>
          <w:sz w:val="20"/>
          <w:szCs w:val="20"/>
          <w:color w:val="auto"/>
        </w:rPr>
      </w:pPr>
    </w:p>
    <w:p>
      <w:pPr>
        <w:ind w:left="2540" w:right="40" w:hanging="2537"/>
        <w:spacing w:after="0" w:line="273" w:lineRule="auto"/>
        <w:tabs>
          <w:tab w:leader="none" w:pos="2520" w:val="left"/>
        </w:tabs>
        <w:rPr>
          <w:sz w:val="20"/>
          <w:szCs w:val="20"/>
          <w:color w:val="auto"/>
        </w:rPr>
      </w:pPr>
      <w:r>
        <w:rPr>
          <w:rFonts w:ascii="Arial" w:cs="Arial" w:eastAsia="Arial" w:hAnsi="Arial"/>
          <w:sz w:val="18"/>
          <w:szCs w:val="18"/>
          <w:b w:val="1"/>
          <w:bCs w:val="1"/>
          <w:color w:val="auto"/>
        </w:rPr>
        <w:t>Series D Dividend:</w:t>
      </w:r>
      <w:r>
        <w:rPr>
          <w:sz w:val="20"/>
          <w:szCs w:val="20"/>
          <w:color w:val="auto"/>
        </w:rPr>
        <w:tab/>
      </w:r>
      <w:r>
        <w:rPr>
          <w:rFonts w:ascii="Arial" w:cs="Arial" w:eastAsia="Arial" w:hAnsi="Arial"/>
          <w:sz w:val="17"/>
          <w:szCs w:val="17"/>
          <w:color w:val="auto"/>
        </w:rPr>
        <w:t>Cumulative quarterly dividends payable in cash in an amount equal to 10.00% per annum of the Initial Liquidation Preference (as described below) (the “Cash Dividend Rate”); provided that, if no such cash dividend payment is made, the Liquidation Preference (as described below) per share of Series D Preferred Stock shall be increased by an amount equal to 12.00% per annum (the “Preference Accrual Rate”) of the then current Liquidation Preference (the “Liquidation Preference Adjustment”). On March 22, 2026, if any shares of Series D Preferred Stock remain issued and outstanding, the Cash Dividend Rate and the Liquidation</w:t>
      </w:r>
    </w:p>
    <w:p>
      <w:pPr>
        <w:sectPr>
          <w:pgSz w:w="11900" w:h="16838" w:orient="portrait"/>
          <w:cols w:equalWidth="0" w:num="1">
            <w:col w:w="11000"/>
          </w:cols>
          <w:pgMar w:left="440" w:top="297" w:right="459" w:bottom="1440" w:gutter="0" w:footer="0" w:header="0"/>
        </w:sectPr>
      </w:pPr>
    </w:p>
    <w:bookmarkStart w:id="2" w:name="page3"/>
    <w:bookmarkEnd w:id="2"/>
    <w:p>
      <w:pPr>
        <w:ind w:left="2540"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Preference Adjustment, as expressed as a percentage, shall increase by an amount equal to 2.50%, and shall continue to increase by an amount equal to 2.50% on each anniversary date thereafter (such increase on March 22, 2026, and each anniversary thereafter, the “Specified Date Adjustment”). Additionally, each dividend payment beginning on September 30, 2027 and including every such dividend payment date thereafter shall be paid in cash, unless otherwise prohibited by Delaware law or any then effective credit agreement to which the Company is a party.</w:t>
      </w:r>
    </w:p>
    <w:p>
      <w:pPr>
        <w:sectPr>
          <w:pgSz w:w="11900" w:h="16838" w:orient="portrait"/>
          <w:cols w:equalWidth="0" w:num="1">
            <w:col w:w="11000"/>
          </w:cols>
          <w:pgMar w:left="440" w:top="301" w:right="45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may redeem all or a portion of the then outstanding shares of Series D Preferred Stock at a redemption price equal to the Liquidation Preference then in effect (the “Redemption Price”).</w:t>
      </w:r>
    </w:p>
    <w:p>
      <w:pPr>
        <w:spacing w:after="0" w:line="166" w:lineRule="exact"/>
        <w:rPr>
          <w:sz w:val="20"/>
          <w:szCs w:val="20"/>
          <w:color w:val="auto"/>
        </w:rPr>
      </w:pPr>
    </w:p>
    <w:p>
      <w:pPr>
        <w:sectPr>
          <w:pgSz w:w="11900" w:h="16838" w:orient="portrait"/>
          <w:cols w:equalWidth="0" w:num="2">
            <w:col w:w="2180" w:space="360"/>
            <w:col w:w="8460"/>
          </w:cols>
          <w:pgMar w:left="440" w:top="301"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Optional Redemption Upon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If at any time a Change of Control (as defined in the Purchase Agreement) of the Company occurs, each holder may require the Company to redeem all or a portion of such holder’s shares of Series D Preferred Stock for cash at the Redemption Price. Additionally, in the event that a Change of Control of the Company occurs, the Company may redeem all or a portion of the then outstanding shares of Series D Preferred Stock for an amount per share equal to the Redemption Price.</w:t>
      </w:r>
    </w:p>
    <w:p>
      <w:pPr>
        <w:spacing w:after="0" w:line="184" w:lineRule="exact"/>
        <w:rPr>
          <w:sz w:val="20"/>
          <w:szCs w:val="20"/>
          <w:color w:val="auto"/>
        </w:rPr>
      </w:pPr>
    </w:p>
    <w:p>
      <w:pPr>
        <w:sectPr>
          <w:pgSz w:w="11900" w:h="16838" w:orient="portrait"/>
          <w:cols w:equalWidth="0" w:num="2">
            <w:col w:w="2260" w:space="280"/>
            <w:col w:w="8460"/>
          </w:cols>
          <w:pgMar w:left="440" w:top="301"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Non-Convertible: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shares of Series D Preferred Stock shall not be convertible into or exchangeable for shares of Common Stock or any other security.</w:t>
      </w:r>
    </w:p>
    <w:p>
      <w:pPr>
        <w:spacing w:after="0" w:line="166" w:lineRule="exact"/>
        <w:rPr>
          <w:sz w:val="20"/>
          <w:szCs w:val="20"/>
          <w:color w:val="auto"/>
        </w:rPr>
      </w:pPr>
    </w:p>
    <w:p>
      <w:pPr>
        <w:sectPr>
          <w:pgSz w:w="11900" w:h="16838" w:orient="portrait"/>
          <w:cols w:equalWidth="0" w:num="2">
            <w:col w:w="1820" w:space="720"/>
            <w:col w:w="8460"/>
          </w:cols>
          <w:pgMar w:left="440" w:top="301"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Liquidation Preference: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 per share of Series D Preferred Stock.</w:t>
      </w:r>
    </w:p>
    <w:p>
      <w:pPr>
        <w:spacing w:after="0" w:line="200" w:lineRule="exact"/>
        <w:rPr>
          <w:sz w:val="20"/>
          <w:szCs w:val="20"/>
          <w:color w:val="auto"/>
        </w:rPr>
      </w:pPr>
    </w:p>
    <w:p>
      <w:pPr>
        <w:sectPr>
          <w:pgSz w:w="11900" w:h="16838" w:orient="portrait"/>
          <w:cols w:equalWidth="0" w:num="2">
            <w:col w:w="2340" w:space="200"/>
            <w:col w:w="8460"/>
          </w:cols>
          <w:pgMar w:left="440" w:top="301"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Preference: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An amount in cash equal to the greater of (i) the Initial Liquidation Preference as such amount may have been increased for any Liquidation Preference Adjustment and any Specified Date Adjustment, plus, without duplication, all accrued and unpaid distributions, and (ii) an amount equal to 140.00% of the Initial Liquidation Preference.</w:t>
      </w:r>
    </w:p>
    <w:p>
      <w:pPr>
        <w:spacing w:after="0" w:line="145" w:lineRule="exact"/>
        <w:rPr>
          <w:sz w:val="20"/>
          <w:szCs w:val="20"/>
          <w:color w:val="auto"/>
        </w:rPr>
      </w:pPr>
    </w:p>
    <w:p>
      <w:pPr>
        <w:sectPr>
          <w:pgSz w:w="11900" w:h="16838" w:orient="portrait"/>
          <w:cols w:equalWidth="0" w:num="2">
            <w:col w:w="1840" w:space="700"/>
            <w:col w:w="8460"/>
          </w:cols>
          <w:pgMar w:left="440" w:top="301"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Liquidation Value:</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In the event of a liquidation, holders of Series D Preferred Stock will be entitled to receive, out of assets of the Company available for distribution to stockholders of the Company or their assignees, and subject to the rights of any outstanding shares of Senior Securities (as defined in the Certificate of Designation) and before any amount shall be distributed to the holders of Junior Securities (as defined in the Certificate of Designation), a liquidating distribution in an amount equal to the Liquidation Preference.</w:t>
      </w:r>
    </w:p>
    <w:p>
      <w:pPr>
        <w:spacing w:after="0" w:line="184" w:lineRule="exact"/>
        <w:rPr>
          <w:sz w:val="20"/>
          <w:szCs w:val="20"/>
          <w:color w:val="auto"/>
        </w:rPr>
      </w:pPr>
    </w:p>
    <w:p>
      <w:pPr>
        <w:sectPr>
          <w:pgSz w:w="11900" w:h="16838" w:orient="portrait"/>
          <w:cols w:equalWidth="0" w:num="2">
            <w:col w:w="1820" w:space="720"/>
            <w:col w:w="8460"/>
          </w:cols>
          <w:pgMar w:left="440" w:top="301" w:right="45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Holders of the Series D Preferred Stock shall not have any voting rights, other than a consent right with respect to:</w:t>
      </w:r>
    </w:p>
    <w:p>
      <w:pPr>
        <w:spacing w:after="0" w:line="27" w:lineRule="exact"/>
        <w:rPr>
          <w:sz w:val="20"/>
          <w:szCs w:val="20"/>
          <w:color w:val="auto"/>
        </w:rPr>
      </w:pPr>
    </w:p>
    <w:p>
      <w:pPr>
        <w:ind w:left="2540" w:hanging="6"/>
        <w:spacing w:after="0" w:line="266" w:lineRule="auto"/>
        <w:tabs>
          <w:tab w:leader="none" w:pos="27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amendment or waiver (whether by merger, consolidation or otherwise) of the organizational documents of the Company or any of its subsidiaries, in either case, in a way that materially and adversely affects the rights, preferences and privileges or power of the Series D Preferred Stock; (ii) the authorization, creation or issuance of any additional shares of Series D Preferred Stock, Parity Securities (as defined in the Certificate of Designation) or Senior Securities or any other class or series of capital stock of the Company ranking senior to, or on a parity basis with, the Series D Preferred Stock as to dividend rights or rights on the distribution of assets on any voluntary or involuntary liquidation, dissolution or winding up of the affairs of the Company; (iii) the declaration or payment of any dividend or distribution on, or redemption or repurchase of, any issued and outstanding shares of Common Stock or other Junior Securities; provided that the Company may (a) acquire shares of Common Stock or Junior Securities in connection with any employment contract, benefit plan or other similar arrangement with or for the benefit of present or former employees or directors of the Company and its Subsidiaries for the purposes of satisfying applicable taxes or netting of applicable exercise price or otherwise as required by any such plan, agreement or arrangement; and (b) acquire Junior Securities as a result of an exchange or conversion of such shares of Junior Securities for any other shares of Junior Securities and purchase any fractional shares of Junior Securities in connection therewith; (iv) the incurrence of any additional Indebtedness (as defined in the Certificate of Designation) other than (a) any Indebtedness that would be</w:t>
      </w:r>
    </w:p>
    <w:p>
      <w:pPr>
        <w:sectPr>
          <w:pgSz w:w="11900" w:h="16838" w:orient="portrait"/>
          <w:cols w:equalWidth="0" w:num="1">
            <w:col w:w="11000"/>
          </w:cols>
          <w:pgMar w:left="440" w:top="301" w:right="459" w:bottom="1440" w:gutter="0" w:footer="0" w:header="0"/>
          <w:type w:val="continuous"/>
        </w:sectPr>
      </w:pPr>
    </w:p>
    <w:bookmarkStart w:id="3" w:name="page4"/>
    <w:bookmarkEnd w:id="3"/>
    <w:p>
      <w:pPr>
        <w:jc w:val="both"/>
        <w:ind w:left="2540"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permitted to be incurred under the Term Loan Facility or the ABL Facility, (b) without duplication of the foregoing, any Indebtedness incurred to refinance or replace Indebtedness outstanding on the Issuance Date (as defined in the Certificate of Designation) (including successive refinancings or replacements), in an aggregate principal amount at maturity not to exceed the sum of (1) the principal amount at maturity of the Indebtedness being refinanced,</w:t>
      </w:r>
    </w:p>
    <w:p>
      <w:pPr>
        <w:spacing w:after="0" w:line="1" w:lineRule="exact"/>
        <w:rPr>
          <w:sz w:val="20"/>
          <w:szCs w:val="20"/>
          <w:color w:val="auto"/>
        </w:rPr>
      </w:pPr>
    </w:p>
    <w:p>
      <w:pPr>
        <w:ind w:left="2540" w:right="240" w:hanging="6"/>
        <w:spacing w:after="0" w:line="281" w:lineRule="auto"/>
        <w:tabs>
          <w:tab w:leader="none" w:pos="279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accrued and unpaid interest on the Indebtedness being refinanced, (3) premiums, fees and expenses payable in connection with the repayment of such and provided that after such incurrence the Company and its subsidiaries would not have a Consolidated Net Leverage Ratio (as defined in the Certificate of Designation) greater than</w:t>
      </w:r>
    </w:p>
    <w:p>
      <w:pPr>
        <w:spacing w:after="0" w:line="1" w:lineRule="exact"/>
        <w:rPr>
          <w:rFonts w:ascii="Arial" w:cs="Arial" w:eastAsia="Arial" w:hAnsi="Arial"/>
          <w:sz w:val="16"/>
          <w:szCs w:val="16"/>
          <w:color w:val="auto"/>
        </w:rPr>
      </w:pPr>
    </w:p>
    <w:p>
      <w:pPr>
        <w:ind w:left="2540"/>
        <w:spacing w:after="0" w:line="268" w:lineRule="auto"/>
        <w:rPr>
          <w:rFonts w:ascii="Arial" w:cs="Arial" w:eastAsia="Arial" w:hAnsi="Arial"/>
          <w:sz w:val="16"/>
          <w:szCs w:val="16"/>
          <w:color w:val="auto"/>
        </w:rPr>
      </w:pPr>
      <w:r>
        <w:rPr>
          <w:rFonts w:ascii="Arial" w:cs="Arial" w:eastAsia="Arial" w:hAnsi="Arial"/>
          <w:sz w:val="17"/>
          <w:szCs w:val="17"/>
          <w:color w:val="auto"/>
        </w:rPr>
        <w:t>3.50:1.00, and (c) any Indebtedness, the net proceeds of which are contemporaneously used to redeem outstanding shares of Series D Preferred Stock; (v) the making of any Dispositions (as defined in the Certificate of Designation), unless (a) such Dispositions are otherwise permitted under the Term Loan Facility and the ABL Facility and (b) the Company uses the Net Cash Proceeds (as defined in the Certificate of Designation) from such Disposition to permanently repay Indebtedness and extinguish all commitments for the Indebtedness and, insofar as there are any remaining Net Cash Proceeds from Dispositions after repayment and extinguishment of all such Indebtedness in excess of $25.0 million, such excess is applied to redeem shares of Series D Preferred Stock; (vi) any voluntary Liquidation (as defined in the Certificate of Designation) or bankruptcy filing; and (vii) any agreement to take any of the foregoing actions.</w:t>
      </w:r>
    </w:p>
    <w:p>
      <w:pPr>
        <w:spacing w:after="0" w:line="195" w:lineRule="exact"/>
        <w:rPr>
          <w:sz w:val="20"/>
          <w:szCs w:val="20"/>
          <w:color w:val="auto"/>
        </w:rPr>
      </w:pPr>
    </w:p>
    <w:p>
      <w:pPr>
        <w:ind w:left="2540" w:right="40"/>
        <w:spacing w:after="0" w:line="290" w:lineRule="auto"/>
        <w:rPr>
          <w:sz w:val="20"/>
          <w:szCs w:val="20"/>
          <w:color w:val="auto"/>
        </w:rPr>
      </w:pPr>
      <w:r>
        <w:rPr>
          <w:rFonts w:ascii="Arial" w:cs="Arial" w:eastAsia="Arial" w:hAnsi="Arial"/>
          <w:sz w:val="16"/>
          <w:szCs w:val="16"/>
          <w:color w:val="auto"/>
        </w:rPr>
        <w:t>In the event of a breach of any consent rights described above: (a) the Company shall be required to give prompt notice of such breach to the holders of Series D Preferred Stock; (b) the then effective Cash Dividend Rate and Preference Accrual Rate shall each increase by an amount equal to 4.00% per annum above the amount otherwise applicable under the Certificate of Designation (and subject to additional increases pursuant to the terms thereof) from the date such breach first occurred until the date (if any) that the Company shall have remedied such breach; and (c) in the event that the Company shall not have cured such breach within thirty (30) days of the first occurrence of the breach, each holder of Series D Preferred Stock shall have the right to require the redemption of, and the Company shall be required to redeem, any or all of its shares of Series D Preferred Stock.</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Warrant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Warrant issued at the closing is exercisable, in full or in part, at any time prior to the sixth (6th) anniversary of its issuance, at an exercise price of $0.01 per share, subject to customary anti-dilution adjustments in the event of certain future equity issuances, future subdivisions (by any stock split, recapitalization or otherwise), combinations or similar events, any capital reorganization, reclassification, consolidation or merger, sale of substantially all of the Company’s assets, or other similar transaction of the Company as set forth in the Warrant. The Warrant may be exercised for cash in an amount equal to the aggregate exercise price, or in lieu of paying the aggregate exercise price, the holder of the Warrant may elect a cashless exercise in accordance with the terms of the Warrant.</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Unless and until any necessary stockholder approval is obtained, the Purchaser shall not have the right to acquire shares of Common Stock in a manner that would violate Nasdaq Listing Rule 5635(b). In addition, certain other ownership limitations apply to the holder of a Warrant. In connection with a Change of Control transaction, any unexercised shares of Common Stock underlying the Warrant will be, under certain circumstances, deemed to have been exercised on a cashless basis. Prior to the issuance of shares of Common Stock upon exercise of the Warrant, the Warrant holder is not entitled to vote or receive dividends or be deemed the holder of shares of Common Stock.</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Board Observer Agreement</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In connection with the closing of the Financing Transaction, on March 22, 2021, the Company entered into that certain Board Observer Agreement (the “Board Observer Agreement”) with the Purchaser. The Board Observer Agreement provides that the Purchaser will have the right to designate a representative to serve as an observer (the “Observer”). The Observer will have the right to attend and observe meetings of the Board, including any meetings of the committees of the Board, subject to certain exceptions. The Purchaser’s rights under the Board Observer Agreement will terminate upon the date that the Purchaser no longer beneficially owns at least one third (1/3) of the outstanding shares of Series D Preferred Stock.</w:t>
      </w:r>
    </w:p>
    <w:p>
      <w:pPr>
        <w:sectPr>
          <w:pgSz w:w="11900" w:h="16838" w:orient="portrait"/>
          <w:cols w:equalWidth="0" w:num="1">
            <w:col w:w="10960"/>
          </w:cols>
          <w:pgMar w:left="440" w:top="301" w:right="49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New Credit Facility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On March 22, 2021, the Company closed on a term loan facility (the “Term Loan Facility”). The Term Loan Facility is governed by a Term Loan Credit Agreement (the “Term Loan Credit Agreement”) by and among the Company, the lenders party thereto from time to time, and Oaktree Fund Administration, LLC, as administrative agent for the lenders. The Company intends to use the proceeds from the Term Loan Facility to repay all of its outstanding obligations under its Existing Credit Agreement (as defined below).</w:t>
      </w:r>
    </w:p>
    <w:p>
      <w:pPr>
        <w:spacing w:after="0" w:line="18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i w:val="1"/>
          <w:iCs w:val="1"/>
          <w:color w:val="auto"/>
        </w:rPr>
        <w:t>Amount and Interest</w:t>
      </w:r>
      <w:r>
        <w:rPr>
          <w:rFonts w:ascii="Arial" w:cs="Arial" w:eastAsia="Arial" w:hAnsi="Arial"/>
          <w:sz w:val="16"/>
          <w:szCs w:val="16"/>
          <w:color w:val="auto"/>
        </w:rPr>
        <w:t>. The Term Loan Credit Agreement provides for a senior secured term loan in the aggregate amount of $150.00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bears interest at (at the Company’s election) either (a) 5.875% per annum plus the greatest of (i) the published prime commercial lending rate,</w:t>
      </w:r>
    </w:p>
    <w:p>
      <w:pPr>
        <w:ind w:left="4" w:hanging="4"/>
        <w:spacing w:after="0" w:line="281"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Federal Funds Rate, as in effect from time to time (which in no event shall be less than zero), plus 0.50% per annum</w:t>
      </w:r>
      <w:r>
        <w:rPr>
          <w:rFonts w:ascii="Arial" w:cs="Arial" w:eastAsia="Arial" w:hAnsi="Arial"/>
          <w:sz w:val="16"/>
          <w:szCs w:val="16"/>
          <w:i w:val="1"/>
          <w:iCs w:val="1"/>
          <w:color w:val="auto"/>
        </w:rPr>
        <w:t>,</w:t>
      </w:r>
      <w:r>
        <w:rPr>
          <w:rFonts w:ascii="Arial" w:cs="Arial" w:eastAsia="Arial" w:hAnsi="Arial"/>
          <w:sz w:val="16"/>
          <w:szCs w:val="16"/>
          <w:color w:val="auto"/>
        </w:rPr>
        <w:t xml:space="preserve"> and (iii) the Eurodollar Rate (as defined in the Term Loan Credit Agreement) determined on a daily basis for an interest period of one (1) month, plus 1.00% per annum or (b)</w:t>
      </w:r>
    </w:p>
    <w:p>
      <w:pPr>
        <w:spacing w:after="0" w:line="1" w:lineRule="exact"/>
        <w:rPr>
          <w:rFonts w:ascii="Arial" w:cs="Arial" w:eastAsia="Arial" w:hAnsi="Arial"/>
          <w:sz w:val="16"/>
          <w:szCs w:val="16"/>
          <w:color w:val="auto"/>
        </w:rPr>
      </w:pPr>
    </w:p>
    <w:p>
      <w:pPr>
        <w:ind w:left="4" w:right="60"/>
        <w:spacing w:after="0" w:line="252" w:lineRule="auto"/>
        <w:rPr>
          <w:rFonts w:ascii="Arial" w:cs="Arial" w:eastAsia="Arial" w:hAnsi="Arial"/>
          <w:sz w:val="16"/>
          <w:szCs w:val="16"/>
          <w:color w:val="auto"/>
        </w:rPr>
      </w:pPr>
      <w:r>
        <w:rPr>
          <w:rFonts w:ascii="Arial" w:cs="Arial" w:eastAsia="Arial" w:hAnsi="Arial"/>
          <w:sz w:val="18"/>
          <w:szCs w:val="18"/>
          <w:color w:val="auto"/>
        </w:rPr>
        <w:t>6.875% per annum plus the greater of (i) the Eurodollar Rate for the applicable interest period multiplied by the statutory reserve rate and (ii) 1.00%. If the Eurodollar Rate for the applicable interest period is less than 1.00%, such rate shall be deemed to be 1.00% for purposes of calculating the foregoing interest rates in the Term Loan Credit Agreement. The Term Loan Credit Agreement also allows the Company to request the establishment of one or more additional term loan commitments subject to specified terms and conditions, so long as (A) for incremental term loans secured by a lien on the Collateral (as defined in the Term Loan Credit Agreement) the Consolidated Secured Net Leverage Ratio (as defined in the Term Loan Credit Agreement) is not greater than 3.75 to 1.00 and (B) for unsecured incremental term loans the Consolidated Net Leverage Ratio (as defined in the Term Loan Credit Agreement) is not greater than 3.75 to 1.00.</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final maturity date of the Term Loan Credit Agreement is September 22, 2026.</w:t>
      </w:r>
    </w:p>
    <w:p>
      <w:pPr>
        <w:spacing w:after="0" w:line="225"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i w:val="1"/>
          <w:iCs w:val="1"/>
          <w:color w:val="auto"/>
        </w:rPr>
        <w:t xml:space="preserve">Prepayment. </w:t>
      </w:r>
      <w:r>
        <w:rPr>
          <w:rFonts w:ascii="Arial" w:cs="Arial" w:eastAsia="Arial" w:hAnsi="Arial"/>
          <w:sz w:val="16"/>
          <w:szCs w:val="16"/>
          <w:color w:val="auto"/>
        </w:rPr>
        <w:t>The Company may voluntarily prepay outstanding loans under the Term Loan Facility, in whole or in part without premium or</w:t>
      </w:r>
      <w:r>
        <w:rPr>
          <w:rFonts w:ascii="Arial" w:cs="Arial" w:eastAsia="Arial" w:hAnsi="Arial"/>
          <w:sz w:val="16"/>
          <w:szCs w:val="16"/>
          <w:i w:val="1"/>
          <w:iCs w:val="1"/>
          <w:color w:val="auto"/>
        </w:rPr>
        <w:t xml:space="preserve"> </w:t>
      </w:r>
      <w:r>
        <w:rPr>
          <w:rFonts w:ascii="Arial" w:cs="Arial" w:eastAsia="Arial" w:hAnsi="Arial"/>
          <w:sz w:val="16"/>
          <w:szCs w:val="16"/>
          <w:color w:val="auto"/>
        </w:rPr>
        <w:t>penalty at any time following the third anniversary of the Closing Date (as defined in the Term Loan Credit Agreement). Prior to the first anniversary of the Closing Date, the Company will be subject to a prepayment premium equal to the then-present value of (i) 2.00% of the outstanding principal amount of the term loans so prepaid, plus (ii) all remaining unaccrued scheduled interest payments due on such term loans through the first anniversary of the Closing Date, computed using a discount rate equal to the Treasury Rate (as defined in the Term Loan Credit Agreement) plus 50 basis points. The Company may be subject to a prepayment penalty of 2.00% of the amount of such loans that it prepays following the first anniversary of the Closing Date but prior to the second anniversary of the Closing Date. If the Company prepays any outstanding loans following the second anniversary of the Closing Date but prior to its third anniversary, the Company may be subject to a prepayment penalty of 1.00% of the amount prepaid. The Term Loan Credit Agreement requires the Company to prepay outstanding loans, subject to certain exceptions, with: (i) a variable percentage of excess cash flow; (ii) 100% of the net cash proceeds of non-ordinary course asset sales or other dispositions of property by the Company or any of its subsidiaries, and 100% of the net cash proceeds from certain insurance and condemnation events with respect to the Company’s or any of its subsidiaries’ assets, in each case subject to customary thresholds and reinvestment rights; and (iii) 100% of the net cash proceeds from the issuance or incurrence of debt obligations for borrowed money not permitted by the Term Loan Credit Agreement by the Company or any of its subsidiaries.</w:t>
      </w:r>
    </w:p>
    <w:p>
      <w:pPr>
        <w:spacing w:after="0" w:line="174"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i w:val="1"/>
          <w:iCs w:val="1"/>
          <w:color w:val="auto"/>
        </w:rPr>
        <w:t>Financial Covenant</w:t>
      </w:r>
      <w:r>
        <w:rPr>
          <w:rFonts w:ascii="Arial" w:cs="Arial" w:eastAsia="Arial" w:hAnsi="Arial"/>
          <w:sz w:val="17"/>
          <w:szCs w:val="17"/>
          <w:color w:val="auto"/>
        </w:rPr>
        <w:t>. As of the Closing Date, the Term Loan Credit Agreement requires that the Company maintain a quarterly maximum</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Net Leverage Ratio (as defined in the Term Loan Credit Agreement) of 3.75 to 1.00, which decreases in accordance with the terms of the Term Loan Credit Agreement to 2.50 to 1.00 for each fiscal quarter after the fiscal quarter ending December 31, 2023.</w:t>
      </w:r>
    </w:p>
    <w:p>
      <w:pPr>
        <w:spacing w:after="0" w:line="27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ABL Facility</w:t>
      </w:r>
    </w:p>
    <w:p>
      <w:pPr>
        <w:spacing w:after="0" w:line="117"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Additionally, on March 22, 2021, the Company closed on a new asset backed credit facility (the “ABL Facility”; together with the Term Loan Facility, the “New Credit Facility”). The ABL Facility is governed by a Credit Agreement (the “ABL Credit Agreement”) by and among the Company, certain Company subsidiaries, the lenders party thereto, and JPMorgan Chase Bank, N.A., as administrative agent for the lenders.</w:t>
      </w:r>
    </w:p>
    <w:p>
      <w:pPr>
        <w:spacing w:after="0" w:line="16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i w:val="1"/>
          <w:iCs w:val="1"/>
          <w:color w:val="auto"/>
        </w:rPr>
        <w:t>Amount</w:t>
      </w:r>
      <w:r>
        <w:rPr>
          <w:rFonts w:ascii="Arial" w:cs="Arial" w:eastAsia="Arial" w:hAnsi="Arial"/>
          <w:sz w:val="18"/>
          <w:szCs w:val="18"/>
          <w:color w:val="auto"/>
        </w:rPr>
        <w:t>. The ABL Credit Agreement provides for a senior secured revolving credit facility in the amount of $50 million, of which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available in the form of letters of credit and $5.0 million will be available</w:t>
      </w:r>
    </w:p>
    <w:p>
      <w:pPr>
        <w:sectPr>
          <w:pgSz w:w="11900" w:h="16838" w:orient="portrait"/>
          <w:cols w:equalWidth="0" w:num="1">
            <w:col w:w="11024"/>
          </w:cols>
          <w:pgMar w:left="436" w:top="301" w:right="439" w:bottom="1440" w:gutter="0" w:footer="0" w:header="0"/>
        </w:sectPr>
      </w:pPr>
    </w:p>
    <w:bookmarkStart w:id="5" w:name="page6"/>
    <w:bookmarkEnd w:id="5"/>
    <w:p>
      <w:pPr>
        <w:ind w:left="4"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t>for the issuance of short-term swingline loans. The ABL Credit Agreement also allows the Borrower to request the establishment of one or more additional revolving commitments in an aggregate amount subject to specified terms and conditions. The availability of credit under the ABL Facility is limited by a borrowing base, which is 85% of the eligible accounts receivable of the Borrowers, plus the lesser of 60% of the cost and 85% of the net orderly liquidation value of eligible inventory, plus the lesser of 60% of the cost and 85% of the net orderly liquidation value of eligible in-transit inventory (subject to a $5 million cap), less any reserves established by the administrative agent, all as defined in the ABL Credit Agreement.</w:t>
      </w:r>
    </w:p>
    <w:p>
      <w:pPr>
        <w:spacing w:after="0" w:line="16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When the average quarterly Availability (as defined in the ABL Credit Agreement) is equal to or less than 50% of the aggregate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advances will generally bear interest at (at the Company’s election) either (a) 1.00% per annum plus the greatest of (i) the published prime commercial lending rate, (ii) the Federal Funds Rate, as in effect from time to time (which in no event shall be less than zero), plus 0.50% per annum</w:t>
      </w:r>
      <w:r>
        <w:rPr>
          <w:rFonts w:ascii="Arial" w:cs="Arial" w:eastAsia="Arial" w:hAnsi="Arial"/>
          <w:sz w:val="16"/>
          <w:szCs w:val="16"/>
          <w:i w:val="1"/>
          <w:iCs w:val="1"/>
          <w:color w:val="auto"/>
        </w:rPr>
        <w:t>,</w:t>
      </w:r>
      <w:r>
        <w:rPr>
          <w:rFonts w:ascii="Arial" w:cs="Arial" w:eastAsia="Arial" w:hAnsi="Arial"/>
          <w:sz w:val="16"/>
          <w:szCs w:val="16"/>
          <w:color w:val="auto"/>
        </w:rPr>
        <w:t xml:space="preserve"> and (iii) the Adjusted LIBO Rate (as defined in the ABL Credit Agreement) determined on a daily basis for an interest period of one (1) month, plus</w:t>
      </w:r>
    </w:p>
    <w:p>
      <w:pPr>
        <w:spacing w:after="0" w:line="1" w:lineRule="exact"/>
        <w:rPr>
          <w:sz w:val="20"/>
          <w:szCs w:val="20"/>
          <w:color w:val="auto"/>
        </w:rPr>
      </w:pPr>
    </w:p>
    <w:p>
      <w:pPr>
        <w:ind w:left="4" w:right="140"/>
        <w:spacing w:after="0" w:line="281" w:lineRule="auto"/>
        <w:rPr>
          <w:sz w:val="20"/>
          <w:szCs w:val="20"/>
          <w:color w:val="auto"/>
        </w:rPr>
      </w:pPr>
      <w:r>
        <w:rPr>
          <w:rFonts w:ascii="Arial" w:cs="Arial" w:eastAsia="Arial" w:hAnsi="Arial"/>
          <w:sz w:val="16"/>
          <w:szCs w:val="16"/>
          <w:color w:val="auto"/>
        </w:rPr>
        <w:t>1.00% per annum or (b) 2.00% per annum plus the Adjusted LIBO Rate for the applicable interest period multiplied by the statutory reserve rate. If the LIBO Rate (as defined in the ABL Credit Agreement) that is used to determine the Adjusted LIBO Rate for the applicable interest period is less than 0.50%, such rate shall be deemed to be 0.50% for purposes of calculating the foregoing interest rates in the Term Loan Credit Agreement. When the average quarterly Availability (as defined in the ABL Credit Agreement) is greater than 50% of the aggregate revolving commitment, advances will generally bear interest at (at the Company’s election) either (a) 0.75% per annum plus the greatest of (i) the published prime commercial lending rate,</w:t>
      </w:r>
    </w:p>
    <w:p>
      <w:pPr>
        <w:spacing w:after="0" w:line="3" w:lineRule="exact"/>
        <w:rPr>
          <w:sz w:val="20"/>
          <w:szCs w:val="20"/>
          <w:color w:val="auto"/>
        </w:rPr>
      </w:pPr>
    </w:p>
    <w:p>
      <w:pPr>
        <w:ind w:left="4" w:right="20" w:hanging="4"/>
        <w:spacing w:after="0" w:line="253" w:lineRule="auto"/>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Funds Rate, as in effect from time to time (which in no event shall be less than zero), plus 0.50% per annum</w:t>
      </w:r>
      <w:r>
        <w:rPr>
          <w:rFonts w:ascii="Arial" w:cs="Arial" w:eastAsia="Arial" w:hAnsi="Arial"/>
          <w:sz w:val="18"/>
          <w:szCs w:val="18"/>
          <w:i w:val="1"/>
          <w:iCs w:val="1"/>
          <w:color w:val="auto"/>
        </w:rPr>
        <w:t>,</w:t>
      </w:r>
      <w:r>
        <w:rPr>
          <w:rFonts w:ascii="Arial" w:cs="Arial" w:eastAsia="Arial" w:hAnsi="Arial"/>
          <w:sz w:val="18"/>
          <w:szCs w:val="18"/>
          <w:color w:val="auto"/>
        </w:rPr>
        <w:t xml:space="preserve"> and (iii) the Adjusted LIBO Rate determined on a daily basis for an interest period of one (1) month, plus 1.00% per annum or (b) 1.75% per annum plus the Adjusted LIBO Rate for the applicable interest period multiplied by the statutory reserve rate. If the LIBO Rate that is used to determine the Adjusted LIBO Rate for the applicable interest period is less than 0.50%, such rate shall be deemed to be 0.50% for purposes of calculating the foregoing interest rates in the Term Loan Credit Agreement.</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final maturity date of the ABL Credit Agreement is March 22, 2026.</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i w:val="1"/>
          <w:iCs w:val="1"/>
          <w:color w:val="auto"/>
        </w:rPr>
        <w:t>Financial Covenant</w:t>
      </w:r>
      <w:r>
        <w:rPr>
          <w:rFonts w:ascii="Arial" w:cs="Arial" w:eastAsia="Arial" w:hAnsi="Arial"/>
          <w:sz w:val="18"/>
          <w:szCs w:val="18"/>
          <w:color w:val="auto"/>
        </w:rPr>
        <w:t>. The ABL Credit Agreement requires the Company to have a Fixed Charge Coverage Ratio (as defined in the ABL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not less than 1.0 to 1.0 at any time when the Availability (as defined in the ABL Credit Agreement) of the Borrower is less than 12.50% of the revolving commitments.</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General New Facility Terms</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i w:val="1"/>
          <w:iCs w:val="1"/>
          <w:color w:val="auto"/>
        </w:rPr>
        <w:t>Guarantee and Security</w:t>
      </w:r>
      <w:r>
        <w:rPr>
          <w:rFonts w:ascii="Arial" w:cs="Arial" w:eastAsia="Arial" w:hAnsi="Arial"/>
          <w:sz w:val="18"/>
          <w:szCs w:val="18"/>
          <w:color w:val="auto"/>
        </w:rPr>
        <w:t>. The Company’s obligations under the Term Loan Facility and the ABL Facility are guaranteed by each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and indirect, existing and future material, domestic subsidiaries, subject to customary exceptions and limitations. The Term Loan Facility and the ABL Facility are each secured by a perfected lien over substantially all of the Company’s and each guarantor’s assets, including certain real property owned by the Company and the guarantors, subject to certain customary exceptions.</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i w:val="1"/>
          <w:iCs w:val="1"/>
          <w:color w:val="auto"/>
        </w:rPr>
        <w:t>General Terms and Covenants</w:t>
      </w:r>
      <w:r>
        <w:rPr>
          <w:rFonts w:ascii="Arial" w:cs="Arial" w:eastAsia="Arial" w:hAnsi="Arial"/>
          <w:sz w:val="18"/>
          <w:szCs w:val="18"/>
          <w:color w:val="auto"/>
        </w:rPr>
        <w:t>. The ABL Credit Agreement and the Term Loan Credit Agreement include customary representations,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negative and affirmative covenants, as well as customary events of default and certain cross default provisions that could result in acceleration of the ABL Credit Agreement or the Term Loan Credit Agreement.</w:t>
      </w:r>
    </w:p>
    <w:p>
      <w:pPr>
        <w:spacing w:after="0" w:line="184" w:lineRule="exact"/>
        <w:rPr>
          <w:sz w:val="20"/>
          <w:szCs w:val="20"/>
          <w:color w:val="auto"/>
        </w:rPr>
      </w:pPr>
    </w:p>
    <w:p>
      <w:pPr>
        <w:ind w:left="4" w:right="240" w:firstLine="440"/>
        <w:spacing w:after="0" w:line="301" w:lineRule="auto"/>
        <w:rPr>
          <w:sz w:val="20"/>
          <w:szCs w:val="20"/>
          <w:color w:val="auto"/>
        </w:rPr>
      </w:pPr>
      <w:r>
        <w:rPr>
          <w:rFonts w:ascii="Arial" w:cs="Arial" w:eastAsia="Arial" w:hAnsi="Arial"/>
          <w:sz w:val="16"/>
          <w:szCs w:val="16"/>
          <w:color w:val="auto"/>
        </w:rPr>
        <w:t>The foregoing description of the Purchase Agreement, the Certificate of Designation, the Warrants, Board Observer Agreement, the Term Loan Credit Agreement and the ABL Credit Agreement is only a summary and is qualified in its entirety by the full text of the Purchase Agreement, the Certificate of Designation, the Warrant, the Board Observer Agreement, the Term Loan Credit Agreement and the ABL Credit Agreement, which are filed as Exhibits 10.1, 3.1, 4.1, 10.2, 10.3 and 10.4, respectively, to this Current Report on Form 8-K and are incorporated by reference herein.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On March 22, 2021, the Company used the proceeds from the Financing Transaction and the New Credit Facility to prepay all outstanding obligations under its existing credit facility made available to the Company under the Second Amended and Restated Credit Agreement, dated as of December 19, 2019, by and among the Company, the guarantors party thereto from time to time, the lenders party thereto from time to time, and Truist Bank, as successor by merger to SunTrust Bank, as administrative agent and collateral agent (the “Existing Credit Agreement”).</w:t>
      </w:r>
    </w:p>
    <w:p>
      <w:pPr>
        <w:sectPr>
          <w:pgSz w:w="11900" w:h="16838" w:orient="portrait"/>
          <w:cols w:equalWidth="0" w:num="1">
            <w:col w:w="11004"/>
          </w:cols>
          <w:pgMar w:left="436" w:top="301" w:right="459" w:bottom="1440" w:gutter="0" w:footer="0" w:header="0"/>
        </w:sectPr>
      </w:pPr>
    </w:p>
    <w:bookmarkStart w:id="6" w:name="page7"/>
    <w:bookmarkEnd w:id="6"/>
    <w:p>
      <w:pPr>
        <w:ind w:right="8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2.03. CREATION OF A DIRECT FINANCIAL OBLIGATION OR AN OBLIGATION UNDER AN OFF-BALANCE SHEET ARRANGEMENT OF A REGISTRANT.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contained in Item 1.01 of this Current Report on Form 8-K regarding the New Credit Facility is incorporated herein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121"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The information contained in Item 1.01 of this Current Report on Form 8-K regarding the offer and sale of the Series D Preferred Stock and Warrants, the Purchase Agreement and the terms of the Series D Preferred Stock is incorporated herein by reference.</w:t>
      </w:r>
    </w:p>
    <w:p>
      <w:pPr>
        <w:spacing w:after="0" w:line="14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The securities in the Financing Transaction were issued and sold in reliance upon the exemption from the registration requirements of the Securities Act, set forth under Section 4(a)(2) of the Securities Act relating to sales by an issuer not involving any public offering and in reliance on similar exemptions under applicable state laws. The Purchaser represented that it is an accredited investor and that it is acquiring the Series D Preferred Stock and Warrants for investment purposes and not with a view to any distribution of such securities in violation of the United States federal securities laws. Neither this Current Report on Form 8-K, nor the exhibit attached hereto is an offer to sell or the solicitation of an offer to buy the securities described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contained in Item 1.01 of this Current Report on Form 8-K regarding the Certificate of Designation and the terms of the Series D Preferred Stock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CHANGES IN FISCAL YEAR.</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contained in Item 1.01 of this Current Report on Form 8-K regarding the Certificate of Designation and the terms of the Series D Preferred Stock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On March 22, 2021, the Company issued a press release announcing the closing of the Financing Transaction and the New Credit Facility. A copy of this press release is included as Exhibit 99.1 to this Current Report on Form 8-K.</w:t>
      </w:r>
    </w:p>
    <w:p>
      <w:pPr>
        <w:spacing w:after="0" w:line="170"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except as otherwise expressly stated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The Company confirmed that, effective as of March 22, 2021, pursuant to the Certificate of Designation establishing and fixing the rights and preferences of the Series B Preferred Stock, it voluntarily redeemed all 100,000 outstanding shares of its Series B Preferred Stock at an aggregate redemption price of approximately $118.2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800" w:type="dxa"/>
            <w:vAlign w:val="bottom"/>
            <w:shd w:val="clear" w:color="auto" w:fill="000000"/>
          </w:tcPr>
          <w:p>
            <w:pPr>
              <w:spacing w:after="0"/>
              <w:rPr>
                <w:sz w:val="2"/>
                <w:szCs w:val="2"/>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980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Certificate of Designation of Series D Preferred Stock</w:t>
              </w:r>
            </w:hyperlink>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8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Common Stock Purchase Warrant</w:t>
              </w:r>
            </w:hyperlink>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8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Securities Purchase Agreement, dated March 22, 2021, by and between the Company and the Purchaser</w:t>
              </w:r>
            </w:hyperlink>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8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Board Observer Agreement, dated March 22, 2021, by and between the Company and the Purchaser</w:t>
              </w:r>
            </w:hyperlink>
          </w:p>
        </w:tc>
      </w:tr>
    </w:tbl>
    <w:p>
      <w:pPr>
        <w:sectPr>
          <w:pgSz w:w="11900" w:h="16838" w:orient="portrait"/>
          <w:cols w:equalWidth="0" w:num="1">
            <w:col w:w="11020"/>
          </w:cols>
          <w:pgMar w:left="440" w:top="297"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9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Term Loan Credit Agreement, dated March 22, 2021, by and among the Company, as borrower, and Oaktree Fund Administration,</w:t>
              </w:r>
            </w:hyperlink>
          </w:p>
        </w:tc>
      </w:tr>
      <w:tr>
        <w:trPr>
          <w:trHeight w:val="196"/>
        </w:trPr>
        <w:tc>
          <w:tcPr>
            <w:tcW w:w="122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LLC, as administrative agent</w:t>
              </w:r>
            </w:hyperlink>
          </w:p>
        </w:tc>
        <w:tc>
          <w:tcPr>
            <w:tcW w:w="7320" w:type="dxa"/>
            <w:vAlign w:val="bottom"/>
            <w:gridSpan w:val="2"/>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8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3">
              <w:r>
                <w:rPr>
                  <w:rFonts w:ascii="Arial" w:cs="Arial" w:eastAsia="Arial" w:hAnsi="Arial"/>
                  <w:sz w:val="18"/>
                  <w:szCs w:val="18"/>
                  <w:color w:val="0000EE"/>
                  <w:w w:val="89"/>
                </w:rPr>
                <w:t>Credit Agreement, dated March 22, 2021, by and among the Company, as borrower, and JPMorgan Chase Bank, N.A., as</w:t>
              </w:r>
            </w:hyperlink>
          </w:p>
        </w:tc>
        <w:tc>
          <w:tcPr>
            <w:tcW w:w="68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administrative agent</w:t>
              </w:r>
            </w:hyperlink>
          </w:p>
        </w:tc>
        <w:tc>
          <w:tcPr>
            <w:tcW w:w="7940" w:type="dxa"/>
            <w:vAlign w:val="bottom"/>
            <w:gridSpan w:val="3"/>
          </w:tcPr>
          <w:p>
            <w:pPr>
              <w:spacing w:after="0"/>
              <w:rPr>
                <w:sz w:val="17"/>
                <w:szCs w:val="17"/>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18"/>
                <w:szCs w:val="18"/>
                <w:color w:val="auto"/>
              </w:rPr>
              <w:t>99.1</w:t>
            </w:r>
          </w:p>
        </w:tc>
        <w:tc>
          <w:tcPr>
            <w:tcW w:w="9400" w:type="dxa"/>
            <w:vAlign w:val="bottom"/>
            <w:gridSpan w:val="4"/>
          </w:tcPr>
          <w:p>
            <w:pPr>
              <w:spacing w:after="0"/>
              <w:rPr>
                <w:rFonts w:ascii="Arial" w:cs="Arial" w:eastAsia="Arial" w:hAnsi="Arial"/>
                <w:sz w:val="18"/>
                <w:szCs w:val="18"/>
                <w:u w:val="single" w:color="auto"/>
                <w:color w:val="0000EE"/>
              </w:rPr>
            </w:pPr>
            <w:hyperlink w:anchor="page398">
              <w:r>
                <w:rPr>
                  <w:rFonts w:ascii="Arial" w:cs="Arial" w:eastAsia="Arial" w:hAnsi="Arial"/>
                  <w:sz w:val="18"/>
                  <w:szCs w:val="18"/>
                  <w:u w:val="single" w:color="auto"/>
                  <w:color w:val="0000EE"/>
                </w:rPr>
                <w:t>Press Release issued by NN, Inc. dated March 22, 2021</w:t>
              </w:r>
            </w:hyperlink>
          </w:p>
        </w:tc>
      </w:tr>
    </w:tbl>
    <w:p>
      <w:pPr>
        <w:spacing w:after="0" w:line="94" w:lineRule="exact"/>
        <w:rPr>
          <w:sz w:val="20"/>
          <w:szCs w:val="20"/>
          <w:color w:val="auto"/>
        </w:rPr>
      </w:pPr>
    </w:p>
    <w:p>
      <w:pPr>
        <w:ind w:left="4" w:right="3640" w:hanging="4"/>
        <w:spacing w:after="0" w:line="659" w:lineRule="auto"/>
        <w:tabs>
          <w:tab w:leader="none" w:pos="1219"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 Portions of this exhibit have been omitted pursuant to Rule 601(b)(10) of Regulation S-K.</w:t>
      </w:r>
    </w:p>
    <w:p>
      <w:pPr>
        <w:sectPr>
          <w:pgSz w:w="11900" w:h="16838" w:orient="portrait"/>
          <w:cols w:equalWidth="0" w:num="1">
            <w:col w:w="10624"/>
          </w:cols>
          <w:pgMar w:left="436" w:top="284" w:right="83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PERPETUAL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Section 151 of the General Corporation Law of the State of Delaware:</w:t>
      </w:r>
    </w:p>
    <w:p>
      <w:pPr>
        <w:spacing w:after="0" w:line="225"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NN,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that, in accordance with the provisions of Section 151 of the General Corporation Law of the State of Delaware (“</w:t>
      </w:r>
      <w:r>
        <w:rPr>
          <w:rFonts w:ascii="Arial" w:cs="Arial" w:eastAsia="Arial" w:hAnsi="Arial"/>
          <w:sz w:val="16"/>
          <w:szCs w:val="16"/>
          <w:u w:val="single" w:color="auto"/>
          <w:color w:val="auto"/>
        </w:rPr>
        <w:t>DGCL</w:t>
      </w:r>
      <w:r>
        <w:rPr>
          <w:rFonts w:ascii="Arial" w:cs="Arial" w:eastAsia="Arial" w:hAnsi="Arial"/>
          <w:sz w:val="16"/>
          <w:szCs w:val="16"/>
          <w:color w:val="auto"/>
        </w:rPr>
        <w:t>”), the Board of Directors of the Corporation has duly adopted the following resolutions:</w:t>
      </w:r>
    </w:p>
    <w:p>
      <w:pPr>
        <w:spacing w:after="0" w:line="12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RESOLVED, that, pursuant to Article IV of the Corporation’s Restated Certificate of Incorporation, as amended (which authorizes 5,000,000 shares of preferred stock, par value $0.01 per share of the Corporation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Board of Directors of the Corporation hereby fixes the powers, designations, preferences and relative, participating, optional and other special rights, and the qualifications, limitations and restrictions, of a series of Preferred Stock as follows:</w:t>
      </w:r>
    </w:p>
    <w:p>
      <w:pPr>
        <w:spacing w:after="0" w:line="187"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w:t>
      </w:r>
      <w:r>
        <w:rPr>
          <w:rFonts w:ascii="Arial" w:cs="Arial" w:eastAsia="Arial" w:hAnsi="Arial"/>
          <w:sz w:val="16"/>
          <w:szCs w:val="16"/>
          <w:color w:val="auto"/>
        </w:rPr>
        <w:t>. There is hereby created out of the authorized and unissued shares of Preferred Stock of the Corporation a new series of Preferred Stock designated as the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 The number of shares constituting the Series D Preferred Stock will be 65,000.</w:t>
      </w:r>
    </w:p>
    <w:p>
      <w:pPr>
        <w:spacing w:after="0" w:line="124"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Ranking</w:t>
      </w:r>
      <w:r>
        <w:rPr>
          <w:rFonts w:ascii="Arial" w:cs="Arial" w:eastAsia="Arial" w:hAnsi="Arial"/>
          <w:sz w:val="17"/>
          <w:szCs w:val="17"/>
          <w:color w:val="auto"/>
        </w:rPr>
        <w:t>. The Series D Preferred Stock shall rank, with respect to the payment of dividends and other distributions, including the distribution of assets upon liquidation, dissolution or winding up of the Corporation, (i) senior to the Common Stock and to any other class or series of the Preferred Stock, and (ii) junior to any existing or future secured or unsecured indebtedness of the Corporation.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3.1 Holders of Series D Preferred Stock shall be entitled to receive, when, as and if declared by the Board of Directors, and the Corporation shall pay, out of funds lawfully available therefor, cumulative quarterly dividends payable in cash (a “</w:t>
      </w:r>
      <w:r>
        <w:rPr>
          <w:rFonts w:ascii="Arial" w:cs="Arial" w:eastAsia="Arial" w:hAnsi="Arial"/>
          <w:sz w:val="16"/>
          <w:szCs w:val="16"/>
          <w:u w:val="single" w:color="auto"/>
          <w:color w:val="auto"/>
        </w:rPr>
        <w:t>Series D Dividend</w:t>
      </w:r>
      <w:r>
        <w:rPr>
          <w:rFonts w:ascii="Arial" w:cs="Arial" w:eastAsia="Arial" w:hAnsi="Arial"/>
          <w:sz w:val="16"/>
          <w:szCs w:val="16"/>
          <w:color w:val="auto"/>
        </w:rPr>
        <w:t>”) on March 31, June 30, September 30, and December 31 in each year (each such date being referred to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commencing on the first Dividend Payment Date after the Issuance Date, in an amount equal to 10.0% per annum of the Initial Liquidation Preference per share of Series D Preferred Stock (the “</w:t>
      </w:r>
      <w:r>
        <w:rPr>
          <w:rFonts w:ascii="Arial" w:cs="Arial" w:eastAsia="Arial" w:hAnsi="Arial"/>
          <w:sz w:val="16"/>
          <w:szCs w:val="16"/>
          <w:u w:val="single" w:color="auto"/>
          <w:color w:val="auto"/>
        </w:rPr>
        <w:t>Cash Dividend Rate</w:t>
      </w:r>
      <w:r>
        <w:rPr>
          <w:rFonts w:ascii="Arial" w:cs="Arial" w:eastAsia="Arial" w:hAnsi="Arial"/>
          <w:sz w:val="16"/>
          <w:szCs w:val="16"/>
          <w:color w:val="auto"/>
        </w:rPr>
        <w:t>”). The period from the Issuance Date to and including March 31, 2021 and each period from but excluding a Dividend Payment Date to and including the following Dividend Payment Date is herein referred to as a “</w:t>
      </w:r>
      <w:r>
        <w:rPr>
          <w:rFonts w:ascii="Arial" w:cs="Arial" w:eastAsia="Arial" w:hAnsi="Arial"/>
          <w:sz w:val="16"/>
          <w:szCs w:val="16"/>
          <w:u w:val="single" w:color="auto"/>
          <w:color w:val="auto"/>
        </w:rPr>
        <w:t>Dividend Period</w:t>
      </w:r>
      <w:r>
        <w:rPr>
          <w:rFonts w:ascii="Arial" w:cs="Arial" w:eastAsia="Arial" w:hAnsi="Arial"/>
          <w:sz w:val="16"/>
          <w:szCs w:val="16"/>
          <w:color w:val="auto"/>
        </w:rPr>
        <w:t>”. On any such Dividend Payment Date, if the Series D Dividend is not so paid in cash, the Liquidation Preference per share of Series D Preferred Stock shall be increased by an amount equal to 12.0% per annum (the “</w:t>
      </w:r>
      <w:r>
        <w:rPr>
          <w:rFonts w:ascii="Arial" w:cs="Arial" w:eastAsia="Arial" w:hAnsi="Arial"/>
          <w:sz w:val="16"/>
          <w:szCs w:val="16"/>
          <w:u w:val="single" w:color="auto"/>
          <w:color w:val="auto"/>
        </w:rPr>
        <w:t>Preference Accrual Rate</w:t>
      </w:r>
      <w:r>
        <w:rPr>
          <w:rFonts w:ascii="Arial" w:cs="Arial" w:eastAsia="Arial" w:hAnsi="Arial"/>
          <w:sz w:val="16"/>
          <w:szCs w:val="16"/>
          <w:color w:val="auto"/>
        </w:rPr>
        <w:t>”) on the then current Liquidation Preference per share of Series D Preferred Stock (the “</w:t>
      </w: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Preference Adjustment</w:t>
      </w:r>
      <w:r>
        <w:rPr>
          <w:rFonts w:ascii="Arial" w:cs="Arial" w:eastAsia="Arial" w:hAnsi="Arial"/>
          <w:sz w:val="16"/>
          <w:szCs w:val="16"/>
          <w:color w:val="auto"/>
        </w:rPr>
        <w:t>”). On the Specified Date, the Cash Dividend Rate and the Preference Accrual Rate, expressed as a percentage, shall each increase by an amount equal to 2.5%, and shall continue to increase by an amount equal to 2.5% on each anniversary date following the Specified Date (such increase on the Specified Date and each anniversary thereafter, the “</w:t>
      </w:r>
      <w:r>
        <w:rPr>
          <w:rFonts w:ascii="Arial" w:cs="Arial" w:eastAsia="Arial" w:hAnsi="Arial"/>
          <w:sz w:val="16"/>
          <w:szCs w:val="16"/>
          <w:u w:val="single" w:color="auto"/>
          <w:color w:val="auto"/>
        </w:rPr>
        <w:t>Specified Date Adjustment</w:t>
      </w:r>
      <w:r>
        <w:rPr>
          <w:rFonts w:ascii="Arial" w:cs="Arial" w:eastAsia="Arial" w:hAnsi="Arial"/>
          <w:sz w:val="16"/>
          <w:szCs w:val="16"/>
          <w:color w:val="auto"/>
        </w:rPr>
        <w:t xml:space="preserve">”). In addition to the foregoing, beginning on the Dividend Payment Date on September 30, 2027 and continuing on every Dividend Payment Date thereafter, the Board of Directors shall declare and the Company shall pay in cash a Series D Dividend unless otherwise prohibited by Delaware law or any then effective credit agreement to which the Corporation is then a party. For so long as any shares of Series D Preferred Stock remain issued and outstanding, the Liquidation Preference per share of Series D Preferred Stock shall continue to be adjusted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on each Dividend Payment Date.</w:t>
      </w:r>
    </w:p>
    <w:p>
      <w:pPr>
        <w:sectPr>
          <w:pgSz w:w="11900" w:h="16838" w:orient="portrait"/>
          <w:cols w:equalWidth="0" w:num="1">
            <w:col w:w="11020"/>
          </w:cols>
          <w:pgMar w:left="440" w:top="121" w:right="439" w:bottom="1440" w:gutter="0" w:footer="0" w:header="0"/>
        </w:sectPr>
      </w:pPr>
    </w:p>
    <w:bookmarkStart w:id="10" w:name="page11"/>
    <w:bookmarkEnd w:id="10"/>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3.2 Series D Dividends shall be payable in arrears on each Dividend Payment Date and shall accrue, whether or not earned or declared, from the most recent Dividend Payment Date, or, in the case of the first Dividend Payment Date, from the Issuance Date. Series D Dividends shall accrue on each outstanding share of Series D Preferred Stock on the basis of twelve 30-day months and a 360-day year, at the Cash Dividend Rate on the basis of the Liquidation Preference with respect to such share, as adjusted by the Liquidation Preference Adjustments that occurred on each Dividend Payment Date for which the Series D Dividend was not paid with respect to such share.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4.1 Upon any voluntary or involuntary liquidation, dissolution or winding up of the affairs of the Corporation (a “</w:t>
      </w:r>
      <w:r>
        <w:rPr>
          <w:rFonts w:ascii="Arial" w:cs="Arial" w:eastAsia="Arial" w:hAnsi="Arial"/>
          <w:sz w:val="17"/>
          <w:szCs w:val="17"/>
          <w:u w:val="single" w:color="auto"/>
          <w:color w:val="auto"/>
        </w:rPr>
        <w:t>Liquidation</w:t>
      </w:r>
      <w:r>
        <w:rPr>
          <w:rFonts w:ascii="Arial" w:cs="Arial" w:eastAsia="Arial" w:hAnsi="Arial"/>
          <w:sz w:val="17"/>
          <w:szCs w:val="17"/>
          <w:color w:val="auto"/>
        </w:rPr>
        <w:t>”), after payment or provision for payment of the debts and other liabilities of the Corporation, the holders of Series D Preferred Stock shall be entitled to receive, in respect of any shares of Series D Preferred Stock held by them, out of assets of the Corporation available for distribution to stockholders of the Corporation or their assignees, and subject to the rights of any outstanding shares of Senior Securities and before any amount shall be distributed to the holders of Junior Securities, a liquidating distribution (the “</w:t>
      </w:r>
      <w:r>
        <w:rPr>
          <w:rFonts w:ascii="Arial" w:cs="Arial" w:eastAsia="Arial" w:hAnsi="Arial"/>
          <w:sz w:val="17"/>
          <w:szCs w:val="17"/>
          <w:u w:val="single" w:color="auto"/>
          <w:color w:val="auto"/>
        </w:rPr>
        <w:t>Liquidation Distribution</w:t>
      </w:r>
      <w:r>
        <w:rPr>
          <w:rFonts w:ascii="Arial" w:cs="Arial" w:eastAsia="Arial" w:hAnsi="Arial"/>
          <w:sz w:val="17"/>
          <w:szCs w:val="17"/>
          <w:color w:val="auto"/>
        </w:rPr>
        <w:t>”) in an amount equal to the Liquidation Preference. If, upon a Liquidation, the assets of the Corporation, or proceeds thereof, distributable among the holders of the then outstanding shares of Series D Preferred Stock and the holders of any shares of Parity Securities ranking on a parity with the Series D Preferred Stock with respect to any distribution of assets upon Liquidation are insufficient to pay in full the amount such Liquidation Distribution and all liquidation preference payable with respect to any such Parity Securities, then the holders of Series D Preferred Stock and such Parity Securities shall share ratably in any distribution of assets in proportion to the full respective preferential amounts to which they are entitled.</w:t>
      </w:r>
    </w:p>
    <w:p>
      <w:pPr>
        <w:spacing w:after="0" w:line="18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4.2 The Corporation shall provide the holders of Series D Preferred Stock appearing on the stock books of the Corporation as of the date of such notice at the address of said holder shown therein with written notice of any Liquidation not less than thirty (30) days prior to the payment date stated therein, which notice shall set forth the payment date, the amount of proceeds to be paid with respect to each share of Series D Preferred Stock and each share of Senior Securities, Parity Securities and Junior Securities in connection therewith; provided that in the case of any involuntary Liquidation, the Corporation shall provide notice within ten (10) Business Days upon the Corporation becoming aware of any instituted proceeding in respect thereof.</w:t>
      </w:r>
    </w:p>
    <w:p>
      <w:pPr>
        <w:spacing w:after="0" w:line="161"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4.3 After the payment in cash or proceeds to the holders of shares of the Series D Preferred Stock of the full amount of the Liquidation Distribution with respect to outstanding shares of Series D Preferred Stock, the holders of outstanding shares of Series D Preferred Stock shall have no right or claim, based on their ownership of shares of Series D Preferred Stock, to the remaining assets of the Corporation, if any. Whenever any such distribution shall be paid in property other than cash, the value of such distribution shall be the fair market value of such property, as determined in the good faith reasonable discretion of the Board of Directors or liquidating trustee, as the case may be, and each holder of shares of the Series D Preferred Stock shall be notified in writing of such distribution and of the value of such other securities or property at least thirty (30) days prior to the scheduled distribution. If, however, holders of a majority of the outstanding shares of Series D Preferred Stock shall give the Board of Directors written notice at least twenty (20) days prior to the scheduled distribution that such holders disagree with the value placed upon such property (other than cash) by the Board of Directors, then such holders and the Board of Directors shall attempt to agree upon a fair market value. Should such holders and the Board of Directors be unable to agree during the five-day period immediately following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giving of the written notice of such disagreement as to the fair market value without the employment of appraisers, then the Corporation, on the one hand, and such holders, on the other hand, shall each select an appraiser experienced in the business of evaluating or appraising the market value of the relevant securities or property other than securities. The appraisers so selected (the “</w:t>
      </w:r>
      <w:r>
        <w:rPr>
          <w:rFonts w:ascii="Arial" w:cs="Arial" w:eastAsia="Arial" w:hAnsi="Arial"/>
          <w:sz w:val="17"/>
          <w:szCs w:val="17"/>
          <w:u w:val="single" w:color="auto"/>
          <w:color w:val="auto"/>
        </w:rPr>
        <w:t>Initial Appraisers</w:t>
      </w:r>
      <w:r>
        <w:rPr>
          <w:rFonts w:ascii="Arial" w:cs="Arial" w:eastAsia="Arial" w:hAnsi="Arial"/>
          <w:sz w:val="17"/>
          <w:szCs w:val="17"/>
          <w:color w:val="auto"/>
        </w:rPr>
        <w:t>”) shall, on or prior to the scheduled distribution, appraise such securities or other property. If the difference between the resulting appraisals is no greater than ten percent of the higher appraisal, then the average of the appraisals shall be deemed the fair market value; otherwise, the Initial Appraisers shall select an additional appraiser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Appraiser</w:t>
      </w:r>
      <w:r>
        <w:rPr>
          <w:rFonts w:ascii="Arial" w:cs="Arial" w:eastAsia="Arial" w:hAnsi="Arial"/>
          <w:sz w:val="17"/>
          <w:szCs w:val="17"/>
          <w:color w:val="auto"/>
        </w:rPr>
        <w:t>”), who shall be experienced in a manner similar to the Initial Appraisers. The Additional Appraiser shall then choose from the values determined by the Initial Appraisers the value that the Additional Appraiser considers closest to the fair market value of the property to be distributed, and such value shall be the fair market value. The Corporation shall pay the expenses and fees of each Appraiser. The fair market value determined pursuant to this provision shall apply to all holders of Series D Preferred Stock, including any holders of Series D Preferred Stock not providing notice of a challenge pursuant to this provision.</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4.4 For purposes of this </w:t>
      </w:r>
      <w:r>
        <w:rPr>
          <w:rFonts w:ascii="Arial" w:cs="Arial" w:eastAsia="Arial" w:hAnsi="Arial"/>
          <w:sz w:val="18"/>
          <w:szCs w:val="18"/>
          <w:u w:val="single" w:color="auto"/>
          <w:color w:val="auto"/>
        </w:rPr>
        <w:t>Section 4</w:t>
      </w:r>
      <w:r>
        <w:rPr>
          <w:rFonts w:ascii="Arial" w:cs="Arial" w:eastAsia="Arial" w:hAnsi="Arial"/>
          <w:sz w:val="18"/>
          <w:szCs w:val="18"/>
          <w:color w:val="auto"/>
        </w:rPr>
        <w:t>, the sale, conveyance, exchange or transfer (for cash, shares of stock, securities or other consideration) of all or substantially all of the property and assets of the Corporation (by way of merger, consolidation or otherwise) shall not be deemed a voluntary or involuntary liquidation, dissolution or winding up of the affairs of the Corporation,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voluntary or involuntary liquidation, dissolution or winding up of the affairs of the Corporation.</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Voting Generally</w:t>
      </w:r>
      <w:r>
        <w:rPr>
          <w:rFonts w:ascii="Arial" w:cs="Arial" w:eastAsia="Arial" w:hAnsi="Arial"/>
          <w:sz w:val="18"/>
          <w:szCs w:val="18"/>
          <w:color w:val="auto"/>
        </w:rPr>
        <w:t>. Except as otherwise set forth herein or to the extent required by the DGCL, the holders of the Series D Preferred Stock shall have no voting rights, and their consent shall not be required for taking any corporate action.</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Adverse Changes</w:t>
      </w:r>
      <w:r>
        <w:rPr>
          <w:rFonts w:ascii="Arial" w:cs="Arial" w:eastAsia="Arial" w:hAnsi="Arial"/>
          <w:sz w:val="18"/>
          <w:szCs w:val="18"/>
          <w:color w:val="auto"/>
        </w:rPr>
        <w:t>. So long as any shares of Series D Preferred Stock remain outstanding, the affirmative vote or consent of the holders of at least a majority of the shares of Series D Preferred Stock outstanding at such time, voting together as a separate class, given in person or by proxy, either in writing without a meeting or by vote at any meeting called for the purpose, will be necessary for effecting or validating any of the following actions by the Corporation, whether or not such approval is required pursuant to the DGCL:</w:t>
      </w:r>
    </w:p>
    <w:p>
      <w:pPr>
        <w:spacing w:after="0" w:line="187" w:lineRule="exact"/>
        <w:rPr>
          <w:sz w:val="20"/>
          <w:szCs w:val="20"/>
          <w:color w:val="auto"/>
        </w:rPr>
      </w:pPr>
    </w:p>
    <w:p>
      <w:pPr>
        <w:ind w:right="60" w:firstLine="987"/>
        <w:spacing w:after="0" w:line="263" w:lineRule="auto"/>
        <w:tabs>
          <w:tab w:leader="none" w:pos="1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amendment or waiver (whether by merger, consolidation or otherwise) of any provision of the Organizational Documents (as defined in the Securities Purchase Agreement) of the Corporation or any of its Subsidiaries, in either case, in a way that materially and adversely affects the rights, preferences and privileges or power of the Series D Preferred Stock;</w:t>
      </w:r>
    </w:p>
    <w:p>
      <w:pPr>
        <w:spacing w:after="0" w:line="183" w:lineRule="exact"/>
        <w:rPr>
          <w:rFonts w:ascii="Arial" w:cs="Arial" w:eastAsia="Arial" w:hAnsi="Arial"/>
          <w:sz w:val="18"/>
          <w:szCs w:val="18"/>
          <w:color w:val="auto"/>
        </w:rPr>
      </w:pPr>
    </w:p>
    <w:p>
      <w:pPr>
        <w:ind w:right="120" w:firstLine="987"/>
        <w:spacing w:after="0" w:line="25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authorization, creation or issuance of, or the combination or reclassification of any securities into (in each case whether by merger, consolidation, or otherwise), any additional shares of Series D Preferred Stock, any Parity Securities or any Senior Securities or any other class or series of Capital Stock of the Corporation or its Subsidiaries ranking senior to (or otherwise having a priority on payment to), or on a parity basis with, the Series D Preferred Stock as to dividend or distribution rights, redemption rights or rights on the distribution of assets on any voluntary or involuntary liquidation, dissolution or winding up of the affairs of the 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2" w:name="page13"/>
    <w:bookmarkEnd w:id="12"/>
    <w:p>
      <w:pPr>
        <w:ind w:firstLine="987"/>
        <w:spacing w:after="0" w:line="293" w:lineRule="auto"/>
        <w:tabs>
          <w:tab w:leader="none" w:pos="1441"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declaration or payment of any dividend or distribution on, or redemption or repurchase of, any issued and outstanding shares of Common Stock or any other Junior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Corporation may (a) acquire shares of Common Stock or Junior Securities in connection with any employment contract, benefit plan or other similar arrangement with or for the benefit of present or former employees or directors of the Corporation and its Subsidiaries for the purposes of satisfying applicable taxes or netting of applicable exercise price or otherwise as required by any such plan, agreement or arrangement; and (b) acquire Junior Securities as a result of an exchange or conversion of such shares of Junior Securities for any other shares of Junior Securities and purchase any fractional shares of Junior Securities in connection therewith; and</w:t>
      </w:r>
    </w:p>
    <w:p>
      <w:pPr>
        <w:spacing w:after="0" w:line="164" w:lineRule="exact"/>
        <w:rPr>
          <w:rFonts w:ascii="Arial" w:cs="Arial" w:eastAsia="Arial" w:hAnsi="Arial"/>
          <w:sz w:val="16"/>
          <w:szCs w:val="16"/>
          <w:color w:val="auto"/>
        </w:rPr>
      </w:pPr>
    </w:p>
    <w:p>
      <w:pPr>
        <w:ind w:right="100" w:firstLine="987"/>
        <w:spacing w:after="0" w:line="272" w:lineRule="auto"/>
        <w:tabs>
          <w:tab w:leader="none" w:pos="143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incurrence of Indebtedness, other than (a) any Indebtedness that would be permitted to be incurred under both the New Term Loan and the New ABL, (b) without duplication of the foregoing, any Indebtedness incurred to refinance or replace Indebtedness outstanding on the Issuance Date (including successive refinancings or replacements), in an aggregate principal amount at maturity not to exceed the sum of (1) the principal amount at maturity of the Indebtedness being refinanced, (2) accrued and unpaid interest on the Indebtedness being refinanced, (3) premiums, fees and expenses payable in connection with the repayment of such and provided that after such incurrence the Corporation and its Subsidiaries would not have a Consolidated Net Leverage Ratio greater than 3.50:1.00, and (c) any Indebtedness, the net proceeds of which are contemporaneously used to redeem outstanding shares of Series D Preferred Stock;</w:t>
      </w:r>
    </w:p>
    <w:p>
      <w:pPr>
        <w:spacing w:after="0" w:line="177" w:lineRule="exact"/>
        <w:rPr>
          <w:rFonts w:ascii="Arial" w:cs="Arial" w:eastAsia="Arial" w:hAnsi="Arial"/>
          <w:sz w:val="17"/>
          <w:szCs w:val="17"/>
          <w:color w:val="auto"/>
        </w:rPr>
      </w:pPr>
    </w:p>
    <w:p>
      <w:pPr>
        <w:jc w:val="both"/>
        <w:ind w:right="220" w:firstLine="987"/>
        <w:spacing w:after="0" w:line="279" w:lineRule="auto"/>
        <w:tabs>
          <w:tab w:leader="none" w:pos="138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making of any Dispositions unless (a) such Dispositions are otherwise permitted under the New Term Loan and the New ABL and (b) the Corporation uses the Net Cash Proceeds from such Disposition to permanently repay Indebtedness and extinguish all commitments for the Indebtedness and, insofar as there are any remaining Net Cash Proceeds from any Dispositions after repayment and extinguishment of all such Indebtedness in excess of $25 million, such excess is applied to redeem shares of Series D Preferred Stock;</w:t>
      </w:r>
    </w:p>
    <w:p>
      <w:pPr>
        <w:spacing w:after="0" w:line="171" w:lineRule="exact"/>
        <w:rPr>
          <w:rFonts w:ascii="Arial" w:cs="Arial" w:eastAsia="Arial" w:hAnsi="Arial"/>
          <w:sz w:val="17"/>
          <w:szCs w:val="17"/>
          <w:color w:val="auto"/>
        </w:rPr>
      </w:pPr>
    </w:p>
    <w:p>
      <w:pPr>
        <w:ind w:left="1420" w:hanging="43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voluntary Liquidation or bankruptcy filing; and</w:t>
      </w:r>
    </w:p>
    <w:p>
      <w:pPr>
        <w:spacing w:after="0" w:line="225" w:lineRule="exact"/>
        <w:rPr>
          <w:rFonts w:ascii="Arial" w:cs="Arial" w:eastAsia="Arial" w:hAnsi="Arial"/>
          <w:sz w:val="18"/>
          <w:szCs w:val="18"/>
          <w:color w:val="auto"/>
        </w:rPr>
      </w:pPr>
    </w:p>
    <w:p>
      <w:pPr>
        <w:ind w:left="1480" w:hanging="493"/>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 to take any of the foregoing actions.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authorization or creation of, or the increase in the number of authorized or issued shares of, or any securities convertible into shares of, or the reclassification of any security (other than the Series D Preferred Stock) into, or the issuance of, Junior Securities will not require the vote of the holders of the Series D Preferred Stock as long as the proceeds from any such issuance consist entirely of cash and the net proceeds are used by the Corporation to repay indebtedness of the Corporation and/or its Subsidiaries from any such issuance (after payment of related expenses and underwriting, placement agent or broker fees in connection with such issuance) or to redeem shares of Series D Preferred Stock and/or pay any Series D Dividend, or pursuant to an equity incentive plan.</w:t>
      </w:r>
    </w:p>
    <w:p>
      <w:pPr>
        <w:spacing w:after="0" w:line="192" w:lineRule="exact"/>
        <w:rPr>
          <w:sz w:val="20"/>
          <w:szCs w:val="20"/>
          <w:color w:val="auto"/>
        </w:rPr>
      </w:pPr>
    </w:p>
    <w:p>
      <w:pPr>
        <w:ind w:right="160" w:firstLine="440"/>
        <w:spacing w:after="0" w:line="29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In addition to, and without limiting, any of the rights and remedies the holders of Series D Preferred Stock would have at law or in equity, in the event of a breach of any provision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by the Corporation or its Subsidiaries: (a) the Corporation shall be required to give prompt notice of such breach to the holders of Series D Preferred Stock; (b) the then effective Cash Dividend Rate and Preference Accrual Rate shall each increase by an amount equal to 4.0% per annum above the amount otherwise applicable under Section 3.1 hereof (and subject to additional increases pursuant to the terms thereof) from the date such breach first occurred until the date (if any) that the Corporation shall have remedied such breach; and (c) in the event that the Corporation shall not have cured such breach within thirty (30) days of the first occurrence of the breach, each holder of Series D Preferred Stock shall have the right to require the redemption of, and the Corporation shall be required to redeem, any or all of its shares of Series D Preferred Stock in accordance with the terms and procedures set forth in </w:t>
      </w:r>
      <w:r>
        <w:rPr>
          <w:rFonts w:ascii="Arial" w:cs="Arial" w:eastAsia="Arial" w:hAnsi="Arial"/>
          <w:sz w:val="16"/>
          <w:szCs w:val="16"/>
          <w:u w:val="single" w:color="auto"/>
          <w:color w:val="auto"/>
        </w:rPr>
        <w:t>Section 7.2(i)(b)</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ind w:left="4"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 </w:t>
      </w:r>
      <w:r>
        <w:rPr>
          <w:rFonts w:ascii="Arial" w:cs="Arial" w:eastAsia="Arial" w:hAnsi="Arial"/>
          <w:sz w:val="18"/>
          <w:szCs w:val="18"/>
          <w:u w:val="single" w:color="auto"/>
          <w:color w:val="auto"/>
        </w:rPr>
        <w:t>Non-Convertible Stock</w:t>
      </w:r>
      <w:r>
        <w:rPr>
          <w:rFonts w:ascii="Arial" w:cs="Arial" w:eastAsia="Arial" w:hAnsi="Arial"/>
          <w:sz w:val="18"/>
          <w:szCs w:val="18"/>
          <w:color w:val="auto"/>
        </w:rPr>
        <w:t>. The shares of Series D Preferred Stock shall not be convertible into or exchangeable for shares of Common Stock or any other security.</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Optional Redemption by the Corporation</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72" w:lineRule="auto"/>
        <w:tabs>
          <w:tab w:leader="none" w:pos="1342"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The Corporation has the option in its sole discretion, from time to time, other than in connection with a Liquidation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to redeem all or a portion of (but in no event in increments of fewer than 25,000 shares of Series D Preferred Stock) the then outstanding shares of Series D Preferred Stock at a redemption price per share of Series D Preferred Stock payable in cash on the Optional Redemption Date via wire transfer to an account designated by the holder of Series D Preferred Shares being redeemed in an amount equal to the Liquidation Preference then in effect of such share of Series D Preferred Stock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If the Corporation redeems only a portion of the then outstanding shares of Series D Preferred Stock, the shares of Series D Preferred Stock subject to such redemption shall be allocated pro rata among the holders of the then outstanding shares of Series D Preferred Stock.</w:t>
      </w:r>
    </w:p>
    <w:p>
      <w:pPr>
        <w:spacing w:after="0" w:line="177" w:lineRule="exact"/>
        <w:rPr>
          <w:rFonts w:ascii="Arial" w:cs="Arial" w:eastAsia="Arial" w:hAnsi="Arial"/>
          <w:sz w:val="17"/>
          <w:szCs w:val="17"/>
          <w:color w:val="auto"/>
        </w:rPr>
      </w:pPr>
    </w:p>
    <w:p>
      <w:pPr>
        <w:ind w:left="4" w:right="200" w:firstLine="987"/>
        <w:spacing w:after="0" w:line="287" w:lineRule="auto"/>
        <w:tabs>
          <w:tab w:leader="none" w:pos="1392"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The Corporation may exercise its redemption option under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Section 7.2(ii)</w:t>
      </w:r>
      <w:r>
        <w:rPr>
          <w:rFonts w:ascii="Arial" w:cs="Arial" w:eastAsia="Arial" w:hAnsi="Arial"/>
          <w:sz w:val="16"/>
          <w:szCs w:val="16"/>
          <w:color w:val="auto"/>
        </w:rPr>
        <w:t xml:space="preserve"> in the event of a Change of Control) by delivery of a written notice to the holders of the shares of Series D Preferred Stock (the “</w:t>
      </w:r>
      <w:r>
        <w:rPr>
          <w:rFonts w:ascii="Arial" w:cs="Arial" w:eastAsia="Arial" w:hAnsi="Arial"/>
          <w:sz w:val="16"/>
          <w:szCs w:val="16"/>
          <w:u w:val="single" w:color="auto"/>
          <w:color w:val="auto"/>
        </w:rPr>
        <w:t>Optional Redemption Notice</w:t>
      </w:r>
      <w:r>
        <w:rPr>
          <w:rFonts w:ascii="Arial" w:cs="Arial" w:eastAsia="Arial" w:hAnsi="Arial"/>
          <w:sz w:val="16"/>
          <w:szCs w:val="16"/>
          <w:color w:val="auto"/>
        </w:rPr>
        <w:t>”). Such redemption shall be completed on a date specified in the Optional Redemption Notice, which shall be not less than five (5) Business Days and not more than sixty</w:t>
      </w:r>
    </w:p>
    <w:p>
      <w:pPr>
        <w:spacing w:after="0" w:line="2" w:lineRule="exact"/>
        <w:rPr>
          <w:rFonts w:ascii="Arial" w:cs="Arial" w:eastAsia="Arial" w:hAnsi="Arial"/>
          <w:sz w:val="16"/>
          <w:szCs w:val="16"/>
          <w:color w:val="auto"/>
        </w:rPr>
      </w:pPr>
    </w:p>
    <w:p>
      <w:pPr>
        <w:ind w:left="4" w:right="60" w:hanging="4"/>
        <w:spacing w:after="0" w:line="290" w:lineRule="auto"/>
        <w:tabs>
          <w:tab w:leader="none" w:pos="3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Days following the date of the Optional Redemption Notice (the “</w:t>
      </w:r>
      <w:r>
        <w:rPr>
          <w:rFonts w:ascii="Arial" w:cs="Arial" w:eastAsia="Arial" w:hAnsi="Arial"/>
          <w:sz w:val="16"/>
          <w:szCs w:val="16"/>
          <w:u w:val="single" w:color="auto"/>
          <w:color w:val="auto"/>
        </w:rPr>
        <w:t>Optional Redemption Date</w:t>
      </w:r>
      <w:r>
        <w:rPr>
          <w:rFonts w:ascii="Arial" w:cs="Arial" w:eastAsia="Arial" w:hAnsi="Arial"/>
          <w:sz w:val="16"/>
          <w:szCs w:val="16"/>
          <w:color w:val="auto"/>
        </w:rPr>
        <w:t>”) and may, subject to the Corporation’s discretion, be subject to one or more conditions precedent. The Optional Redemption Notice shall state (a) the Redemption Price, (b) the Optional Redemption Date, (c) that dividends on the shares of Series D Preferred Stock will cease to accrue on the Optional Redemption Date, (d) that the holder is to surrender to the Corporation, in the manner and at the price designated, its shares of Series D Preferred Stock in accordance with the notice and the applicable procedures of any applicable depository or transfer agent, and (e) if fewer than all of the shares of Series D Preferred Stock held by any holder are to be redeemed, then the number of shares of Series D Preferred Stock held by such holder to be redeemed.</w:t>
      </w:r>
    </w:p>
    <w:p>
      <w:pPr>
        <w:spacing w:after="0" w:line="27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Optional Redemption Upon a Change of Control</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59" w:lineRule="auto"/>
        <w:tabs>
          <w:tab w:leader="none" w:pos="134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Redemption at Holder’s Option</w:t>
      </w:r>
      <w:r>
        <w:rPr>
          <w:rFonts w:ascii="Arial" w:cs="Arial" w:eastAsia="Arial" w:hAnsi="Arial"/>
          <w:sz w:val="18"/>
          <w:szCs w:val="18"/>
          <w:color w:val="auto"/>
        </w:rPr>
        <w:t>. If at any time, a Change of Control (as defined in the Securities Purchase Agreement) of the Corporation occurs and there are shares of Series D Preferred Stock then outstanding, each holder shall have the right, at such holder’s option, to require the Corporation to redeem all or a portion of such holder’s shares of Series D Preferred Stock for cash at the Redemption Price then in effect on the Holder Redemption Date.</w:t>
      </w:r>
    </w:p>
    <w:p>
      <w:pPr>
        <w:spacing w:after="0" w:line="78" w:lineRule="exact"/>
        <w:rPr>
          <w:rFonts w:ascii="Arial" w:cs="Arial" w:eastAsia="Arial" w:hAnsi="Arial"/>
          <w:sz w:val="18"/>
          <w:szCs w:val="18"/>
          <w:color w:val="auto"/>
        </w:rPr>
      </w:pPr>
    </w:p>
    <w:p>
      <w:pPr>
        <w:ind w:left="444" w:firstLine="948"/>
        <w:spacing w:after="0" w:line="257" w:lineRule="auto"/>
        <w:tabs>
          <w:tab w:leader="none" w:pos="17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Corporation shall give written notice (the “</w:t>
      </w:r>
      <w:r>
        <w:rPr>
          <w:rFonts w:ascii="Arial" w:cs="Arial" w:eastAsia="Arial" w:hAnsi="Arial"/>
          <w:sz w:val="18"/>
          <w:szCs w:val="18"/>
          <w:u w:val="single" w:color="auto"/>
          <w:color w:val="auto"/>
        </w:rPr>
        <w:t>Redemption Event Notice</w:t>
      </w:r>
      <w:r>
        <w:rPr>
          <w:rFonts w:ascii="Arial" w:cs="Arial" w:eastAsia="Arial" w:hAnsi="Arial"/>
          <w:sz w:val="18"/>
          <w:szCs w:val="18"/>
          <w:color w:val="auto"/>
        </w:rPr>
        <w:t>”) promptly, and in no event later than the applicable Holder Redemption Notice Date, to all holders of record of shares of Series D Preferred Stock. Each Redemption Event Notice shall specify (i) the events causing the Change of Control, (ii) the Redemption Price, (iii) the Holder Redemption Date, and (iv) the procedures that holders must follow in order to require the Corporation to redeem the shares of Series D Preferred Stock, which shall include a form of Demand Notice and delivery instructions for the same.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4" w:name="page15"/>
    <w:bookmarkEnd w:id="14"/>
    <w:p>
      <w:pPr>
        <w:ind w:left="440" w:firstLine="948"/>
        <w:spacing w:after="0" w:line="268" w:lineRule="auto"/>
        <w:tabs>
          <w:tab w:leader="none" w:pos="1782" w:val="left"/>
        </w:tabs>
        <w:numPr>
          <w:ilvl w:val="1"/>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Redemption of shares of Series D Preferred Stock pursuant to this </w:t>
      </w:r>
      <w:r>
        <w:rPr>
          <w:rFonts w:ascii="Arial" w:cs="Arial" w:eastAsia="Arial" w:hAnsi="Arial"/>
          <w:sz w:val="17"/>
          <w:szCs w:val="17"/>
          <w:u w:val="single" w:color="auto"/>
          <w:color w:val="auto"/>
        </w:rPr>
        <w:t>Section 7.2(i)</w:t>
      </w:r>
      <w:r>
        <w:rPr>
          <w:rFonts w:ascii="Arial" w:cs="Arial" w:eastAsia="Arial" w:hAnsi="Arial"/>
          <w:sz w:val="17"/>
          <w:szCs w:val="17"/>
          <w:color w:val="auto"/>
        </w:rPr>
        <w:t xml:space="preserve"> shall be made, at the option of the holder, upon written notice (a “</w:t>
      </w:r>
      <w:r>
        <w:rPr>
          <w:rFonts w:ascii="Arial" w:cs="Arial" w:eastAsia="Arial" w:hAnsi="Arial"/>
          <w:sz w:val="17"/>
          <w:szCs w:val="17"/>
          <w:u w:val="single" w:color="auto"/>
          <w:color w:val="auto"/>
        </w:rPr>
        <w:t>Demand Notice</w:t>
      </w:r>
      <w:r>
        <w:rPr>
          <w:rFonts w:ascii="Arial" w:cs="Arial" w:eastAsia="Arial" w:hAnsi="Arial"/>
          <w:sz w:val="17"/>
          <w:szCs w:val="17"/>
          <w:color w:val="auto"/>
        </w:rPr>
        <w:t>”) delivered to the Corporation prior to the Holder Redemption Date that the Corporation redeem in cash all or a portion of the shares of Series D Preferred Stock held by such holder. As promptly as practicable following the date of the applicable Demand Notice (but in no event later than the applicable Holder Redemption Date), each holder shall (i) in the event that the shares of Series D Preferred Stock to be redeemed are uncertificated, such shares shall be redeemed in accordance with the notice and applicable procedures of any depository or transfer agent and no further action on the part of the holders of such stock shall be required, or (ii) in the event that the shares of Series D Preferred Stock are certificated, surrender the certificate or certificates representing the Series D Preferred Stock requested to be redeemed by such holder, duly endorsed (or otherwise in proper form for transfer, as determined by the Corporation), in the manner and at the place designated in the Redemption Event Notice. On the applicable Holder Redemption Date, the full Redemption Price for the shares requested to be redeemed shall be paid by the Corporation in cash to the holder as indicated on the Demand Notice and, to the extent such shares are certificated, each surrendered certificate shall be canceled and retired. The Company shall not be permitted to consummate a Change of Control unless all shares of Series D Preferred Stock required to be redeemed under this Section 7.2(i) shall be redeemed prior to or substantially concurrently with the consummation of such Change of Control.</w:t>
      </w:r>
    </w:p>
    <w:p>
      <w:pPr>
        <w:spacing w:after="0" w:line="186" w:lineRule="exact"/>
        <w:rPr>
          <w:rFonts w:ascii="Arial" w:cs="Arial" w:eastAsia="Arial" w:hAnsi="Arial"/>
          <w:sz w:val="17"/>
          <w:szCs w:val="17"/>
          <w:color w:val="auto"/>
        </w:rPr>
      </w:pPr>
    </w:p>
    <w:p>
      <w:pPr>
        <w:ind w:right="320" w:firstLine="987"/>
        <w:spacing w:after="0" w:line="259"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Redemption at Corporation’s Option</w:t>
      </w:r>
      <w:r>
        <w:rPr>
          <w:rFonts w:ascii="Arial" w:cs="Arial" w:eastAsia="Arial" w:hAnsi="Arial"/>
          <w:sz w:val="18"/>
          <w:szCs w:val="18"/>
          <w:color w:val="auto"/>
        </w:rPr>
        <w:t xml:space="preserve">. If at any time a Change of Control (as defined in the Securities Purchase Agreement) of the Corporation occurs and there are shares of Series D Preferred Stock then outstanding, the Corporation shall have the option in its sole discretion, to redeem all or a portion of the then outstanding shares of Series D Preferred Stock, in the manner set forth in </w:t>
      </w:r>
      <w:r>
        <w:rPr>
          <w:rFonts w:ascii="Arial" w:cs="Arial" w:eastAsia="Arial" w:hAnsi="Arial"/>
          <w:sz w:val="18"/>
          <w:szCs w:val="18"/>
          <w:u w:val="single" w:color="auto"/>
          <w:color w:val="auto"/>
        </w:rPr>
        <w:t>Section 7.1(i)</w:t>
      </w:r>
      <w:r>
        <w:rPr>
          <w:rFonts w:ascii="Arial" w:cs="Arial" w:eastAsia="Arial" w:hAnsi="Arial"/>
          <w:sz w:val="18"/>
          <w:szCs w:val="18"/>
          <w:color w:val="auto"/>
        </w:rPr>
        <w:t xml:space="preserve"> above, for cash at the Redemption Price then in effect on the Optional Redemption Date.</w:t>
      </w:r>
    </w:p>
    <w:p>
      <w:pPr>
        <w:spacing w:after="0" w:line="18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Effect of Redemption</w:t>
      </w:r>
      <w:r>
        <w:rPr>
          <w:rFonts w:ascii="Arial" w:cs="Arial" w:eastAsia="Arial" w:hAnsi="Arial"/>
          <w:sz w:val="17"/>
          <w:szCs w:val="17"/>
          <w:color w:val="auto"/>
        </w:rPr>
        <w:t>. On and after a Redemption Date, all rights of the shares of Series D Preferred Stock to be redeemed and the rights of the holders of such shares with respect to such redeemed shares of Series D Preferred Stock shall terminate with respect thereto on such Redemption Date, other than the right of the holders of the Series D Preferred Stock to receive cash in exchange thereof.</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Transfer; Registration</w:t>
      </w:r>
      <w:r>
        <w:rPr>
          <w:rFonts w:ascii="Arial" w:cs="Arial" w:eastAsia="Arial" w:hAnsi="Arial"/>
          <w:sz w:val="18"/>
          <w:szCs w:val="18"/>
          <w:color w:val="auto"/>
        </w:rPr>
        <w:t>.</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Restrictive Legend</w:t>
      </w:r>
      <w:r>
        <w:rPr>
          <w:rFonts w:ascii="Arial" w:cs="Arial" w:eastAsia="Arial" w:hAnsi="Arial"/>
          <w:sz w:val="16"/>
          <w:szCs w:val="16"/>
          <w:color w:val="auto"/>
        </w:rPr>
        <w:t>. The shares of Series D Preferred Stock (unless and until registered under the Securities Act of 1933, as amended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or transferred pursuant to Rule 144 promulgated under the Securities Act, or any successor rule or regulation hereafter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as such rule may be amended from time to time (“</w:t>
      </w:r>
      <w:r>
        <w:rPr>
          <w:rFonts w:ascii="Arial" w:cs="Arial" w:eastAsia="Arial" w:hAnsi="Arial"/>
          <w:sz w:val="17"/>
          <w:szCs w:val="17"/>
          <w:u w:val="single" w:color="auto"/>
          <w:color w:val="auto"/>
        </w:rPr>
        <w:t>Rule 144</w:t>
      </w:r>
      <w:r>
        <w:rPr>
          <w:rFonts w:ascii="Arial" w:cs="Arial" w:eastAsia="Arial" w:hAnsi="Arial"/>
          <w:sz w:val="17"/>
          <w:szCs w:val="17"/>
          <w:color w:val="auto"/>
        </w:rPr>
        <w:t>”)), will be stamped or imprinted with a legend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the following form:</w:t>
      </w:r>
    </w:p>
    <w:p>
      <w:pPr>
        <w:spacing w:after="0" w:line="103"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 w:name="page16"/>
    <w:bookmarkEnd w:id="1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 </w:t>
      </w: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unless otherwise provided in the Securities Purchase Agreement, any holder of Series D Preferred Stock may sell, assign, transfer, pledge or dispose of all or any portion of such holder’s shares of Series D Preferred Stock at any time or from time to time.</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Register; Book Entry Form</w:t>
      </w:r>
      <w:r>
        <w:rPr>
          <w:rFonts w:ascii="Arial" w:cs="Arial" w:eastAsia="Arial" w:hAnsi="Arial"/>
          <w:sz w:val="17"/>
          <w:szCs w:val="17"/>
          <w:color w:val="auto"/>
        </w:rPr>
        <w:t>. The Corporation shall keep at its principal office a register for the registration of Series D Preferred Stock. Any certificate representing Series D Preferred Stock shall be held by the Company (or the Company’s transfer agent) in book-entry form, unless any Holder requests the physical delivery of such certificate. Upon the surrender of any certificate representing Series D Preferred Stock at such place, the Corporation shall, at the request of the record holder of such certificate, execute and deliver (at the Corporation’s expense) a new certificate or certificates in exchange therefor representing in the aggregate the number of shares of Series D Preferred Stock represented by the surrendered certificate. Each such new certificate shall be registered in such name and shall represent such number of shares of Series D Preferred Stock as is requested by the holder of the surrendered certificate and shall be substantially identical in form to the surrendered certificate, and dividends shall accrue on the Series D Preferred Stock represented by such new certificate from the date to which dividends have been fully paid on such Series D Preferred Stock represented by the surrendered certificate.</w:t>
      </w:r>
    </w:p>
    <w:p>
      <w:pPr>
        <w:spacing w:after="0" w:line="18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Replacement</w:t>
      </w:r>
      <w:r>
        <w:rPr>
          <w:rFonts w:ascii="Arial" w:cs="Arial" w:eastAsia="Arial" w:hAnsi="Arial"/>
          <w:sz w:val="17"/>
          <w:szCs w:val="17"/>
          <w:color w:val="auto"/>
        </w:rPr>
        <w:t>. Upon receipt of evidence reasonably satisfactory to the Corporation (an affidavit of the registered holder shall be satisfactory) of the ownership and the loss, theft, destruction or mutilation of any certificate evidencing shares of Series D Preferred Stock,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and dividends shall accrue on the Series D Preferred Stock represented by such new certificate from the date to which dividends have been fully paid on such lost, stolen, destroyed or mutilated certificate.</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Certificate of Designation: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Appraiser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right="30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controls, is controlled by, or under common control with such Person; for purposes of this definition, the term “</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correlative meanings of the terms “</w:t>
      </w:r>
      <w:r>
        <w:rPr>
          <w:rFonts w:ascii="Arial" w:cs="Arial" w:eastAsia="Arial" w:hAnsi="Arial"/>
          <w:sz w:val="17"/>
          <w:szCs w:val="17"/>
          <w:u w:val="single" w:color="auto"/>
          <w:color w:val="auto"/>
        </w:rPr>
        <w:t>controlled by</w:t>
      </w:r>
      <w:r>
        <w:rPr>
          <w:rFonts w:ascii="Arial" w:cs="Arial" w:eastAsia="Arial" w:hAnsi="Arial"/>
          <w:sz w:val="17"/>
          <w:szCs w:val="17"/>
          <w:color w:val="auto"/>
        </w:rPr>
        <w:t>” and</w:t>
      </w:r>
    </w:p>
    <w:p>
      <w:pPr>
        <w:ind w:right="50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w:t>
      </w:r>
      <w:r>
        <w:rPr>
          <w:rFonts w:ascii="Arial" w:cs="Arial" w:eastAsia="Arial" w:hAnsi="Arial"/>
          <w:sz w:val="18"/>
          <w:szCs w:val="18"/>
          <w:color w:val="auto"/>
        </w:rPr>
        <w:t>” means any Initial Appraiser or Additional Appraiser.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(including any authorized committee thereof) of the Corporation.</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excluding Saturday, Sunday or any day which is a legal holiday under the laws of the State of New York or on which banking institutions are authorized or required by law or other governmental action to close.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 w:name="page17"/>
    <w:bookmarkEnd w:id="16"/>
    <w:p>
      <w:pPr>
        <w:ind w:right="3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and (iv) any other equity interest in, or right to vote generally in elections of directors or the comparable governing body of,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Dividend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Corporation’s Restated Certificate of Incorporation, as amended.</w:t>
      </w:r>
    </w:p>
    <w:p>
      <w:pPr>
        <w:spacing w:after="0" w:line="225" w:lineRule="exact"/>
        <w:rPr>
          <w:sz w:val="20"/>
          <w:szCs w:val="20"/>
          <w:color w:val="auto"/>
        </w:rPr>
      </w:pPr>
    </w:p>
    <w:p>
      <w:pPr>
        <w:jc w:val="both"/>
        <w:ind w:right="6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collectively, the Corporation’s Common Stock and any Capital Stock of any class of the Corporation hereafter authorized which is not limited to a fixed sum or percentage of par or stated value in respect to the rights of the holders thereof to participate in dividends or in the distribution of assets upon any liquidation, dissolution or winding up of the Corporation.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has the meaning given such term in the New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7.2(i)(b)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Dispositions</w:t>
      </w:r>
      <w:r>
        <w:rPr>
          <w:rFonts w:ascii="Arial" w:cs="Arial" w:eastAsia="Arial" w:hAnsi="Arial"/>
          <w:sz w:val="18"/>
          <w:szCs w:val="18"/>
          <w:color w:val="auto"/>
        </w:rPr>
        <w:t>” has the meaning given to such term in the New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of Series D Preferred Stock means a Person in whose name the shares of the Series D Preferred Stock are registered, which Person shall be treated by the Corporation, and any transfer agent, registrar, paying agent and conversion agent of the Corporation, as the absolute owner of the shares of Series D Preferred Stock for the purpose of making payment and settling conversions and for all other purposes; provided that, to the fullest extent permitted by law, no Person that has received shares of Series D Preferred Stock in violation of the Securities Purchase Agreement or this Certificate of Designation shall be a holder, and any such transfer agent, registrar, paying agent and conversion agent, as applicable, shall not, unless directed otherwise by the Corporation, recognize any such Person as a holder and the Person in whose name the shares of the Series D Preferred Stock were registered immediately prior to such transfer shall remain the holder of such shares.</w:t>
      </w:r>
    </w:p>
    <w:p>
      <w:pPr>
        <w:spacing w:after="0" w:line="17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Redemption Date</w:t>
      </w:r>
      <w:r>
        <w:rPr>
          <w:rFonts w:ascii="Arial" w:cs="Arial" w:eastAsia="Arial" w:hAnsi="Arial"/>
          <w:sz w:val="18"/>
          <w:szCs w:val="18"/>
          <w:color w:val="auto"/>
        </w:rPr>
        <w:t>” means the date specified by the Corporation in the Redemption Event Notice, which date shall be no earlier than ten (10) Business Days following the Redemption Event Notice is given.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Redemption Notice Date</w:t>
      </w:r>
      <w:r>
        <w:rPr>
          <w:rFonts w:ascii="Arial" w:cs="Arial" w:eastAsia="Arial" w:hAnsi="Arial"/>
          <w:sz w:val="18"/>
          <w:szCs w:val="18"/>
          <w:color w:val="auto"/>
        </w:rPr>
        <w:t>” shall be the date on which the Corporation is required to give notice of a Change of Control, which shall be no later than the earlier of (i) ten (10) Business Days prior to a Change of Control or (ii) five (5) Business Days following the entry into any agreement by the Corporation that, if consummated, would result in a Change of Control.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has the meaning given to such term in the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Appraisers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4" w:right="5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Initial Liquidation Preference</w:t>
      </w:r>
      <w:r>
        <w:rPr>
          <w:rFonts w:ascii="Arial" w:cs="Arial" w:eastAsia="Arial" w:hAnsi="Arial"/>
          <w:sz w:val="18"/>
          <w:szCs w:val="18"/>
          <w:color w:val="auto"/>
        </w:rPr>
        <w:t>” means $1,000 per share of Series D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March 22, 2021.</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xml:space="preserve">” means any Capital Stock of the Corporation, except for the Series D Preferred Stock or any other class or series of the Corporation’s Capital Stock which is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D Preferred Stock with respect to preference and priority on dividends or liquidation as permitted by the terms of the Series D Preferred Stock hereunder.</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means, with respect to any share of Series D Preferred Stock, on any given date, an amount in cash equal to the greater of (i) the Initial Liquidation Preference as such amount may have been increased for any Liquidation Preference Adjustment and any Specified Date Adjustment, plus, without duplication, all accrued and unpaid distributions or dividends, and (ii) the Minimum Amount.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an amount equal to 140% of the Initial Liquidation Preference.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Credit Facility</w:t>
      </w:r>
      <w:r>
        <w:rPr>
          <w:rFonts w:ascii="Arial" w:cs="Arial" w:eastAsia="Arial" w:hAnsi="Arial"/>
          <w:sz w:val="18"/>
          <w:szCs w:val="18"/>
          <w:color w:val="auto"/>
        </w:rPr>
        <w:t>” means (i) that certain Term Loan Credit Agreement, entered into on March 22, 2021, by and between the Company, as borrower, and Oaktree Fund Administration, LLC, as administrative agent (the “</w:t>
      </w:r>
      <w:r>
        <w:rPr>
          <w:rFonts w:ascii="Arial" w:cs="Arial" w:eastAsia="Arial" w:hAnsi="Arial"/>
          <w:sz w:val="18"/>
          <w:szCs w:val="18"/>
          <w:u w:val="single" w:color="auto"/>
          <w:color w:val="auto"/>
        </w:rPr>
        <w:t>New Term Loan</w:t>
      </w:r>
      <w:r>
        <w:rPr>
          <w:rFonts w:ascii="Arial" w:cs="Arial" w:eastAsia="Arial" w:hAnsi="Arial"/>
          <w:sz w:val="18"/>
          <w:szCs w:val="18"/>
          <w:color w:val="auto"/>
        </w:rPr>
        <w:t>”), as in effect on the Issuance Date and (ii) that certain Credit Agreement, entered into on March 22, 2021, by and among the Company, the other loan parties thereto, the lender parties thereto, and JPMorgan Chase Bank, N.A. (the “</w:t>
      </w:r>
      <w:r>
        <w:rPr>
          <w:rFonts w:ascii="Arial" w:cs="Arial" w:eastAsia="Arial" w:hAnsi="Arial"/>
          <w:sz w:val="18"/>
          <w:szCs w:val="18"/>
          <w:u w:val="single" w:color="auto"/>
          <w:color w:val="auto"/>
        </w:rPr>
        <w:t>New ABL</w:t>
      </w:r>
      <w:r>
        <w:rPr>
          <w:rFonts w:ascii="Arial" w:cs="Arial" w:eastAsia="Arial" w:hAnsi="Arial"/>
          <w:sz w:val="18"/>
          <w:szCs w:val="18"/>
          <w:color w:val="auto"/>
        </w:rPr>
        <w:t>”), as in effect on the Issuance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7.1(ii)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means any Capital Stock of the Corporation, the terms of which provide that such class or series ranks on a parity with the Series D Preferred Stock with respect to preference and priority on dividends or liquidation of the Corporation as permitted by the terms of the Series D Preferred Stock hereunder.</w:t>
      </w:r>
    </w:p>
    <w:p>
      <w:pPr>
        <w:spacing w:after="0" w:line="18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Accrual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means, as applicable, the Optional Redemption Date or Holder Redemption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Event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7.2(i)(a)</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Purchase Agreement</w:t>
      </w:r>
      <w:r>
        <w:rPr>
          <w:rFonts w:ascii="Arial" w:cs="Arial" w:eastAsia="Arial" w:hAnsi="Arial"/>
          <w:sz w:val="18"/>
          <w:szCs w:val="18"/>
          <w:color w:val="auto"/>
        </w:rPr>
        <w:t>” shall mean that certain Securities Purchase Agreement, dated as of March 22, 2021, among the Corporation and the other parties thereto.</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Capital Stock of the Corporation, the terms of which expressly provide that such class or series ranks senior to the Series D Preferred Stock with respect to preference and priority on dividends or liquidation of the Corporation as permitted by the terms of the Series D Preferred Stock hereunder.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Series D Dividend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Date</w:t>
      </w:r>
      <w:r>
        <w:rPr>
          <w:rFonts w:ascii="Arial" w:cs="Arial" w:eastAsia="Arial" w:hAnsi="Arial"/>
          <w:sz w:val="18"/>
          <w:szCs w:val="18"/>
          <w:color w:val="auto"/>
        </w:rPr>
        <w:t>” means the March 22, 2026.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Date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as to any Person, any corporation or other entity of which: (a)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 such corporation or other entity shall have or might have voting power by reason of the happening of any contingency) is at the time directly or indirectly owned or controlled by such Person or one or more of its Subsidiaries; (b) such Person or a Subsidiary of such Person is a general partner or, in the case of a limited liability company, the sole or managing member or manager thereof; or (c) any corporation or other entity as to which such Person consolidates for accounting purposes; </w:t>
      </w:r>
      <w:r>
        <w:rPr>
          <w:rFonts w:ascii="Arial" w:cs="Arial" w:eastAsia="Arial" w:hAnsi="Arial"/>
          <w:sz w:val="17"/>
          <w:szCs w:val="17"/>
          <w:i w:val="1"/>
          <w:iCs w:val="1"/>
          <w:color w:val="auto"/>
        </w:rPr>
        <w:t>provided</w:t>
      </w:r>
      <w:r>
        <w:rPr>
          <w:rFonts w:ascii="Arial" w:cs="Arial" w:eastAsia="Arial" w:hAnsi="Arial"/>
          <w:sz w:val="17"/>
          <w:szCs w:val="17"/>
          <w:color w:val="auto"/>
        </w:rPr>
        <w:t>, however, for the avoidance of doubt that the Wuxi JV (as defined in the Securities Purchase Agreement) shall not be considered a Subsidiary of the Corporation for purposes of this Certificate of Designation.</w:t>
      </w:r>
    </w:p>
    <w:p>
      <w:pPr>
        <w:spacing w:after="0" w:line="17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set forth herein, no amendment, modification, alteration, repeal or waiver (whether by merger, consolidation or otherwise) of any provision of this Certificate of Designation shall be binding or effective without the prior written consent of the holders of a majority of the Series D Preferred Stock outstanding at the time such action is taken.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expressly provided hereunder, all notices referred to herein shall be in writing and all notices hereunder shall be deemed to have been given upon the earlier of receipt thereof or three (3) Business Days after the mailing thereof if sent by registered or certified mail with postage prepaid, or by private courier service addressed: (i) if to the Corporation, to its office at NN, Inc., 6210 Ardrey Kell Road, Charlotte, North Carolina 28277 (Attention: General Counsel);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92"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Series D Preferred Stock shall not have any rights, preferences, privileges or voting powers or relative, participating, optional or other special rights, or qualifications, limitations or restrictions thereof, other than as set forth herein or in the Certificate of Incorporation or as provided by applicable law and regulation.</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19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sections and subsections hereof are for convenience of reference only and shall not affect the interpretation of any of the provisions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9" w:name="page20"/>
    <w:bookmarkEnd w:id="19"/>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Arial" w:cs="Arial" w:eastAsia="Arial" w:hAnsi="Arial"/>
          <w:sz w:val="18"/>
          <w:szCs w:val="18"/>
          <w:u w:val="single" w:color="auto"/>
          <w:color w:val="auto"/>
        </w:rPr>
        <w:t>Cancellation of Series D Preferred Stock</w:t>
      </w:r>
      <w:r>
        <w:rPr>
          <w:rFonts w:ascii="Arial" w:cs="Arial" w:eastAsia="Arial" w:hAnsi="Arial"/>
          <w:sz w:val="18"/>
          <w:szCs w:val="18"/>
          <w:color w:val="auto"/>
        </w:rPr>
        <w:t>. Any share of Series D Preferred Stock acquired (whether by repurchase, redemption or otherwise) by the Corporation or any of its Subsidiaries shall immediately upon acquisition of such shares of Series D Preferred Stock be cancelled and may not be held in treasury or otherwise by the Corporation or any of its Subsidiaries.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4" w:right="559" w:bottom="1440" w:gutter="0" w:footer="0" w:header="0"/>
        </w:sectPr>
      </w:pPr>
    </w:p>
    <w:bookmarkStart w:id="20" w:name="page21"/>
    <w:bookmarkEnd w:id="20"/>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Designation to be signed and acknowledged by the undersigned this 22nd day of March 2021.</w:t>
      </w:r>
    </w:p>
    <w:p>
      <w:pPr>
        <w:spacing w:after="0" w:line="19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14605</wp:posOffset>
            </wp:positionV>
            <wp:extent cx="2468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jc w:val="right"/>
        <w:spacing w:after="0"/>
        <w:tabs>
          <w:tab w:leader="none" w:pos="3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Certificate of Designation of Series D Perpetual Preferred Stock of NN, Inc.</w:t>
      </w:r>
    </w:p>
    <w:p>
      <w:pPr>
        <w:sectPr>
          <w:pgSz w:w="11900" w:h="16838" w:orient="portrait"/>
          <w:cols w:equalWidth="0" w:num="1">
            <w:col w:w="11000"/>
          </w:cols>
          <w:pgMar w:left="440" w:top="274" w:right="4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WARRANT</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THIS WARRANT AND THE SECURITIES ISSUABLE UPON EXERCISE OF THIS WARRANT HAVE NOT BEEN REGISTERED UNDER THE SECURITIES ACT OF 1933, AS AMENDED (THE “ACT”),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Warrant Certificate No.: CSW-1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Original Issue Date: March 22,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Reissuance Date, if any:</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FOR VALUE RECEIVED,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NHTV Nevada Holdings LP or its registered assigns (the “</w:t>
      </w:r>
      <w:r>
        <w:rPr>
          <w:rFonts w:ascii="Arial" w:cs="Arial" w:eastAsia="Arial" w:hAnsi="Arial"/>
          <w:sz w:val="18"/>
          <w:szCs w:val="18"/>
          <w:u w:val="single" w:color="auto"/>
          <w:color w:val="auto"/>
        </w:rPr>
        <w:t>Holder</w:t>
      </w:r>
      <w:r>
        <w:rPr>
          <w:rFonts w:ascii="Arial" w:cs="Arial" w:eastAsia="Arial" w:hAnsi="Arial"/>
          <w:sz w:val="18"/>
          <w:szCs w:val="18"/>
          <w:color w:val="auto"/>
        </w:rPr>
        <w:t>”) is entitled to purchase from the Company 1,900,000 duly authorized, validly issued, fully paid and nonassessable shares of Common Stock at a purchase price per share of $0.01 (the “</w:t>
      </w:r>
      <w:r>
        <w:rPr>
          <w:rFonts w:ascii="Arial" w:cs="Arial" w:eastAsia="Arial" w:hAnsi="Arial"/>
          <w:sz w:val="18"/>
          <w:szCs w:val="18"/>
          <w:u w:val="single" w:color="auto"/>
          <w:color w:val="auto"/>
        </w:rPr>
        <w:t>Exercise Price</w:t>
      </w:r>
      <w:r>
        <w:rPr>
          <w:rFonts w:ascii="Arial" w:cs="Arial" w:eastAsia="Arial" w:hAnsi="Arial"/>
          <w:sz w:val="18"/>
          <w:szCs w:val="18"/>
          <w:color w:val="auto"/>
        </w:rPr>
        <w:t>”), all subject to the terms, conditions and adjustments set forth below in this Warrant.</w:t>
      </w:r>
    </w:p>
    <w:p>
      <w:pPr>
        <w:spacing w:after="0" w:line="18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Warrant, the following terms have the respective meanings set forth below:</w:t>
      </w:r>
    </w:p>
    <w:p>
      <w:pPr>
        <w:spacing w:after="0" w:line="117" w:lineRule="exact"/>
        <w:rPr>
          <w:sz w:val="20"/>
          <w:szCs w:val="20"/>
          <w:color w:val="auto"/>
        </w:rPr>
      </w:pPr>
    </w:p>
    <w:p>
      <w:pPr>
        <w:ind w:left="440" w:right="24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to direct or cause the direction of the management and policies of such Person whether by contract or otherwise.</w:t>
      </w:r>
    </w:p>
    <w:p>
      <w:pPr>
        <w:spacing w:after="0" w:line="57" w:lineRule="exact"/>
        <w:rPr>
          <w:sz w:val="20"/>
          <w:szCs w:val="20"/>
          <w:color w:val="auto"/>
        </w:rPr>
      </w:pPr>
    </w:p>
    <w:p>
      <w:pPr>
        <w:ind w:left="440"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Exercise Price</w:t>
      </w:r>
      <w:r>
        <w:rPr>
          <w:rFonts w:ascii="Arial" w:cs="Arial" w:eastAsia="Arial" w:hAnsi="Arial"/>
          <w:sz w:val="18"/>
          <w:szCs w:val="18"/>
          <w:color w:val="auto"/>
        </w:rPr>
        <w:t>” means an amount equal to the product of (a) the number of Warrant Shares in respect of which this Warrant is then being exercised pursuant to Section 3 hereof, multiplied by (b) the Exercise Price.</w:t>
      </w:r>
    </w:p>
    <w:p>
      <w:pPr>
        <w:spacing w:after="0" w:line="62" w:lineRule="exact"/>
        <w:rPr>
          <w:sz w:val="20"/>
          <w:szCs w:val="20"/>
          <w:color w:val="auto"/>
        </w:rPr>
      </w:pPr>
    </w:p>
    <w:p>
      <w:pPr>
        <w:ind w:left="440" w:righ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Sunday or legal holiday, on which banking institutions in the State of New York are authorized or obligated by law or executive order to close.</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ascribed to such term in the Purchase Agreement.</w:t>
      </w:r>
    </w:p>
    <w:p>
      <w:pPr>
        <w:spacing w:after="0" w:line="121" w:lineRule="exact"/>
        <w:rPr>
          <w:sz w:val="20"/>
          <w:szCs w:val="20"/>
          <w:color w:val="auto"/>
        </w:rPr>
      </w:pPr>
    </w:p>
    <w:p>
      <w:pPr>
        <w:ind w:left="440" w:right="3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 and any capital stock into which such Common Stock shall have been converted, exchanged or reclassified following the date hereof.</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ectPr>
          <w:pgSz w:w="11900" w:h="16838" w:orient="portrait"/>
          <w:cols w:equalWidth="0" w:num="1">
            <w:col w:w="11020"/>
          </w:cols>
          <w:pgMar w:left="440" w:top="121" w:right="439" w:bottom="1440" w:gutter="0" w:footer="0" w:header="0"/>
        </w:sectPr>
      </w:pPr>
    </w:p>
    <w:bookmarkStart w:id="22" w:name="page23"/>
    <w:bookmarkEnd w:id="22"/>
    <w:p>
      <w:pPr>
        <w:ind w:left="420" w:right="8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Excluded Issuances</w:t>
      </w:r>
      <w:r>
        <w:rPr>
          <w:rFonts w:ascii="Arial" w:cs="Arial" w:eastAsia="Arial" w:hAnsi="Arial"/>
          <w:sz w:val="18"/>
          <w:szCs w:val="18"/>
          <w:color w:val="auto"/>
        </w:rPr>
        <w:t>” means any issuance of shares of any equity securities pursuant to an employee stock option plan, management incentive plan, restricted stock plan, stock purchase plan or stock, ownership plan or similar benefit plan, similar program or similar agreement as approved by the Board of Directors and shareholders of the Company.</w:t>
      </w:r>
    </w:p>
    <w:p>
      <w:pPr>
        <w:spacing w:after="0" w:line="76" w:lineRule="exact"/>
        <w:rPr>
          <w:sz w:val="20"/>
          <w:szCs w:val="20"/>
          <w:color w:val="auto"/>
        </w:rPr>
      </w:pPr>
    </w:p>
    <w:p>
      <w:pPr>
        <w:ind w:left="420"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for any given exercise of this Warrant, the date on which the conditions to such exercise as set forth in Section 3 shall have been satisfied at or prior to 5:00 p.m., New York City, NY time, on a Business Day.</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has the meaning set forth in Section 2.</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jc w:val="both"/>
        <w:ind w:left="420" w:right="160" w:firstLine="42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the Common Stock on any date of determination means (i) if the Common Stock is listed for trading on a national securities exchange, the closing sale price per share of the Common Stock on the trading day immediately prior to such date of determination, as reported by the national securities exchange, (ii) if the Common Stock is not listed on a national securities exchange but is listed in</w:t>
      </w:r>
    </w:p>
    <w:p>
      <w:pPr>
        <w:spacing w:after="0" w:line="2" w:lineRule="exact"/>
        <w:rPr>
          <w:sz w:val="20"/>
          <w:szCs w:val="20"/>
          <w:color w:val="auto"/>
        </w:rPr>
      </w:pPr>
    </w:p>
    <w:p>
      <w:pPr>
        <w:ind w:left="420" w:right="140"/>
        <w:spacing w:after="0" w:line="253" w:lineRule="auto"/>
        <w:rPr>
          <w:sz w:val="20"/>
          <w:szCs w:val="20"/>
          <w:color w:val="auto"/>
        </w:rPr>
      </w:pPr>
      <w:r>
        <w:rPr>
          <w:rFonts w:ascii="Arial" w:cs="Arial" w:eastAsia="Arial" w:hAnsi="Arial"/>
          <w:sz w:val="18"/>
          <w:szCs w:val="18"/>
          <w:color w:val="auto"/>
        </w:rPr>
        <w:t>the over-the-counter market, the average last quoted sale price for the Common Stock (or, if no sale price is reported, the average of the high bid and low asked price for such date) on the trading day immediately prior to such date of determination, in the over-the-counter market as reported by OTC Markets Group Inc. or other similar organization, or (iii) in all other cases, (A) as agreed upon in good faith by the Holder and the Company or (B) as determined by an independent accounting, appraisal or investment banking firm or consultant of nationally recognized standing that is retained at the sole cost and expense of the Company.</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420" w:right="3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limited liability company, corporation, joint venture, trust, incorporated organization or government or department or agency thereof.</w:t>
      </w:r>
    </w:p>
    <w:p>
      <w:pPr>
        <w:spacing w:after="0" w:line="62" w:lineRule="exact"/>
        <w:rPr>
          <w:sz w:val="20"/>
          <w:szCs w:val="20"/>
          <w:color w:val="auto"/>
        </w:rPr>
      </w:pPr>
    </w:p>
    <w:p>
      <w:pPr>
        <w:ind w:left="420" w:right="3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Securities Purchase Agreement among the Company and the other parties thereto, dated as of March 22, 2021.</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means this Warrant and all warrants issued upon division or combination of, or in substitution for, this Warrant.</w:t>
      </w:r>
    </w:p>
    <w:p>
      <w:pPr>
        <w:spacing w:after="0" w:line="117" w:lineRule="exact"/>
        <w:rPr>
          <w:sz w:val="20"/>
          <w:szCs w:val="20"/>
          <w:color w:val="auto"/>
        </w:rPr>
      </w:pPr>
    </w:p>
    <w:p>
      <w:pPr>
        <w:ind w:left="420"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or other capital stock of the Company then purchasable upon exercise of this Warrant in accordance with the terms of this Warrant.</w:t>
      </w:r>
    </w:p>
    <w:p>
      <w:pPr>
        <w:spacing w:after="0" w:line="170" w:lineRule="exact"/>
        <w:rPr>
          <w:sz w:val="20"/>
          <w:szCs w:val="20"/>
          <w:color w:val="auto"/>
        </w:rPr>
      </w:pPr>
    </w:p>
    <w:p>
      <w:pPr>
        <w:ind w:left="-20" w:firstLine="436"/>
        <w:spacing w:after="0" w:line="259"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 of Warrant</w:t>
      </w:r>
      <w:r>
        <w:rPr>
          <w:rFonts w:ascii="Arial" w:cs="Arial" w:eastAsia="Arial" w:hAnsi="Arial"/>
          <w:sz w:val="18"/>
          <w:szCs w:val="18"/>
          <w:color w:val="auto"/>
        </w:rPr>
        <w:t>. Subject to the terms and conditions hereof, at any time or from time to time after the date hereof and prior to 5:00 p.m., New York City, NY time, on the sixth anniversary of the Original Issue Date or, if such day is not a Business Day, on the next preceding Business Day (the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Holder of this Warrant may exercise this Warrant for all or any part of the Warrant Shares purchasable hereunder (subject to adjustment as provided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3" w:name="page24"/>
    <w:bookmarkEnd w:id="23"/>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Warrant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0" w:firstLine="419"/>
        <w:spacing w:after="0" w:line="277" w:lineRule="auto"/>
        <w:tabs>
          <w:tab w:leader="none" w:pos="80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This Warrant may be exercised from time to time on any Business Day during the Exercise Period, for all or any part of the unexercised Warrant Shares, upon:</w:t>
      </w:r>
    </w:p>
    <w:p>
      <w:pPr>
        <w:spacing w:after="0" w:line="62" w:lineRule="exact"/>
        <w:rPr>
          <w:rFonts w:ascii="Arial" w:cs="Arial" w:eastAsia="Arial" w:hAnsi="Arial"/>
          <w:sz w:val="18"/>
          <w:szCs w:val="18"/>
          <w:color w:val="auto"/>
        </w:rPr>
      </w:pPr>
    </w:p>
    <w:p>
      <w:pPr>
        <w:jc w:val="both"/>
        <w:ind w:left="544" w:right="80" w:firstLine="408"/>
        <w:spacing w:after="0" w:line="263" w:lineRule="auto"/>
        <w:tabs>
          <w:tab w:leader="none" w:pos="129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surrender of this Warrant to the Company at its then principal executive offices (or an indemnification undertaking with respect to this Warrant in the case of its loss, theft or destruction), together with duly completed and executed exercise notice in the form attached hereto as Exhibit A (the “</w:t>
      </w:r>
      <w:r>
        <w:rPr>
          <w:rFonts w:ascii="Arial" w:cs="Arial" w:eastAsia="Arial" w:hAnsi="Arial"/>
          <w:sz w:val="18"/>
          <w:szCs w:val="18"/>
          <w:u w:val="single" w:color="auto"/>
          <w:color w:val="auto"/>
        </w:rPr>
        <w:t>Notice of Exercise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544" w:right="20" w:firstLine="408"/>
        <w:spacing w:after="0" w:line="277" w:lineRule="auto"/>
        <w:tabs>
          <w:tab w:leader="none" w:pos="1344" w:val="left"/>
        </w:tabs>
        <w:numPr>
          <w:ilvl w:val="2"/>
          <w:numId w:val="15"/>
        </w:numPr>
        <w:rPr>
          <w:rFonts w:ascii="Arial" w:cs="Arial" w:eastAsia="Arial" w:hAnsi="Arial"/>
          <w:sz w:val="18"/>
          <w:szCs w:val="18"/>
          <w:color w:val="auto"/>
        </w:rPr>
      </w:pPr>
      <w:r>
        <w:rPr>
          <w:rFonts w:ascii="Arial" w:cs="Arial" w:eastAsia="Arial" w:hAnsi="Arial"/>
          <w:sz w:val="18"/>
          <w:szCs w:val="18"/>
          <w:color w:val="auto"/>
        </w:rPr>
        <w:t>payment to the Company of the Aggregate Exercise Price in accordance with Section 3(b) (unless the Holder elects the cashless exercise procedures set forth in Section 3(g)).</w:t>
      </w:r>
    </w:p>
    <w:p>
      <w:pPr>
        <w:spacing w:after="0" w:line="62" w:lineRule="exact"/>
        <w:rPr>
          <w:rFonts w:ascii="Arial" w:cs="Arial" w:eastAsia="Arial" w:hAnsi="Arial"/>
          <w:sz w:val="18"/>
          <w:szCs w:val="18"/>
          <w:color w:val="auto"/>
        </w:rPr>
      </w:pPr>
    </w:p>
    <w:p>
      <w:pPr>
        <w:ind w:left="4" w:firstLine="419"/>
        <w:spacing w:after="0" w:line="263" w:lineRule="auto"/>
        <w:tabs>
          <w:tab w:leader="none" w:pos="81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Payment of the Aggregate Exercise Price</w:t>
      </w:r>
      <w:r>
        <w:rPr>
          <w:rFonts w:ascii="Arial" w:cs="Arial" w:eastAsia="Arial" w:hAnsi="Arial"/>
          <w:sz w:val="18"/>
          <w:szCs w:val="18"/>
          <w:color w:val="auto"/>
        </w:rPr>
        <w:t>. Payment of the Aggregate Exercise Price shall be made 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75" w:lineRule="exact"/>
        <w:rPr>
          <w:rFonts w:ascii="Arial" w:cs="Arial" w:eastAsia="Arial" w:hAnsi="Arial"/>
          <w:sz w:val="18"/>
          <w:szCs w:val="18"/>
          <w:color w:val="auto"/>
        </w:rPr>
      </w:pPr>
    </w:p>
    <w:p>
      <w:pPr>
        <w:ind w:left="4" w:right="40" w:firstLine="419"/>
        <w:spacing w:after="0" w:line="271" w:lineRule="auto"/>
        <w:tabs>
          <w:tab w:leader="none" w:pos="806"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In accordance with Section 3(a) hereof, the Company shall, as promptly as practicable, and in any event within three (3) Business Days thereafter, instruct the transfer agent (the “Transfer Agent”) for the Common Stock to record the issuance of the Warrant Shares purchased hereunder to the Holder in book-entry form pursuant to the Transfer Agent’s regular procedures . The stock certificate or certificates so delivered shall be, to the extent possible, in such denomination or denominations as the exercising Holder shall reasonably request and shall be registered in the name of the Holder or, subject to compliance with Section 5 below, such other Person’s name as shall be designated. This Warrant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Exercise Date.</w:t>
      </w:r>
    </w:p>
    <w:p>
      <w:pPr>
        <w:spacing w:after="0" w:line="70" w:lineRule="exact"/>
        <w:rPr>
          <w:rFonts w:ascii="Arial" w:cs="Arial" w:eastAsia="Arial" w:hAnsi="Arial"/>
          <w:sz w:val="17"/>
          <w:szCs w:val="17"/>
          <w:color w:val="auto"/>
        </w:rPr>
      </w:pPr>
    </w:p>
    <w:p>
      <w:pPr>
        <w:ind w:left="4" w:right="60" w:firstLine="419"/>
        <w:spacing w:after="0" w:line="279" w:lineRule="auto"/>
        <w:tabs>
          <w:tab w:leader="none" w:pos="816"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Delivery of New Warrant</w:t>
      </w:r>
      <w:r>
        <w:rPr>
          <w:rFonts w:ascii="Arial" w:cs="Arial" w:eastAsia="Arial" w:hAnsi="Arial"/>
          <w:sz w:val="17"/>
          <w:szCs w:val="17"/>
          <w:color w:val="auto"/>
        </w:rPr>
        <w:t>. Unless the purchase rights represented by this Warrant shall have expired or shall have been fully exercised, the Company shall, at the time of delivery of the certificate or certificates representing the Warrant Shares being issued in accordance with Section 3(c) hereof, deliver to the Holder a new Warrant evidencing the rights of the Holder to purchase the unexpired and unexercised Warrant Shares called for by this Warrant. Such new Warrant shall in all other respects be identical to this Warrant.</w:t>
      </w:r>
    </w:p>
    <w:p>
      <w:pPr>
        <w:spacing w:after="0" w:line="63" w:lineRule="exact"/>
        <w:rPr>
          <w:rFonts w:ascii="Arial" w:cs="Arial" w:eastAsia="Arial" w:hAnsi="Arial"/>
          <w:sz w:val="17"/>
          <w:szCs w:val="17"/>
          <w:color w:val="auto"/>
        </w:rPr>
      </w:pPr>
    </w:p>
    <w:p>
      <w:pPr>
        <w:jc w:val="both"/>
        <w:ind w:left="4" w:right="60" w:firstLine="419"/>
        <w:spacing w:after="0" w:line="293" w:lineRule="auto"/>
        <w:tabs>
          <w:tab w:leader="none" w:pos="80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During the Exercise Period, the Company shall at all times reserve and keep available out of its authorized but unissued Common Stock or other securities constituting Warrant Shares, solely for the purpose of issuance upon the exercise of this Warrant, the maximum number of Warrant Shares issuable upon the exercise of this Warrant, and the par value per Warrant Share shall at all times be less than or equal to the applicable Exercise Price. The Company shall not increase the par value of any Warrant Shares receivable upon the exercise of this Warrant above the Exercise Price then in effect, and shall take all such actions as may be necessary or appropriate in order that the Company may validly and legally issue fully paid and nonassessable shares of Common Stock upon the exercise of this Warrant.</w:t>
      </w:r>
    </w:p>
    <w:p>
      <w:pPr>
        <w:spacing w:after="0" w:line="56" w:lineRule="exact"/>
        <w:rPr>
          <w:rFonts w:ascii="Arial" w:cs="Arial" w:eastAsia="Arial" w:hAnsi="Arial"/>
          <w:sz w:val="16"/>
          <w:szCs w:val="16"/>
          <w:color w:val="auto"/>
        </w:rPr>
      </w:pPr>
    </w:p>
    <w:p>
      <w:pPr>
        <w:ind w:left="4" w:right="160" w:firstLine="419"/>
        <w:spacing w:after="0" w:line="342" w:lineRule="auto"/>
        <w:tabs>
          <w:tab w:leader="none" w:pos="78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Exercise Restriction</w:t>
      </w:r>
      <w:r>
        <w:rPr>
          <w:rFonts w:ascii="Arial" w:cs="Arial" w:eastAsia="Arial" w:hAnsi="Arial"/>
          <w:sz w:val="16"/>
          <w:szCs w:val="16"/>
          <w:color w:val="auto"/>
        </w:rPr>
        <w:t>. Notwithstanding anything herein to the contrary, the Company shall not effect the exercise of any portion of this Warrant, and the Holder shall not have the right to exercise any portion of this Warrant, and any such exercise shall be null and void and</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treated as if never made, to the extent that (1) after giving effect to such exercise, the number of Warrant Shares then beneficially owned by the Holder and its Affiliates and any other Persons or entities whose beneficial ownership of Common Stock, for purposes of Section 13(d)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would be aggregated with the Holder’s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exceed 19.99% of the total number of Common Stock issued and outstanding or (2) such issuance, when aggregated with any other Common Stock theretofore or simultaneously therewith issued to or otherwise beneficially owned by the Holder and its Affiliates and any other Persons or entities whose beneficial ownership of Common Stock would be aggregated with the Holder’s for purposes of Section 13(d) of the Exchange Act (including any shares held by any “group” of which the Holder is a member, but excluding shares beneficially owned by virtue of the ownership of securities or rights to acquire securities that have limitations on the right to exchange, convert, exercise or purchase similar to the limitation set forth herein) would otherwise result in a “change of control” of the Company within the meaning of Nasdaq Listing Rule 5635(b); except that such limitation shall not apply in the event that the Company obtains all necessary shareholder approvals for such exchange in accordance with the Nasdaq Listing Rules. For purposes hereof, “group” has the meaning set forth in Section 13(d) of the Exchange Act and applicable regulations of the Securities and Exchange Commission, and the percentage held by the Holder shall be determined in a manner consistent with the provisions of Section 13(d) of the Exchange Act.</w:t>
      </w:r>
    </w:p>
    <w:p>
      <w:pPr>
        <w:spacing w:after="0" w:line="74" w:lineRule="exact"/>
        <w:rPr>
          <w:sz w:val="20"/>
          <w:szCs w:val="20"/>
          <w:color w:val="auto"/>
        </w:rPr>
      </w:pPr>
    </w:p>
    <w:p>
      <w:pPr>
        <w:ind w:right="20" w:firstLine="419"/>
        <w:spacing w:after="0" w:line="284" w:lineRule="auto"/>
        <w:tabs>
          <w:tab w:leader="none" w:pos="81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In lieu of paying the Aggregate Exercise Price for the Warrant Shares specified in the applicable Notice of Exercise by wire transfer or check drawn on a United States bank pursuant to Section 3(a), the Holder may elect to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 (y) the Exercise Price, and divided by (z) the Fair Market Value of a share of Common Stock on the Exercise Date (any such exercise,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and such withheld Warrant Shares shall no longer be issuable under the Warrant, and the Holder shall not have any rights or be entitled to any payment with respect to such withheld Warrant Shares. The Company and Holder agree to treat the Cashless Exercise of this Warrant pursuant to this</w:t>
      </w:r>
    </w:p>
    <w:p>
      <w:pPr>
        <w:spacing w:after="0" w:line="2" w:lineRule="exact"/>
        <w:rPr>
          <w:rFonts w:ascii="Arial" w:cs="Arial" w:eastAsia="Arial" w:hAnsi="Arial"/>
          <w:sz w:val="16"/>
          <w:szCs w:val="16"/>
          <w:color w:val="auto"/>
        </w:rPr>
      </w:pPr>
    </w:p>
    <w:p>
      <w:pPr>
        <w:ind w:right="120"/>
        <w:spacing w:after="0" w:line="285" w:lineRule="auto"/>
        <w:rPr>
          <w:rFonts w:ascii="Arial" w:cs="Arial" w:eastAsia="Arial" w:hAnsi="Arial"/>
          <w:sz w:val="16"/>
          <w:szCs w:val="16"/>
          <w:color w:val="auto"/>
        </w:rPr>
      </w:pPr>
      <w:r>
        <w:rPr>
          <w:rFonts w:ascii="Arial" w:cs="Arial" w:eastAsia="Arial" w:hAnsi="Arial"/>
          <w:sz w:val="16"/>
          <w:szCs w:val="16"/>
          <w:color w:val="auto"/>
        </w:rPr>
        <w:t>Section 2(g) as a recapitalization under Section 368(a)(1)(E) of the Internal Revenue Code of 1986, as amended, unless otherwise required by applicable law. In the event of a Change of Control in which the Common Stock is converted into solely the right to receive cash upon closing of such Change of Control, if this Warrant has not previously been exercised in full on an Exercise Date occurring before the third Business Day prior to the consummation of such Change of Control, any unexercised portion of this Warrant shall be deemed exercised in full, without the delivery of a Notice of Exercise, effective immediately prior to the consummation of such Change of Control and the Holder shall be entitled to receive cash in an amount equal to the amount of cash payable in such Change of Control in respect of a number of shares of Common Stock equal to the number of Warrant Shares that would be deliverable upon an exercise of this Warrant in full immediately prior to consummation of such Change of Control pursuant to this Section 2(g) of the unexercised portion of this Warrant, where Fair Market Value of a share of Common Stock in such an exercise is deemed for these purposes to be the cash payable in respect of a share of Common Stock in such Change of Control; provided, that, for the avoidance of doubt, if the cash payable in respect of a share of Common Stock in such Change of Control in which the Common Stock is converted into solely the right to receive cash upon closing of such Change of Control is less than the then-applicable Exercise Price, then upon consummation of such Change of Control the unexercised portion of this Warrant shall be cancelled for no consideration.</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5" w:name="page26"/>
    <w:bookmarkEnd w:id="25"/>
    <w:p>
      <w:pPr>
        <w:ind w:right="160" w:firstLine="436"/>
        <w:spacing w:after="0" w:line="263"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 to Number of Warrant Shares</w:t>
      </w:r>
      <w:r>
        <w:rPr>
          <w:rFonts w:ascii="Arial" w:cs="Arial" w:eastAsia="Arial" w:hAnsi="Arial"/>
          <w:sz w:val="18"/>
          <w:szCs w:val="18"/>
          <w:color w:val="auto"/>
        </w:rPr>
        <w:t>. In order to prevent dilution of the purchase rights granted under this Warrant, the number of Warrant Shares issuable upon exercise of this Warrant shall be subject to adjustment from time to time as provided in this Section 4 (in each case, after taking into consideration any prior adjustments pursuant to this Section 4).</w:t>
      </w:r>
    </w:p>
    <w:p>
      <w:pPr>
        <w:spacing w:after="0" w:line="75" w:lineRule="exact"/>
        <w:rPr>
          <w:rFonts w:ascii="Arial" w:cs="Arial" w:eastAsia="Arial" w:hAnsi="Arial"/>
          <w:sz w:val="18"/>
          <w:szCs w:val="18"/>
          <w:color w:val="auto"/>
        </w:rPr>
      </w:pPr>
    </w:p>
    <w:p>
      <w:pPr>
        <w:ind w:left="440" w:firstLine="419"/>
        <w:spacing w:after="0" w:line="289" w:lineRule="auto"/>
        <w:tabs>
          <w:tab w:leader="none" w:pos="124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Adjustment to Number of Warrant Shares Upon Stock Dividends, Certain Issuances, Subdivisions or Combinations of Common Stock</w:t>
      </w:r>
      <w:r>
        <w:rPr>
          <w:rFonts w:ascii="Arial" w:cs="Arial" w:eastAsia="Arial" w:hAnsi="Arial"/>
          <w:sz w:val="16"/>
          <w:szCs w:val="16"/>
          <w:color w:val="auto"/>
        </w:rPr>
        <w:t>. If the Company shall, at any time or from time to time after the Original Issue Date, issue a stock dividend, issue Common Stock (or any securities convertible into or exercisable for Common Stock) to employees, independent contractors or consultants in accordance with an equity incentive plan or otherwise or subdivides (by any stock split, recapitalization or otherwise) its outstanding shares of Common Stock into a greater number of shares, the number of Warrant Shares issuable upon exercise of this Warrant immediately prior to any such stock dividend, stock issuance to employees or consultants or subdivision shall be proportionately increased. If the Company at any time combines (by combination, reverse stock split or otherwise) its outstanding shares of Common Stock into a smaller number of shares, the number of Warrant Shares issuable upon exercise of this Warrant immediately prior to such combination shall be proportionately decreased. Any adjustment under this Section 4(a) shall become effective at the close of business on the date the subdivision or combination becomes effective.</w:t>
      </w:r>
    </w:p>
    <w:p>
      <w:pPr>
        <w:spacing w:after="0" w:line="58" w:lineRule="exact"/>
        <w:rPr>
          <w:rFonts w:ascii="Arial" w:cs="Arial" w:eastAsia="Arial" w:hAnsi="Arial"/>
          <w:sz w:val="16"/>
          <w:szCs w:val="16"/>
          <w:color w:val="auto"/>
        </w:rPr>
      </w:pPr>
    </w:p>
    <w:p>
      <w:pPr>
        <w:ind w:left="1240" w:hanging="381"/>
        <w:spacing w:after="0"/>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 Upon Reorganization, Reclassification, Consolidation or Merger</w:t>
      </w:r>
      <w:r>
        <w:rPr>
          <w:rFonts w:ascii="Arial" w:cs="Arial" w:eastAsia="Arial" w:hAnsi="Arial"/>
          <w:sz w:val="17"/>
          <w:szCs w:val="17"/>
          <w:color w:val="auto"/>
        </w:rPr>
        <w:t>. In the event of any</w:t>
      </w:r>
    </w:p>
    <w:p>
      <w:pPr>
        <w:spacing w:after="0" w:line="35" w:lineRule="exact"/>
        <w:rPr>
          <w:sz w:val="20"/>
          <w:szCs w:val="20"/>
          <w:color w:val="auto"/>
        </w:rPr>
      </w:pPr>
    </w:p>
    <w:p>
      <w:pPr>
        <w:ind w:left="440" w:hanging="4"/>
        <w:spacing w:after="0" w:line="283"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capital reorganization of the Company, (ii) reclassification of the stock of the Company (other than a change in par value or from par value to no par value or from no par value to par value or as a result of a stock dividend or subdivision, split-up or combination of shares), (iii) consolidation or merger of the Company with or into another Person, (iv) sale of all or substantially all of the Company’s assets to another Person or (v) other similar transaction (other than any such transaction covered by Section 4(a)), in each case which entitles the holders of Common Stock to receive (either directly or upon subsequent liquidation) stock, securities or assets with respect to or in exchange for Common Stock, each Warrant shall, immediately after such reorganization, reclassification, consolidation, merger, sale or similar transaction, remain outstanding and shall thereafter, in lieu of or in addition to (as the case may be) the number of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insure that the provisions of this Section 4 hereof shall thereafter be applicable, as nearly as possible, to this Warrant in relation to any shares of stock, securities or assets thereafter acquirable upon exercise of this Warrant. The provisions of this Section 4(b)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6" w:name="page27"/>
    <w:bookmarkEnd w:id="26"/>
    <w:p>
      <w:pPr>
        <w:ind w:firstLine="419"/>
        <w:spacing w:after="0" w:line="253" w:lineRule="auto"/>
        <w:tabs>
          <w:tab w:leader="none" w:pos="80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Distributions</w:t>
      </w:r>
      <w:r>
        <w:rPr>
          <w:rFonts w:ascii="Arial" w:cs="Arial" w:eastAsia="Arial" w:hAnsi="Arial"/>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any dividend or distribution referred to in Section 4(a) or Section 4(b)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3" w:lineRule="exact"/>
        <w:rPr>
          <w:rFonts w:ascii="Arial" w:cs="Arial" w:eastAsia="Arial" w:hAnsi="Arial"/>
          <w:sz w:val="18"/>
          <w:szCs w:val="18"/>
          <w:color w:val="auto"/>
        </w:rPr>
      </w:pPr>
    </w:p>
    <w:p>
      <w:pPr>
        <w:ind w:right="580" w:firstLine="419"/>
        <w:spacing w:after="0" w:line="308" w:lineRule="auto"/>
        <w:tabs>
          <w:tab w:leader="none" w:pos="81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Exceptions to Adjustment Upon Issuance of Common Stock</w:t>
      </w:r>
      <w:r>
        <w:rPr>
          <w:rFonts w:ascii="Arial" w:cs="Arial" w:eastAsia="Arial" w:hAnsi="Arial"/>
          <w:sz w:val="17"/>
          <w:szCs w:val="17"/>
          <w:color w:val="auto"/>
        </w:rPr>
        <w:t>. Anything herein to the contrary notwithstanding, there shall be no adjustment to the number of Warrant Shares issuable upon exercise of this Warrant with respect to any Excluded Issuance.</w:t>
      </w:r>
    </w:p>
    <w:p>
      <w:pPr>
        <w:spacing w:after="0" w:line="38" w:lineRule="exact"/>
        <w:rPr>
          <w:rFonts w:ascii="Arial" w:cs="Arial" w:eastAsia="Arial" w:hAnsi="Arial"/>
          <w:sz w:val="17"/>
          <w:szCs w:val="17"/>
          <w:color w:val="auto"/>
        </w:rPr>
      </w:pPr>
    </w:p>
    <w:p>
      <w:pPr>
        <w:ind w:right="40" w:firstLine="419"/>
        <w:spacing w:after="0" w:line="257" w:lineRule="auto"/>
        <w:tabs>
          <w:tab w:leader="none" w:pos="80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Proceedings Prior to Any Action Requiring Adjustment</w:t>
      </w:r>
      <w:r>
        <w:rPr>
          <w:rFonts w:ascii="Arial" w:cs="Arial" w:eastAsia="Arial" w:hAnsi="Arial"/>
          <w:sz w:val="18"/>
          <w:szCs w:val="18"/>
          <w:color w:val="auto"/>
        </w:rPr>
        <w:t>. As a condition precedent to the taking of any action which would require an adjustment pursuant to this Section 4, the Company shall take any action which may be necessary, including obtaining regulatory, Nasdaq Stock Market or other applicable national securities exchange or stockholder approvals or exemptions, as applicable, in order that the Company may thereafter validly and legally issue as fully paid and nonassessable all shares of Common Stock that the Holder is entitled to receive upon exercise of this Warrant pursuant to this Section 4.</w:t>
      </w:r>
    </w:p>
    <w:p>
      <w:pPr>
        <w:spacing w:after="0" w:line="295" w:lineRule="exact"/>
        <w:rPr>
          <w:rFonts w:ascii="Arial" w:cs="Arial" w:eastAsia="Arial" w:hAnsi="Arial"/>
          <w:sz w:val="18"/>
          <w:szCs w:val="18"/>
          <w:color w:val="auto"/>
        </w:rPr>
      </w:pPr>
    </w:p>
    <w:p>
      <w:pPr>
        <w:ind w:left="780" w:hanging="361"/>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Certificate as to Adjustment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20" w:firstLine="408"/>
        <w:spacing w:after="0" w:line="259" w:lineRule="auto"/>
        <w:tabs>
          <w:tab w:leader="none" w:pos="12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promptly as reasonably practicable following any adjustment of the number of Warrant Shares pursuant to the provisions of this Section 4, but in any event not later than three (3) Business Days thereafter, the Company shall furnish to the Holder a certificate of an executive officer setting forth in reasonable detail such adjustment and the facts upon which it is based and certifying the calculation thereof.</w:t>
      </w:r>
    </w:p>
    <w:p>
      <w:pPr>
        <w:spacing w:after="0" w:line="78" w:lineRule="exact"/>
        <w:rPr>
          <w:rFonts w:ascii="Arial" w:cs="Arial" w:eastAsia="Arial" w:hAnsi="Arial"/>
          <w:sz w:val="18"/>
          <w:szCs w:val="18"/>
          <w:color w:val="auto"/>
        </w:rPr>
      </w:pPr>
    </w:p>
    <w:p>
      <w:pPr>
        <w:ind w:left="540" w:right="160" w:firstLine="408"/>
        <w:spacing w:after="0" w:line="259" w:lineRule="auto"/>
        <w:tabs>
          <w:tab w:leader="none" w:pos="13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receipt by the Company of a written request by the Holder, but in any event not later than three (3) Business Days thereafter, the Company shall furnish to the Holder a certificate of an executive officer certifying the number of Warrant Shares or the amount, if any, of other shares of stock, securities or assets then issuable upon exercise of the Warrant.</w:t>
      </w:r>
    </w:p>
    <w:p>
      <w:pPr>
        <w:spacing w:after="0" w:line="78" w:lineRule="exact"/>
        <w:rPr>
          <w:rFonts w:ascii="Arial" w:cs="Arial" w:eastAsia="Arial" w:hAnsi="Arial"/>
          <w:sz w:val="18"/>
          <w:szCs w:val="18"/>
          <w:color w:val="auto"/>
        </w:rPr>
      </w:pPr>
    </w:p>
    <w:p>
      <w:pPr>
        <w:ind w:left="800" w:hanging="38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In the event:</w:t>
      </w:r>
    </w:p>
    <w:p>
      <w:pPr>
        <w:spacing w:after="0" w:line="117" w:lineRule="exact"/>
        <w:rPr>
          <w:rFonts w:ascii="Arial" w:cs="Arial" w:eastAsia="Arial" w:hAnsi="Arial"/>
          <w:sz w:val="18"/>
          <w:szCs w:val="18"/>
          <w:color w:val="auto"/>
        </w:rPr>
      </w:pPr>
    </w:p>
    <w:p>
      <w:pPr>
        <w:ind w:left="540" w:right="40" w:firstLine="408"/>
        <w:spacing w:after="0" w:line="259"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the Company shall take a record of the holders of its Common Stock (or other capital stock or securities at the time issuable upon exercise of the Warrant)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27" w:name="page28"/>
    <w:bookmarkEnd w:id="27"/>
    <w:p>
      <w:pPr>
        <w:ind w:left="980" w:right="120" w:firstLine="408"/>
        <w:spacing w:after="0" w:line="342" w:lineRule="auto"/>
        <w:tabs>
          <w:tab w:leader="none" w:pos="1781"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any capital reorganization of the Company, any reclassification of the Common Stock of the Company, any consolidation or merger of the Company with or into another Person, or sale of all or substantially all of the Company’s assets to another Person; or</w:t>
      </w:r>
    </w:p>
    <w:p>
      <w:pPr>
        <w:spacing w:after="0" w:line="15" w:lineRule="exact"/>
        <w:rPr>
          <w:rFonts w:ascii="Arial" w:cs="Arial" w:eastAsia="Arial" w:hAnsi="Arial"/>
          <w:sz w:val="16"/>
          <w:szCs w:val="16"/>
          <w:color w:val="auto"/>
        </w:rPr>
      </w:pPr>
    </w:p>
    <w:p>
      <w:pPr>
        <w:ind w:left="1840" w:hanging="452"/>
        <w:spacing w:after="0"/>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w:t>
      </w:r>
    </w:p>
    <w:p>
      <w:pPr>
        <w:spacing w:after="0" w:line="117" w:lineRule="exact"/>
        <w:rPr>
          <w:sz w:val="20"/>
          <w:szCs w:val="20"/>
          <w:color w:val="auto"/>
        </w:rPr>
      </w:pPr>
    </w:p>
    <w:p>
      <w:pPr>
        <w:ind w:left="440" w:right="140" w:firstLine="952"/>
        <w:spacing w:after="0" w:line="291" w:lineRule="auto"/>
        <w:rPr>
          <w:sz w:val="20"/>
          <w:szCs w:val="20"/>
          <w:color w:val="auto"/>
        </w:rPr>
      </w:pPr>
      <w:r>
        <w:rPr>
          <w:rFonts w:ascii="Arial" w:cs="Arial" w:eastAsia="Arial" w:hAnsi="Arial"/>
          <w:sz w:val="16"/>
          <w:szCs w:val="16"/>
          <w:color w:val="auto"/>
        </w:rPr>
        <w:t>then, and in each such case, the Company shall send or cause to be sent to the Holder at least five (5) Business Days prior to the applicable record date or the applicable expected effective date, as the case may be, for the event, a written notice specifying, as the case may be,</w:t>
      </w:r>
    </w:p>
    <w:p>
      <w:pPr>
        <w:ind w:left="440" w:right="40" w:hanging="4"/>
        <w:spacing w:after="0" w:line="288" w:lineRule="auto"/>
        <w:tabs>
          <w:tab w:leader="none" w:pos="7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the Warrant) shall be entitled to exchange their shares of Common Stock (or such other capital stock or securities) for securities or other property deliverable upon such reorganization, reclassification, consolidation, merger, sale, dissolution, liquidation or winding-up, and the amount per share and character of such exchange applicable to the Warrant and the Warrant Shares.</w:t>
      </w:r>
    </w:p>
    <w:p>
      <w:pPr>
        <w:spacing w:after="0" w:line="168" w:lineRule="exact"/>
        <w:rPr>
          <w:sz w:val="20"/>
          <w:szCs w:val="20"/>
          <w:color w:val="auto"/>
        </w:rPr>
      </w:pPr>
    </w:p>
    <w:p>
      <w:pPr>
        <w:ind w:right="60" w:firstLine="436"/>
        <w:spacing w:after="0" w:line="273" w:lineRule="auto"/>
        <w:tabs>
          <w:tab w:leader="none" w:pos="75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Transfer of Warrant</w:t>
      </w:r>
      <w:r>
        <w:rPr>
          <w:rFonts w:ascii="Arial" w:cs="Arial" w:eastAsia="Arial" w:hAnsi="Arial"/>
          <w:sz w:val="17"/>
          <w:szCs w:val="17"/>
          <w:color w:val="auto"/>
        </w:rPr>
        <w:t>. Subject to the transfer conditions referred to in the legend endorsed hereon, this Warrant and all rights hereunder are transferable, in whole or in part, by the Holder without charge to the Holder, upon surrender of this Warrant to the Company at the address for notices in Section 10 below (email being sufficient) with a properly completed and duly executed assignment in the form set forth on Exhibit B. Upon such compliance, surrender and delivery and, if required, such payment,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w:t>
      </w:r>
    </w:p>
    <w:p>
      <w:pPr>
        <w:spacing w:after="0" w:line="177" w:lineRule="exact"/>
        <w:rPr>
          <w:rFonts w:ascii="Arial" w:cs="Arial" w:eastAsia="Arial" w:hAnsi="Arial"/>
          <w:sz w:val="17"/>
          <w:szCs w:val="17"/>
          <w:color w:val="auto"/>
        </w:rPr>
      </w:pPr>
    </w:p>
    <w:p>
      <w:pPr>
        <w:ind w:firstLine="436"/>
        <w:spacing w:after="0" w:line="272" w:lineRule="auto"/>
        <w:tabs>
          <w:tab w:leader="none" w:pos="75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Holder Not Deemed a Stockholder; Limitations on Liability</w:t>
      </w:r>
      <w:r>
        <w:rPr>
          <w:rFonts w:ascii="Arial" w:cs="Arial" w:eastAsia="Arial" w:hAnsi="Arial"/>
          <w:sz w:val="17"/>
          <w:szCs w:val="17"/>
          <w:color w:val="auto"/>
        </w:rPr>
        <w:t>. Other than as set forth herein, prior to the issuance to the Holder of the Warrant Shares to which the Holder is then entitled to receive upon the due exercise of this Warrant, the Holder shall not be entitled to vote or be deemed the holder of shares of capital stock of the Company for any purpose (other than for Tax purposes), nor shall anything contained in this Warrant be construed to confer upon the Holder, as such, any right to vote, give or withhold consent to any corporate action (whether any reorganization, issue of stock, reclassification of stock, consolidation, merger, conveyance or otherwise) or receive notice of meetings.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8" w:name="page29"/>
    <w:bookmarkEnd w:id="28"/>
    <w:p>
      <w:pPr>
        <w:ind w:left="760" w:hanging="32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Replacement on Loss; Division and Combination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19"/>
        <w:spacing w:after="0" w:line="293" w:lineRule="auto"/>
        <w:tabs>
          <w:tab w:leader="none" w:pos="124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Replacement of Warrant on Loss</w:t>
      </w:r>
      <w:r>
        <w:rPr>
          <w:rFonts w:ascii="Arial" w:cs="Arial" w:eastAsia="Arial" w:hAnsi="Arial"/>
          <w:sz w:val="16"/>
          <w:szCs w:val="16"/>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hereof, a new Warrant of like tenor and exercisable for an equivalent number of Warrant Shares as the Warrant so lost, stolen, mutilated or destroyed;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mutilation, no indemnity shall be required if this Warrant in identifiable form is surrendered to the Company for cancellation.</w:t>
      </w:r>
    </w:p>
    <w:p>
      <w:pPr>
        <w:spacing w:after="0" w:line="56" w:lineRule="exact"/>
        <w:rPr>
          <w:rFonts w:ascii="Arial" w:cs="Arial" w:eastAsia="Arial" w:hAnsi="Arial"/>
          <w:sz w:val="16"/>
          <w:szCs w:val="16"/>
          <w:color w:val="auto"/>
        </w:rPr>
      </w:pPr>
    </w:p>
    <w:p>
      <w:pPr>
        <w:ind w:left="440" w:right="20" w:firstLine="419"/>
        <w:spacing w:after="0" w:line="270" w:lineRule="auto"/>
        <w:tabs>
          <w:tab w:leader="none" w:pos="1253"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Division and Combination of Warrant</w:t>
      </w:r>
      <w:r>
        <w:rPr>
          <w:rFonts w:ascii="Arial" w:cs="Arial" w:eastAsia="Arial" w:hAnsi="Arial"/>
          <w:sz w:val="17"/>
          <w:szCs w:val="17"/>
          <w:color w:val="auto"/>
        </w:rPr>
        <w:t>. 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80" w:lineRule="exact"/>
        <w:rPr>
          <w:rFonts w:ascii="Arial" w:cs="Arial" w:eastAsia="Arial" w:hAnsi="Arial"/>
          <w:sz w:val="17"/>
          <w:szCs w:val="17"/>
          <w:color w:val="auto"/>
        </w:rPr>
      </w:pPr>
    </w:p>
    <w:p>
      <w:pPr>
        <w:ind w:right="20" w:firstLine="436"/>
        <w:spacing w:after="0" w:line="257" w:lineRule="auto"/>
        <w:tabs>
          <w:tab w:leader="none" w:pos="75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Compliance with the Act</w:t>
      </w:r>
      <w:r>
        <w:rPr>
          <w:rFonts w:ascii="Arial" w:cs="Arial" w:eastAsia="Arial" w:hAnsi="Arial"/>
          <w:sz w:val="18"/>
          <w:szCs w:val="18"/>
          <w:color w:val="auto"/>
        </w:rPr>
        <w:t>. The Holder, by acceptance of this Warrant, agrees to comply in all respects with the provisions of this Section 8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Act. This Warrant and all Warrant Shares issued upon exercise of this Warrant (unless registered under the Act) shall be stamped or imprinted with a legend in substantially the following form:</w:t>
      </w:r>
    </w:p>
    <w:p>
      <w:pPr>
        <w:spacing w:after="0" w:line="80"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“THIS WARRANT AND THE SECURITIES ISSUABLE UPON EXERCISE OF THIS WARRANT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 (II)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w:t>
      </w:r>
    </w:p>
    <w:p>
      <w:pPr>
        <w:spacing w:after="0" w:line="178" w:lineRule="exact"/>
        <w:rPr>
          <w:sz w:val="20"/>
          <w:szCs w:val="20"/>
          <w:color w:val="auto"/>
        </w:rPr>
      </w:pPr>
    </w:p>
    <w:p>
      <w:pPr>
        <w:jc w:val="both"/>
        <w:ind w:right="160" w:firstLine="436"/>
        <w:spacing w:after="0" w:line="259" w:lineRule="auto"/>
        <w:tabs>
          <w:tab w:leader="none" w:pos="75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keep and properly maintain at its principal executive offices books for the registration of the Warrant and any transfers thereof. The Company may deem and treat the Person in whose name the Warrant is registered on such register as the Holder thereof for all purposes, and the Company shall not be affected by any notice to the contrary, except any assignment, division, combination or other transfer of the Warrant effected in accordance with the provisions of this Warrant.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9" w:name="page30"/>
    <w:bookmarkEnd w:id="29"/>
    <w:p>
      <w:pPr>
        <w:ind w:firstLine="436"/>
        <w:spacing w:after="0" w:line="293" w:lineRule="auto"/>
        <w:tabs>
          <w:tab w:leader="none" w:pos="84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6"/>
          <w:szCs w:val="16"/>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Section 10).</w:t>
      </w:r>
    </w:p>
    <w:p>
      <w:pPr>
        <w:sectPr>
          <w:pgSz w:w="11900" w:h="16838" w:orient="portrait"/>
          <w:cols w:equalWidth="0" w:num="1">
            <w:col w:w="11000"/>
          </w:cols>
          <w:pgMar w:left="440" w:top="274" w:right="45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Matthew S. Heiter, Senior Vice President and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matt.heiter@nninc.com</w:t>
      </w:r>
    </w:p>
    <w:p>
      <w:pPr>
        <w:spacing w:after="0" w:line="200" w:lineRule="exact"/>
        <w:rPr>
          <w:sz w:val="20"/>
          <w:szCs w:val="20"/>
          <w:color w:val="auto"/>
        </w:rPr>
      </w:pPr>
    </w:p>
    <w:p>
      <w:pPr>
        <w:sectPr>
          <w:pgSz w:w="11900" w:h="16838" w:orient="portrait"/>
          <w:cols w:equalWidth="0" w:num="2">
            <w:col w:w="2040" w:space="720"/>
            <w:col w:w="8240"/>
          </w:cols>
          <w:pgMar w:left="440" w:top="274"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Tower at Peabody Place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Peabody Place, Suite 1300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Mattern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rmattern@bassberry.com</w:t>
      </w:r>
    </w:p>
    <w:p>
      <w:pPr>
        <w:spacing w:after="0" w:line="200" w:lineRule="exact"/>
        <w:rPr>
          <w:sz w:val="20"/>
          <w:szCs w:val="20"/>
          <w:color w:val="auto"/>
        </w:rPr>
      </w:pPr>
    </w:p>
    <w:p>
      <w:pPr>
        <w:sectPr>
          <w:pgSz w:w="11900" w:h="16838" w:orient="portrait"/>
          <w:cols w:equalWidth="0" w:num="2">
            <w:col w:w="2040" w:space="720"/>
            <w:col w:w="8240"/>
          </w:cols>
          <w:pgMar w:left="440" w:top="274" w:right="4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 such Holder at the address of such Holder as listed in the stock record books of the Company.</w:t>
      </w:r>
    </w:p>
    <w:p>
      <w:pPr>
        <w:spacing w:after="0" w:line="200" w:lineRule="exact"/>
        <w:rPr>
          <w:sz w:val="20"/>
          <w:szCs w:val="20"/>
          <w:color w:val="auto"/>
        </w:rPr>
      </w:pPr>
    </w:p>
    <w:p>
      <w:pPr>
        <w:sectPr>
          <w:pgSz w:w="11900" w:h="16838" w:orient="portrait"/>
          <w:cols w:equalWidth="0" w:num="2">
            <w:col w:w="2040" w:space="720"/>
            <w:col w:w="8240"/>
          </w:cols>
          <w:pgMar w:left="440" w:top="274" w:right="459" w:bottom="1440" w:gutter="0" w:footer="0" w:header="0"/>
          <w:type w:val="continuous"/>
        </w:sectPr>
      </w:pPr>
    </w:p>
    <w:p>
      <w:pPr>
        <w:spacing w:after="0" w:line="48" w:lineRule="exact"/>
        <w:rPr>
          <w:sz w:val="20"/>
          <w:szCs w:val="20"/>
          <w:color w:val="auto"/>
        </w:rPr>
      </w:pPr>
    </w:p>
    <w:p>
      <w:pPr>
        <w:jc w:val="both"/>
        <w:ind w:right="740" w:firstLine="436"/>
        <w:spacing w:after="0" w:line="263" w:lineRule="auto"/>
        <w:tabs>
          <w:tab w:leader="none" w:pos="83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Except to the extent expressly provided to the contrary, the rights and remedies provided in this Warrant are cumulative and are not exclusive of, and are in addition to and not in substitution for, any other rights or remedies available at law, in equity or otherwise.</w:t>
      </w:r>
    </w:p>
    <w:p>
      <w:pPr>
        <w:spacing w:after="0" w:line="183" w:lineRule="exact"/>
        <w:rPr>
          <w:rFonts w:ascii="Arial" w:cs="Arial" w:eastAsia="Arial" w:hAnsi="Arial"/>
          <w:sz w:val="18"/>
          <w:szCs w:val="18"/>
          <w:color w:val="auto"/>
        </w:rPr>
      </w:pPr>
    </w:p>
    <w:p>
      <w:pPr>
        <w:ind w:right="460" w:firstLine="436"/>
        <w:spacing w:after="0" w:line="296" w:lineRule="auto"/>
        <w:tabs>
          <w:tab w:leader="none" w:pos="84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Each of the Company and the Holder acknowledges that a breach or threatened breach by such party of any of its obligations under this Warrant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61" w:lineRule="exact"/>
        <w:rPr>
          <w:rFonts w:ascii="Arial" w:cs="Arial" w:eastAsia="Arial" w:hAnsi="Arial"/>
          <w:sz w:val="16"/>
          <w:szCs w:val="16"/>
          <w:color w:val="auto"/>
        </w:rPr>
      </w:pPr>
    </w:p>
    <w:p>
      <w:pPr>
        <w:ind w:right="80" w:firstLine="436"/>
        <w:spacing w:after="0" w:line="259" w:lineRule="auto"/>
        <w:tabs>
          <w:tab w:leader="none" w:pos="8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Warrant, together with the Purchase Agreement, constitutes the sole and entire agreement of the parties to this Warrant with respect to the subject matter contained herein, and supersedes all prior and contemporaneous understandings and agreements, both written and oral, with respect to such subject matter. In the event of any inconsistency between the statements in the body of this Warrant and the Purchase Agreement, the statements in the body of this Warrant shall control.</w:t>
      </w:r>
    </w:p>
    <w:p>
      <w:pPr>
        <w:spacing w:after="0" w:line="186" w:lineRule="exact"/>
        <w:rPr>
          <w:rFonts w:ascii="Arial" w:cs="Arial" w:eastAsia="Arial" w:hAnsi="Arial"/>
          <w:sz w:val="18"/>
          <w:szCs w:val="18"/>
          <w:color w:val="auto"/>
        </w:rPr>
      </w:pPr>
    </w:p>
    <w:p>
      <w:pPr>
        <w:jc w:val="both"/>
        <w:ind w:right="480" w:firstLine="436"/>
        <w:spacing w:after="0" w:line="263" w:lineRule="auto"/>
        <w:tabs>
          <w:tab w:leader="none" w:pos="8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 and Assigns</w:t>
      </w:r>
      <w:r>
        <w:rPr>
          <w:rFonts w:ascii="Arial" w:cs="Arial" w:eastAsia="Arial" w:hAnsi="Arial"/>
          <w:sz w:val="18"/>
          <w:szCs w:val="18"/>
          <w:color w:val="auto"/>
        </w:rPr>
        <w:t>. This Warrant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w:t>
      </w:r>
    </w:p>
    <w:p>
      <w:pPr>
        <w:spacing w:after="0" w:line="183" w:lineRule="exact"/>
        <w:rPr>
          <w:rFonts w:ascii="Arial" w:cs="Arial" w:eastAsia="Arial" w:hAnsi="Arial"/>
          <w:sz w:val="18"/>
          <w:szCs w:val="18"/>
          <w:color w:val="auto"/>
        </w:rPr>
      </w:pPr>
    </w:p>
    <w:p>
      <w:pPr>
        <w:jc w:val="both"/>
        <w:ind w:right="100" w:firstLine="436"/>
        <w:spacing w:after="0" w:line="263" w:lineRule="auto"/>
        <w:tabs>
          <w:tab w:leader="none" w:pos="8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type w:val="continuous"/>
        </w:sectPr>
      </w:pPr>
    </w:p>
    <w:bookmarkStart w:id="30" w:name="page31"/>
    <w:bookmarkEnd w:id="30"/>
    <w:p>
      <w:pPr>
        <w:ind w:left="820" w:hanging="40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Headings</w:t>
      </w:r>
      <w:r>
        <w:rPr>
          <w:rFonts w:ascii="Arial" w:cs="Arial" w:eastAsia="Arial" w:hAnsi="Arial"/>
          <w:sz w:val="18"/>
          <w:szCs w:val="18"/>
          <w:color w:val="auto"/>
        </w:rPr>
        <w:t>. The headings in this Warrant are for reference only and shall not affect the interpretation of this Warrant.</w:t>
      </w:r>
    </w:p>
    <w:p>
      <w:pPr>
        <w:spacing w:after="0" w:line="225" w:lineRule="exact"/>
        <w:rPr>
          <w:rFonts w:ascii="Arial" w:cs="Arial" w:eastAsia="Arial" w:hAnsi="Arial"/>
          <w:sz w:val="18"/>
          <w:szCs w:val="18"/>
          <w:color w:val="auto"/>
        </w:rPr>
      </w:pPr>
    </w:p>
    <w:p>
      <w:pPr>
        <w:ind w:left="-20" w:firstLine="436"/>
        <w:spacing w:after="0" w:line="272" w:lineRule="auto"/>
        <w:tabs>
          <w:tab w:leader="none" w:pos="82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Amendment and Modification; Waiver</w:t>
      </w:r>
      <w:r>
        <w:rPr>
          <w:rFonts w:ascii="Arial" w:cs="Arial" w:eastAsia="Arial" w:hAnsi="Arial"/>
          <w:sz w:val="17"/>
          <w:szCs w:val="17"/>
          <w:color w:val="auto"/>
        </w:rPr>
        <w:t>. Except as otherwise provided herein, this Warrant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7" w:lineRule="exact"/>
        <w:rPr>
          <w:rFonts w:ascii="Arial" w:cs="Arial" w:eastAsia="Arial" w:hAnsi="Arial"/>
          <w:sz w:val="17"/>
          <w:szCs w:val="17"/>
          <w:color w:val="auto"/>
        </w:rPr>
      </w:pPr>
    </w:p>
    <w:p>
      <w:pPr>
        <w:ind w:left="-20" w:right="280" w:firstLine="436"/>
        <w:spacing w:after="0" w:line="263"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183" w:lineRule="exact"/>
        <w:rPr>
          <w:rFonts w:ascii="Arial" w:cs="Arial" w:eastAsia="Arial" w:hAnsi="Arial"/>
          <w:sz w:val="18"/>
          <w:szCs w:val="18"/>
          <w:color w:val="auto"/>
        </w:rPr>
      </w:pPr>
    </w:p>
    <w:p>
      <w:pPr>
        <w:ind w:left="-20" w:right="360" w:firstLine="436"/>
        <w:spacing w:after="0" w:line="263"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83" w:lineRule="exact"/>
        <w:rPr>
          <w:rFonts w:ascii="Arial" w:cs="Arial" w:eastAsia="Arial" w:hAnsi="Arial"/>
          <w:sz w:val="18"/>
          <w:szCs w:val="18"/>
          <w:color w:val="auto"/>
        </w:rPr>
      </w:pPr>
    </w:p>
    <w:p>
      <w:pPr>
        <w:ind w:left="-20" w:right="40" w:firstLine="436"/>
        <w:spacing w:after="0" w:line="272" w:lineRule="auto"/>
        <w:tabs>
          <w:tab w:leader="none" w:pos="82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Any legal suit, action or proceeding arising out of or based upon this Warrant or the transactions contemplated hereby may be instituted in the federal courts of the United States of America or the Chancery Court of the State of Delaware in each case located in the city of Wilmington,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77" w:lineRule="exact"/>
        <w:rPr>
          <w:rFonts w:ascii="Arial" w:cs="Arial" w:eastAsia="Arial" w:hAnsi="Arial"/>
          <w:sz w:val="17"/>
          <w:szCs w:val="17"/>
          <w:color w:val="auto"/>
        </w:rPr>
      </w:pPr>
    </w:p>
    <w:p>
      <w:pPr>
        <w:ind w:left="-20" w:right="40" w:firstLine="436"/>
        <w:spacing w:after="0" w:line="263"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hereby.</w:t>
      </w:r>
    </w:p>
    <w:p>
      <w:pPr>
        <w:spacing w:after="0" w:line="183" w:lineRule="exact"/>
        <w:rPr>
          <w:rFonts w:ascii="Arial" w:cs="Arial" w:eastAsia="Arial" w:hAnsi="Arial"/>
          <w:sz w:val="18"/>
          <w:szCs w:val="18"/>
          <w:color w:val="auto"/>
        </w:rPr>
      </w:pPr>
    </w:p>
    <w:p>
      <w:pPr>
        <w:ind w:left="-20" w:right="100" w:firstLine="436"/>
        <w:spacing w:after="0" w:line="263"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83" w:lineRule="exact"/>
        <w:rPr>
          <w:rFonts w:ascii="Arial" w:cs="Arial" w:eastAsia="Arial" w:hAnsi="Arial"/>
          <w:sz w:val="18"/>
          <w:szCs w:val="18"/>
          <w:color w:val="auto"/>
        </w:rPr>
      </w:pPr>
    </w:p>
    <w:p>
      <w:pPr>
        <w:ind w:left="-20" w:right="240" w:firstLine="436"/>
        <w:spacing w:after="0" w:line="277"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FOLLOWS]</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274"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duly executed this Warrant as of the Original Issue Date.</w:t>
      </w:r>
    </w:p>
    <w:p>
      <w:pPr>
        <w:spacing w:after="0" w:line="248"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14605</wp:posOffset>
            </wp:positionV>
            <wp:extent cx="2468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Common Stock Warrant</w:t>
      </w:r>
    </w:p>
    <w:p>
      <w:pPr>
        <w:sectPr>
          <w:pgSz w:w="11900" w:h="16838" w:orient="portrait"/>
          <w:cols w:equalWidth="0" w:num="1">
            <w:col w:w="10560"/>
          </w:cols>
          <w:pgMar w:left="880" w:top="274" w:right="459" w:bottom="1440" w:gutter="0" w:footer="0" w:header="0"/>
        </w:sectPr>
      </w:pPr>
    </w:p>
    <w:bookmarkStart w:id="33" w:name="page34"/>
    <w:bookmarkEnd w:id="3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NN, INC.</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Reference is made to that certain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issued by NN, Inc. (the “</w:t>
      </w:r>
      <w:r>
        <w:rPr>
          <w:rFonts w:ascii="Arial" w:cs="Arial" w:eastAsia="Arial" w:hAnsi="Arial"/>
          <w:sz w:val="18"/>
          <w:szCs w:val="18"/>
          <w:u w:val="single" w:color="auto"/>
          <w:color w:val="auto"/>
        </w:rPr>
        <w:t>Company</w:t>
      </w:r>
      <w:r>
        <w:rPr>
          <w:rFonts w:ascii="Arial" w:cs="Arial" w:eastAsia="Arial" w:hAnsi="Arial"/>
          <w:sz w:val="18"/>
          <w:szCs w:val="18"/>
          <w:color w:val="auto"/>
        </w:rPr>
        <w:t>”) on March 22, 2021. Capitalized terms used but not otherwise defined herein shall the respective meanings give thereto in the Warrant.</w:t>
      </w:r>
    </w:p>
    <w:p>
      <w:pPr>
        <w:spacing w:after="0" w:line="170" w:lineRule="exact"/>
        <w:rPr>
          <w:sz w:val="20"/>
          <w:szCs w:val="20"/>
          <w:color w:val="auto"/>
        </w:rPr>
      </w:pPr>
    </w:p>
    <w:p>
      <w:pPr>
        <w:ind w:left="4"/>
        <w:spacing w:after="0"/>
        <w:tabs>
          <w:tab w:leader="none" w:pos="6904" w:val="left"/>
        </w:tabs>
        <w:rPr>
          <w:sz w:val="20"/>
          <w:szCs w:val="20"/>
          <w:color w:val="auto"/>
        </w:rPr>
      </w:pPr>
      <w:r>
        <w:rPr>
          <w:rFonts w:ascii="Arial" w:cs="Arial" w:eastAsia="Arial" w:hAnsi="Arial"/>
          <w:sz w:val="18"/>
          <w:szCs w:val="18"/>
          <w:color w:val="auto"/>
        </w:rPr>
        <w:t>(1) The undersigned Holder of the Warrant hereby elects to exercise the Warrant for</w:t>
      </w:r>
      <w:r>
        <w:rPr>
          <w:sz w:val="20"/>
          <w:szCs w:val="20"/>
          <w:color w:val="auto"/>
        </w:rPr>
        <w:tab/>
      </w:r>
      <w:r>
        <w:rPr>
          <w:rFonts w:ascii="Arial" w:cs="Arial" w:eastAsia="Arial" w:hAnsi="Arial"/>
          <w:sz w:val="16"/>
          <w:szCs w:val="16"/>
          <w:color w:val="auto"/>
        </w:rPr>
        <w:t>Warrant Shares, subject to (check one):</w:t>
      </w:r>
    </w:p>
    <w:p>
      <w:pPr>
        <w:spacing w:after="0" w:line="225" w:lineRule="exact"/>
        <w:rPr>
          <w:sz w:val="20"/>
          <w:szCs w:val="20"/>
          <w:color w:val="auto"/>
        </w:rPr>
      </w:pPr>
    </w:p>
    <w:p>
      <w:pPr>
        <w:ind w:left="304" w:hanging="304"/>
        <w:spacing w:after="0"/>
        <w:tabs>
          <w:tab w:leader="none" w:pos="304"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delivery of the aggregate Exercise Price for the Warrant Shares as to which the Warrant is so exercised; or</w:t>
      </w:r>
    </w:p>
    <w:p>
      <w:pPr>
        <w:spacing w:after="0" w:line="192" w:lineRule="exact"/>
        <w:rPr>
          <w:sz w:val="20"/>
          <w:szCs w:val="20"/>
          <w:color w:val="auto"/>
        </w:rPr>
      </w:pPr>
    </w:p>
    <w:p>
      <w:pPr>
        <w:ind w:left="4"/>
        <w:spacing w:after="0" w:line="207" w:lineRule="exact"/>
        <w:tabs>
          <w:tab w:leader="none" w:pos="18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tender of</w:t>
      </w:r>
      <w:r>
        <w:rPr>
          <w:sz w:val="20"/>
          <w:szCs w:val="20"/>
          <w:color w:val="auto"/>
        </w:rPr>
        <w:tab/>
      </w:r>
      <w:r>
        <w:rPr>
          <w:rFonts w:ascii="Arial" w:cs="Arial" w:eastAsia="Arial" w:hAnsi="Arial"/>
          <w:sz w:val="16"/>
          <w:szCs w:val="16"/>
          <w:color w:val="auto"/>
        </w:rPr>
        <w:t>Warrant Shares pursuant to the cashless exercise provisions of Section 3(g) of the Warrant.</w:t>
      </w:r>
    </w:p>
    <w:p>
      <w:pPr>
        <w:spacing w:after="0" w:line="258" w:lineRule="exact"/>
        <w:rPr>
          <w:sz w:val="20"/>
          <w:szCs w:val="20"/>
          <w:color w:val="auto"/>
        </w:rPr>
      </w:pPr>
    </w:p>
    <w:p>
      <w:pPr>
        <w:jc w:val="both"/>
        <w:ind w:left="4" w:right="40"/>
        <w:spacing w:after="0" w:line="342" w:lineRule="auto"/>
        <w:rPr>
          <w:sz w:val="20"/>
          <w:szCs w:val="20"/>
          <w:color w:val="auto"/>
        </w:rPr>
      </w:pPr>
      <w:r>
        <w:rPr>
          <w:rFonts w:ascii="Arial" w:cs="Arial" w:eastAsia="Arial" w:hAnsi="Arial"/>
          <w:sz w:val="16"/>
          <w:szCs w:val="16"/>
          <w:color w:val="auto"/>
        </w:rPr>
        <w:t>The undersigned Holder hereby instructs the Company to issue the applicable number of Warrant Shares, or the net number of shares of Common Stock issuable upon exercise of the Warrant pursuant to the cashless exercise provisions of Section 2(e) of the Warrant, in the name of the undersigned Holder.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(2) The undersigned Holder hereby represents and warrants to the Company that, as of the date hereof:</w:t>
      </w:r>
    </w:p>
    <w:p>
      <w:pPr>
        <w:spacing w:after="0" w:line="225" w:lineRule="exact"/>
        <w:rPr>
          <w:sz w:val="20"/>
          <w:szCs w:val="20"/>
          <w:color w:val="auto"/>
        </w:rPr>
      </w:pPr>
    </w:p>
    <w:p>
      <w:pPr>
        <w:ind w:left="4" w:right="420" w:hanging="4"/>
        <w:spacing w:after="0" w:line="263" w:lineRule="auto"/>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Experience; Accredited Investor Status</w:t>
      </w:r>
      <w:r>
        <w:rPr>
          <w:rFonts w:ascii="Arial" w:cs="Arial" w:eastAsia="Arial" w:hAnsi="Arial"/>
          <w:sz w:val="18"/>
          <w:szCs w:val="18"/>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183" w:lineRule="exact"/>
        <w:rPr>
          <w:rFonts w:ascii="Arial" w:cs="Arial" w:eastAsia="Arial" w:hAnsi="Arial"/>
          <w:sz w:val="18"/>
          <w:szCs w:val="18"/>
          <w:color w:val="auto"/>
        </w:rPr>
      </w:pPr>
    </w:p>
    <w:p>
      <w:pPr>
        <w:ind w:left="4" w:right="60" w:hanging="4"/>
        <w:spacing w:after="0" w:line="273" w:lineRule="auto"/>
        <w:tabs>
          <w:tab w:leader="none" w:pos="199"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Company Information</w:t>
      </w:r>
      <w:r>
        <w:rPr>
          <w:rFonts w:ascii="Arial" w:cs="Arial" w:eastAsia="Arial" w:hAnsi="Arial"/>
          <w:sz w:val="17"/>
          <w:szCs w:val="17"/>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ectPr>
          <w:pgSz w:w="11900" w:h="16838" w:orient="portrait"/>
          <w:cols w:equalWidth="0" w:num="1">
            <w:col w:w="11004"/>
          </w:cols>
          <w:pgMar w:left="436" w:top="270" w:right="459" w:bottom="1440" w:gutter="0" w:footer="0" w:header="0"/>
        </w:sectPr>
      </w:pPr>
    </w:p>
    <w:bookmarkStart w:id="34" w:name="page35"/>
    <w:bookmarkEnd w:id="34"/>
    <w:p>
      <w:pPr>
        <w:ind w:left="4" w:hanging="4"/>
        <w:spacing w:after="0" w:line="296" w:lineRule="auto"/>
        <w:tabs>
          <w:tab w:leader="none" w:pos="18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w:t>
      </w:r>
      <w:r>
        <w:rPr>
          <w:rFonts w:ascii="Arial" w:cs="Arial" w:eastAsia="Arial" w:hAnsi="Arial"/>
          <w:sz w:val="16"/>
          <w:szCs w:val="16"/>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161" w:lineRule="exact"/>
        <w:rPr>
          <w:rFonts w:ascii="Arial" w:cs="Arial" w:eastAsia="Arial" w:hAnsi="Arial"/>
          <w:sz w:val="16"/>
          <w:szCs w:val="16"/>
          <w:color w:val="auto"/>
        </w:rPr>
      </w:pPr>
    </w:p>
    <w:p>
      <w:pPr>
        <w:ind w:left="4" w:hanging="4"/>
        <w:spacing w:after="0" w:line="311" w:lineRule="auto"/>
        <w:tabs>
          <w:tab w:leader="none" w:pos="199"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-10160</wp:posOffset>
            </wp:positionV>
            <wp:extent cx="571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Authorized Signatory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-10160</wp:posOffset>
            </wp:positionV>
            <wp:extent cx="571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-10160</wp:posOffset>
            </wp:positionV>
            <wp:extent cx="571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-10160</wp:posOffset>
            </wp:positionV>
            <wp:extent cx="571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571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5" w:name="page36"/>
    <w:bookmarkEnd w:id="35"/>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right="899"/>
        <w:spacing w:after="0" w:line="54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 assign the foregoing Warrant, execute this form and supply required information. Do not use this form to purchase shares.</w:t>
      </w:r>
      <w:r>
        <w:rPr>
          <w:rFonts w:ascii="Arial" w:cs="Arial" w:eastAsia="Arial" w:hAnsi="Arial"/>
          <w:sz w:val="17"/>
          <w:szCs w:val="17"/>
          <w:color w:val="auto"/>
        </w:rPr>
        <w:t>) FOR VALUE RECEIVED, the foregoing Warrant and all rights evidenced thereby are hereby assigned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656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-10160</wp:posOffset>
            </wp:positionV>
            <wp:extent cx="57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-10160</wp:posOffset>
            </wp:positionV>
            <wp:extent cx="571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PURCHASER PARTY HERETO</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March 22, 2021</w:t>
      </w:r>
    </w:p>
    <w:p>
      <w:pPr>
        <w:sectPr>
          <w:pgSz w:w="11900" w:h="16838" w:orient="portrait"/>
          <w:cols w:equalWidth="0" w:num="1">
            <w:col w:w="10020"/>
          </w:cols>
          <w:pgMar w:left="1440" w:top="121" w:right="4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1.01</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1.02</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Accounting Procedures and 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ARTICLE II AGREEMENT TO SELL AND PURCHASE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2.01</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Sale, Purchase and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2.02</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2.03</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Mutual 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2.04</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Conditions to the Purchaser’s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2.05</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Conditions to the Company’s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2.06</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Deliveries at the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2.07</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Further Assurances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ARTICLE III REPRESENTATIONS AND WARRANTIES RELATED TO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3.01</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Existence, Qualification and Power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3.02</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Capitalization and Valid Issuance and Redemption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3.03</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Ownership of the Material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3.04</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Company SEC Documents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3.05</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3.06</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Internal Controls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3.07</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Disclosure Controls and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3.08</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3.09</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No Registration Required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3.10</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No Restrictions or 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3.11</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3.12</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Compliance with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3.13</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No Existing Defaults; No Conflicts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3.14</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Authority;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3.15</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3.16</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Investment Company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3.17</w:t>
            </w:r>
          </w:p>
        </w:tc>
        <w:tc>
          <w:tcPr>
            <w:tcW w:w="9180" w:type="dxa"/>
            <w:vAlign w:val="bottom"/>
          </w:tcPr>
          <w:p>
            <w:pPr>
              <w:ind w:left="240"/>
              <w:spacing w:after="0"/>
              <w:rPr>
                <w:sz w:val="20"/>
                <w:szCs w:val="20"/>
                <w:color w:val="auto"/>
              </w:rPr>
            </w:pPr>
            <w:r>
              <w:rPr>
                <w:rFonts w:ascii="Arial" w:cs="Arial" w:eastAsia="Arial" w:hAnsi="Arial"/>
                <w:sz w:val="18"/>
                <w:szCs w:val="18"/>
                <w:b w:val="1"/>
                <w:bCs w:val="1"/>
                <w:color w:val="auto"/>
              </w:rPr>
              <w:t>Certain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1" w:right="49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3.18</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3.19</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Listing and Maintenance Requirements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3.20</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ERISA Compliance</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3.21</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Tax Returns; Taxes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3.22</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Required Disclosures and Descriptions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3.23</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Environmental Compliance</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3.24</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Title to Property</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3.25</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Anti-Corruption Laws and Sanctions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3.26</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No Directed Selling Efforts or General Solicitation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3.27</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No Integrated Offering</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3.28</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Intellectual Property</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3.29</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Occupational Safety</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3.30</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Information Technology</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3.31</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Restricted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THE PURCHASER</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4.01</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Existence</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4.02</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Authorization, Enforceability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4.03</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No Breach</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4.04</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Certain Fees</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4.05</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Unregistered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4.06</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Sufficient Funds</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4.07</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Ownership; No Prohibited Trading</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4.08</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No General Solicitation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4.09</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No Reliance</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4.10</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V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5.01</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Cooperation; Further Assurances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5.02</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Regulatory Approvals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5.03</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Use of Proceeds; Amended &amp; Restated Credit Agreement</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5.04</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Subsequent Equity Sales</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5.05</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Standstill</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5.06</w:t>
            </w:r>
          </w:p>
        </w:tc>
        <w:tc>
          <w:tcPr>
            <w:tcW w:w="7100" w:type="dxa"/>
            <w:vAlign w:val="bottom"/>
          </w:tcPr>
          <w:p>
            <w:pPr>
              <w:ind w:left="240"/>
              <w:spacing w:after="0"/>
              <w:rPr>
                <w:sz w:val="20"/>
                <w:szCs w:val="20"/>
                <w:color w:val="auto"/>
              </w:rPr>
            </w:pPr>
            <w:r>
              <w:rPr>
                <w:rFonts w:ascii="Arial" w:cs="Arial" w:eastAsia="Arial" w:hAnsi="Arial"/>
                <w:sz w:val="18"/>
                <w:szCs w:val="18"/>
                <w:b w:val="1"/>
                <w:bCs w:val="1"/>
                <w:color w:val="auto"/>
              </w:rPr>
              <w:t>Transfer Restrictions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960"/>
          </w:cols>
          <w:pgMar w:left="440" w:top="270" w:right="49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5.07</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Removal of Legend</w:t>
            </w: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5.08</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Tax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5.09</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Listing; SEC Compliance</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ARTICLE VI INDEMNIFICATION, COSTS AND EXPENSES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6.01</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Indemnification by the Company</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6.02</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Indemnification Procedures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6.03</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Tax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ARTICLE VII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7.01</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7.02</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Certain Effects of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8.01</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Expenses</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8.02</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Interpretation</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8.03</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Survival of Provisions</w:t>
            </w:r>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8.04</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No Waiver: Modifications in Writing</w:t>
            </w:r>
          </w:p>
        </w:tc>
        <w:tc>
          <w:tcPr>
            <w:tcW w:w="3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8.05</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Binding Effect; 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8.06</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Publicity</w:t>
            </w:r>
          </w:p>
        </w:tc>
        <w:tc>
          <w:tcPr>
            <w:tcW w:w="3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8.07</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Communications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8.08</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Entire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8.09</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Governing Law; Submission to Jurisdiction</w:t>
            </w:r>
          </w:p>
        </w:tc>
        <w:tc>
          <w:tcPr>
            <w:tcW w:w="3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8.10</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Waiver of Jury Trial</w:t>
            </w:r>
          </w:p>
        </w:tc>
        <w:tc>
          <w:tcPr>
            <w:tcW w:w="3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8.11</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No Recourse Against Others</w:t>
            </w:r>
          </w:p>
        </w:tc>
        <w:tc>
          <w:tcPr>
            <w:tcW w:w="3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8.12</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No Third-Party Beneficiaries</w:t>
            </w:r>
          </w:p>
        </w:tc>
        <w:tc>
          <w:tcPr>
            <w:tcW w:w="3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Section 8.13</w:t>
            </w: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Execution in Counterparts</w:t>
            </w:r>
          </w:p>
        </w:tc>
        <w:tc>
          <w:tcPr>
            <w:tcW w:w="30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Certificate of Designation for the Series D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Board Observer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Legal Opinion</w:t>
      </w:r>
    </w:p>
    <w:p>
      <w:pPr>
        <w:sectPr>
          <w:pgSz w:w="11900" w:h="16838" w:orient="portrait"/>
          <w:cols w:equalWidth="0" w:num="1">
            <w:col w:w="10960"/>
          </w:cols>
          <w:pgMar w:left="440" w:top="270" w:right="4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dated as of March 22,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NN,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NHTV Nevada Holdings LP</w:t>
      </w:r>
      <w:r>
        <w:rPr>
          <w:rFonts w:ascii="Arial" w:cs="Arial" w:eastAsia="Arial" w:hAnsi="Arial"/>
          <w:sz w:val="18"/>
          <w:szCs w:val="18"/>
          <w:color w:val="auto"/>
        </w:rPr>
        <w:t>, a Delaware limited partnership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issue and sell to the Purchaser, and the Purchaser desires to purchase from the Company, the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(as defined below), in accordance with the provisions of this Agreement; and</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with the issuance and sale of the Purchased Securities, the Company shall redeem all of the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Series B Convertible Preferred Stock (as defined below) (the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and for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the parties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200" w:firstLine="440"/>
        <w:spacing w:after="0" w:line="294"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indicated: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For the avoidance of doubt, for purposes of this Agreement, (a) the Company Entities, on the one hand, and the Purchaser, on the other, shall not be considered Affiliates and (b) the Wuxi JV shall not be considered an Affiliate of the Company or any other Company Entity for purposes of this Agreement.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J.P. Morgan Securities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and Restated Credit Agreement</w:t>
      </w:r>
      <w:r>
        <w:rPr>
          <w:rFonts w:ascii="Arial" w:cs="Arial" w:eastAsia="Arial" w:hAnsi="Arial"/>
          <w:sz w:val="16"/>
          <w:szCs w:val="16"/>
          <w:color w:val="auto"/>
        </w:rPr>
        <w:t>” means the second amended and restated credit agreement dated as of December 19, 2019 (as amended by Amendment No. 1 to Amended and Restated Credit Agreement, dated as of July 29, 2020, and Amendment No. 2 to Amended and Restated Credit Agreement, dated as of August 22, 2020, and as it may be further amended, restated, amended and restated or otherwise modified from time to time), by and among the Company, as the Borrower, Trust Bank, as Administrative Agent, and the certain lenders named therein.</w:t>
      </w:r>
    </w:p>
    <w:p>
      <w:pPr>
        <w:spacing w:after="0" w:line="15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laws, rules and regulations of any jurisdiction applicable to the Company or its Subsidiaries from time to time concerning or relating to bribery, money-laundering or corruption, including the US Foreign Corrupt Practices Act of 1977 and the UK Bribery Act.</w:t>
      </w:r>
    </w:p>
    <w:p>
      <w:pPr>
        <w:spacing w:after="0" w:line="12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Any Person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or to be “</w:t>
      </w:r>
      <w:r>
        <w:rPr>
          <w:rFonts w:ascii="Arial" w:cs="Arial" w:eastAsia="Arial" w:hAnsi="Arial"/>
          <w:sz w:val="18"/>
          <w:szCs w:val="18"/>
          <w:u w:val="single" w:color="auto"/>
          <w:color w:val="auto"/>
        </w:rPr>
        <w:t>beneficially owning</w:t>
      </w:r>
      <w:r>
        <w:rPr>
          <w:rFonts w:ascii="Arial" w:cs="Arial" w:eastAsia="Arial" w:hAnsi="Arial"/>
          <w:sz w:val="18"/>
          <w:szCs w:val="18"/>
          <w:color w:val="auto"/>
        </w:rPr>
        <w:t>” any securities (which securities shall also be deemed “</w:t>
      </w:r>
      <w:r>
        <w:rPr>
          <w:rFonts w:ascii="Arial" w:cs="Arial" w:eastAsia="Arial" w:hAnsi="Arial"/>
          <w:sz w:val="18"/>
          <w:szCs w:val="18"/>
          <w:u w:val="single" w:color="auto"/>
          <w:color w:val="auto"/>
        </w:rPr>
        <w:t>beneficially owned</w:t>
      </w:r>
      <w:r>
        <w:rPr>
          <w:rFonts w:ascii="Arial" w:cs="Arial" w:eastAsia="Arial" w:hAnsi="Arial"/>
          <w:sz w:val="18"/>
          <w:szCs w:val="18"/>
          <w:color w:val="auto"/>
        </w:rPr>
        <w:t>” by such Person) that such Person is deemed to “beneficially own” within the meaning of Rules 13d-3 and 13d-5 under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2.06(a)(ii)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means the design and manufacture of high-precision metal and plastic components and assemblies. When determined as of any date or time, the term “Business” shall include only those jurisdictions or markets where the Company then conducts the Business.</w:t>
      </w:r>
    </w:p>
    <w:p>
      <w:pPr>
        <w:spacing w:after="0" w:line="14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any federal legal holiday or day on which banking institutions in the State of New York are authorized or required by Law or other governmental action to close.</w:t>
      </w:r>
    </w:p>
    <w:p>
      <w:pPr>
        <w:spacing w:after="0" w:line="170"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xml:space="preserve">” means the Certificate of Designation of the Series D Preferred Stock,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with such changes thereto as may be consented to by the parties hereto prior to the Closing; it being agreed that the parties hereto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to any commercially reasonable changes as may be reasonably required by Nasdaq staff to comply with Nasdaq listing rules.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have occurred at such time as any of the following events shall occur:</w:t>
      </w:r>
    </w:p>
    <w:p>
      <w:pPr>
        <w:spacing w:after="0" w:line="225" w:lineRule="exact"/>
        <w:rPr>
          <w:sz w:val="20"/>
          <w:szCs w:val="20"/>
          <w:color w:val="auto"/>
        </w:rPr>
      </w:pPr>
    </w:p>
    <w:p>
      <w:pPr>
        <w:ind w:right="20" w:firstLine="1428"/>
        <w:spacing w:after="0" w:line="293" w:lineRule="auto"/>
        <w:tabs>
          <w:tab w:leader="none" w:pos="18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“person” or “group”, other than the Company, its Subsidiaries or any employee benefits plan of the Company or its Subsidiaries, files, or is required by applicable law to file, a Schedule 13D (or any successor schedule, form or report) pursuant to the Exchange Act, disclosing that such person has become the direct or indirect beneficial owner of shares with a majority of the total voting power of the Company’s outstanding Common Stock or the Company becomes otherwise aware that any person or group has become the direct or indirect beneficial owner of shares with a majority of the total voting power of the Company’s outstanding Common Stock; unless such beneficial ownership arises solely as a result of a revocable proxy delivered in response to a proxy or consent solicitation made pursuant to applicable rules and regulations under the Exchange Act;</w:t>
      </w:r>
    </w:p>
    <w:p>
      <w:pPr>
        <w:spacing w:after="0" w:line="164" w:lineRule="exact"/>
        <w:rPr>
          <w:rFonts w:ascii="Arial" w:cs="Arial" w:eastAsia="Arial" w:hAnsi="Arial"/>
          <w:sz w:val="16"/>
          <w:szCs w:val="16"/>
          <w:color w:val="auto"/>
        </w:rPr>
      </w:pPr>
    </w:p>
    <w:p>
      <w:pPr>
        <w:ind w:firstLine="1428"/>
        <w:spacing w:after="0" w:line="272" w:lineRule="auto"/>
        <w:tabs>
          <w:tab w:leader="none" w:pos="18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consolidates with or merges with or into another person (other than a Subsidiary of the Company), or sells, conveys, transfers, leases or otherwise disposes of all or substantially all of the consolidated properties and assets of the Company and its Subsidiaries to any person (other than a Subsidiary of the Company) or any person (other than a Subsidiary of the Company) consolidates with, or merges with or into the Company, provided that none of the circumstances set forth in this clause (b) shall be a Change of Control if persons that beneficially own the Common Stock of the Company immediately prior to the transaction own, directly or indirectly, shares with a majority of the total voting power of all outstanding Common Stock of the surviving or transferee person immediately after the transaction in substantially the same proportion as their ownership of the Company’s Common Stock immediately prior to the transaction;</w:t>
      </w:r>
    </w:p>
    <w:p>
      <w:pPr>
        <w:spacing w:after="0" w:line="177" w:lineRule="exact"/>
        <w:rPr>
          <w:rFonts w:ascii="Arial" w:cs="Arial" w:eastAsia="Arial" w:hAnsi="Arial"/>
          <w:sz w:val="17"/>
          <w:szCs w:val="17"/>
          <w:color w:val="auto"/>
        </w:rPr>
      </w:pPr>
    </w:p>
    <w:p>
      <w:pPr>
        <w:ind w:right="120" w:firstLine="1428"/>
        <w:spacing w:after="0" w:line="263" w:lineRule="auto"/>
        <w:tabs>
          <w:tab w:leader="none" w:pos="18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Common Stock ceases to be listed or quoted on any of the New York Stock Exchange, New York Stock Exchange American, the Nasdaq Global Select Market or the Nasdaq Global Market or any other national securities exchange regulated under Section 6(a) of the Exchange Act; or</w:t>
      </w:r>
    </w:p>
    <w:p>
      <w:pPr>
        <w:spacing w:after="0" w:line="183" w:lineRule="exact"/>
        <w:rPr>
          <w:rFonts w:ascii="Arial" w:cs="Arial" w:eastAsia="Arial" w:hAnsi="Arial"/>
          <w:sz w:val="18"/>
          <w:szCs w:val="18"/>
          <w:color w:val="auto"/>
        </w:rPr>
      </w:pPr>
    </w:p>
    <w:p>
      <w:pPr>
        <w:ind w:right="280" w:firstLine="1428"/>
        <w:spacing w:after="0" w:line="277" w:lineRule="auto"/>
        <w:tabs>
          <w:tab w:leader="none" w:pos="18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a “Change in Control” under the Term Loan or the ABL as such term is defined in the Term Loan and the ABL respectively, or other similar provision.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Entities</w:t>
      </w:r>
      <w:r>
        <w:rPr>
          <w:rFonts w:ascii="Arial" w:cs="Arial" w:eastAsia="Arial" w:hAnsi="Arial"/>
          <w:sz w:val="18"/>
          <w:szCs w:val="18"/>
          <w:color w:val="auto"/>
        </w:rPr>
        <w:t>” means, collectively, the Company and its Subsidiaries.</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means the Company’s forms, registration statements, reports, schedules and statements or other document (including exhibits) filed with, or furnished to, the Commission and publicly available after December 31, 2019 and prior to the date hereof.</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means any Person who is a Person engaged in the Business or owns a controlling interest in a Person engaged in the Business.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contract, agreement, indenture, note, bond, mortgage, deed of trust, loan, instrument, lease, license, commitment or other arrangement, understanding, undertaking, commitment or obligation, in each case that is legally binding, whether written or oral.</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 as may be amended or revised from time to time.</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water or public wastewater treatment systems, applicable in, or pursuant to the laws of, any jurisdiction.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any Pension Plan or the treatment of a Pension Plan amendment, in each case, as a termination under Section 4041 or 4041A of ERISA; (e) the institution by the PBGC of proceedings to terminate a Pension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Plan; (f) any event or condition which constitutes grounds under Section 4042 of ERISA for the termination of, or the appointment of a trustee to administer, any Pension Plan; or (g) the determination that any Pension Plan is considered an at-risk plan or a plan in endangered or critical status within the meaning of Sections 430, 431 and 432 of the Code or Sections 303, 304 and 305 of ERISA.</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 Scheme or Arrangement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3.20(e)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3.20(e)</w:t>
      </w:r>
      <w:r>
        <w:rPr>
          <w:rFonts w:ascii="Arial" w:cs="Arial" w:eastAsia="Arial" w:hAnsi="Arial"/>
          <w:sz w:val="18"/>
          <w:szCs w:val="18"/>
          <w:color w:val="auto"/>
        </w:rPr>
        <w: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“Fundamental Representations” mean those representations and warranties contained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3.31</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Systems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3.30</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(statutory or otherwise), security interest, security agreement, or other encumbrance upon or with respect to any property of any kind.</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a material adverse change in, or a material adverse effect upon the operations, business, properties, assets, or condition (financial or otherwise) of the Company or the Company Entities, taken as a whole; or (b) a material impairment of the ability of the Company Entities, taken as a whole to perform their obligations under the Transaction Documents to which they are party or to consummate the transactions contemplated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a Material Adverse Effect shall not include any material and adverse effect on the foregoing to the extent such material and adverse effect result from, arises out of, or relates to (1) the announcement of the transactions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 w:name="page45"/>
    <w:bookmarkEnd w:id="44"/>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by this Agreement or the satisfaction of the obligations set forth herein, (2) a general deterioration in the industry in which the Company operates, (3) a general deterioration in the economy, credit or financial or capital markets, in the United States or elsewhere in the world, in which the Company operates, including changes in interest or exchange rates, (4) any change or decline in market price or change in trading volume, of the capital stock of the Company, (5) the outbreak or escalation of hostilities involving the United States, the declaration by the United States of a national emergency or war or the occurrence of any other calamity or crisis, including acts of terrorism, or (6) any epidemic, pandemic or disease outbreak (including the COVID-19 pandemic), or any Law, pronouncement or guidance issued by a Governmental Authority, the Centers for Disease Control and Prevention, or the World Health Organization generally applicable to the industry in which the Company Entities operate providing for business closures, “sheltering-in-place” or other related restrictions; except, in each case with respect to subclauses (b)(2), (b)(5) or (b)(6), to the extent that such event, change or development disproportionately affects the Company Entities, taken as a whole, relative to other similar situated companies in the industries in which the Company Entities operate.</w:t>
      </w:r>
    </w:p>
    <w:p>
      <w:pPr>
        <w:spacing w:after="0" w:line="18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Subsidiaries</w:t>
      </w:r>
      <w:r>
        <w:rPr>
          <w:rFonts w:ascii="Arial" w:cs="Arial" w:eastAsia="Arial" w:hAnsi="Arial"/>
          <w:sz w:val="18"/>
          <w:szCs w:val="18"/>
          <w:color w:val="auto"/>
        </w:rPr>
        <w:t>” means the Subsidiaries of the Company that are “significant subsidiaries” of the Company as defined in Rule 1-02(w) of Regulation S-X under the Exchange Act.</w:t>
      </w:r>
    </w:p>
    <w:p>
      <w:pPr>
        <w:spacing w:after="0" w:line="170"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4" w:right="2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Credit Facility</w:t>
      </w:r>
      <w:r>
        <w:rPr>
          <w:rFonts w:ascii="Arial" w:cs="Arial" w:eastAsia="Arial" w:hAnsi="Arial"/>
          <w:sz w:val="16"/>
          <w:szCs w:val="16"/>
          <w:color w:val="auto"/>
        </w:rPr>
        <w:t>” means (i) that certain Term Loan Credit Agreement, entered into on March 22, 2021, by and between the Company, as borrower, and Oaktree Fund Administration, LLC, as administrative agent (the “</w:t>
      </w:r>
      <w:r>
        <w:rPr>
          <w:rFonts w:ascii="Arial" w:cs="Arial" w:eastAsia="Arial" w:hAnsi="Arial"/>
          <w:sz w:val="16"/>
          <w:szCs w:val="16"/>
          <w:u w:val="single" w:color="auto"/>
          <w:color w:val="auto"/>
        </w:rPr>
        <w:t>Term Loan</w:t>
      </w:r>
      <w:r>
        <w:rPr>
          <w:rFonts w:ascii="Arial" w:cs="Arial" w:eastAsia="Arial" w:hAnsi="Arial"/>
          <w:sz w:val="16"/>
          <w:szCs w:val="16"/>
          <w:color w:val="auto"/>
        </w:rPr>
        <w:t>”), and (ii) that certain Credit Agreement, entered into on March 22, 2021, by and among the Company, the other loan parties thereto, the lender parties thereto, and JPMorgan Chase Bank, N.A. (the “</w:t>
      </w:r>
      <w:r>
        <w:rPr>
          <w:rFonts w:ascii="Arial" w:cs="Arial" w:eastAsia="Arial" w:hAnsi="Arial"/>
          <w:sz w:val="16"/>
          <w:szCs w:val="16"/>
          <w:u w:val="single" w:color="auto"/>
          <w:color w:val="auto"/>
        </w:rPr>
        <w:t>ABL</w:t>
      </w:r>
      <w:r>
        <w:rPr>
          <w:rFonts w:ascii="Arial" w:cs="Arial" w:eastAsia="Arial" w:hAnsi="Arial"/>
          <w:sz w:val="16"/>
          <w:szCs w:val="16"/>
          <w:color w:val="auto"/>
        </w:rPr>
        <w:t>”).</w:t>
      </w:r>
    </w:p>
    <w:p>
      <w:pPr>
        <w:spacing w:after="0" w:line="149" w:lineRule="exact"/>
        <w:rPr>
          <w:sz w:val="20"/>
          <w:szCs w:val="20"/>
          <w:color w:val="auto"/>
        </w:rPr>
      </w:pPr>
    </w:p>
    <w:p>
      <w:pPr>
        <w:jc w:val="both"/>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(i) with respect to any corporation, the certificate or articles of incorporation, the bylaws, the certificates of designation (if any) and any stockholder agreement (or equivalent or comparable constitutive documents with respect to any non-U.S. jurisdictions);</w:t>
      </w:r>
    </w:p>
    <w:p>
      <w:pPr>
        <w:ind w:left="4" w:hanging="4"/>
        <w:spacing w:after="0" w:line="292" w:lineRule="auto"/>
        <w:tabs>
          <w:tab w:leader="none" w:pos="2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(b) with respect to entities incorporated in any non-U.S. jurisdiction, equivalent or comparable constitutive documents.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5" w:name="page46"/>
    <w:bookmarkEnd w:id="45"/>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any transferor, (i) any Affiliate of such transferor, (ii) any successor entity of such Person, (iii) with respect to any transferor that is an investment fund, vehicle or similar entity, any other investment fund, vehicle or similar entity that is controlled by or under common control with such transferor and (iv) any co-investor, limited partner, stockholder or other equityholder in such transferor or its Affiliates.</w:t>
      </w:r>
    </w:p>
    <w:p>
      <w:pPr>
        <w:spacing w:after="0" w:line="149" w:lineRule="exact"/>
        <w:rPr>
          <w:sz w:val="20"/>
          <w:szCs w:val="20"/>
          <w:color w:val="auto"/>
        </w:rPr>
      </w:pPr>
    </w:p>
    <w:p>
      <w:pPr>
        <w:ind w:right="8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3.30</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$65,000,000.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Preferred Stock</w:t>
      </w:r>
      <w:r>
        <w:rPr>
          <w:rFonts w:ascii="Arial" w:cs="Arial" w:eastAsia="Arial" w:hAnsi="Arial"/>
          <w:sz w:val="18"/>
          <w:szCs w:val="18"/>
          <w:color w:val="auto"/>
        </w:rPr>
        <w:t>” means 65,000 shares of Series D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Securities</w:t>
      </w:r>
      <w:r>
        <w:rPr>
          <w:rFonts w:ascii="Arial" w:cs="Arial" w:eastAsia="Arial" w:hAnsi="Arial"/>
          <w:sz w:val="18"/>
          <w:szCs w:val="18"/>
          <w:color w:val="auto"/>
        </w:rPr>
        <w:t>” means the Purchased Preferred Stock and the Purchased Warrants, collectively.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Warrants</w:t>
      </w:r>
      <w:r>
        <w:rPr>
          <w:rFonts w:ascii="Arial" w:cs="Arial" w:eastAsia="Arial" w:hAnsi="Arial"/>
          <w:sz w:val="18"/>
          <w:szCs w:val="18"/>
          <w:color w:val="auto"/>
        </w:rPr>
        <w:t xml:space="preserve">” shall mean the warrant providing for the purchase by the Purchaser of 1,900,000 shares of Common Stock, as evidenced by certificates substantially in the form attached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with such changes thereto as may be consented to by the parties hereto prior to Closing, it being agreed that the parties hereto shall consent to any commercially reasonable changes as may be reasonably required by Nasdaq staff to comply with Nasdaq listing rules.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has the meaning specified in the recitals of this Agreement.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6" w:name="page47"/>
    <w:bookmarkEnd w:id="46"/>
    <w:p>
      <w:pPr>
        <w:jc w:val="both"/>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specified Person, the Affiliates, officers, directors, managers, employees, agents, advisors, counsel, accountants, investment bankers and other representatives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commencing on the Closing Date and ending on the 180th day following the Closing Date.</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itself the subject or target of any Sanctions (as of the date hereof, including, without limitation, Crimea, Cuba, Iran, North Korea, and Syria).</w:t>
      </w:r>
    </w:p>
    <w:p>
      <w:pPr>
        <w:spacing w:after="0" w:line="170" w:lineRule="exact"/>
        <w:rPr>
          <w:sz w:val="20"/>
          <w:szCs w:val="20"/>
          <w:color w:val="auto"/>
        </w:rPr>
      </w:pPr>
    </w:p>
    <w:p>
      <w:pPr>
        <w:jc w:val="both"/>
        <w:ind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the Netherlands or any other European Union member state.</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Convertible Preferred Stock</w:t>
      </w:r>
      <w:r>
        <w:rPr>
          <w:rFonts w:ascii="Arial" w:cs="Arial" w:eastAsia="Arial" w:hAnsi="Arial"/>
          <w:sz w:val="18"/>
          <w:szCs w:val="18"/>
          <w:color w:val="auto"/>
        </w:rPr>
        <w:t>” means the Series B Convertible Preferred Stock, par value $0.01 per share, of the Company.</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means the Series D Preferred Stock of the Company, par value $0.01 per share, having the terms set forth in the Certificate of Designation.</w:t>
      </w:r>
    </w:p>
    <w:p>
      <w:pPr>
        <w:spacing w:after="0" w:line="170"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 Sales</w:t>
      </w:r>
      <w:r>
        <w:rPr>
          <w:rFonts w:ascii="Arial" w:cs="Arial" w:eastAsia="Arial" w:hAnsi="Arial"/>
          <w:sz w:val="16"/>
          <w:szCs w:val="16"/>
          <w:color w:val="auto"/>
        </w:rPr>
        <w:t>” means, all “short sales” as defined in Rule 200 promulgated under Regulation SHO under the Exchange Act and forward sale contracts, options, puts, calls, “put equivalent positions” (as defined in Rule 16a-1(h) under the Exchange Act) and similar arrangements.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means the period commencing on the Closing Date and ending on the second anniversary of the Closing Date.</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as to any Person, any corporation or other entity of which: (a)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 such corporation or other entity shall have or might have voting power by reason of the happening of any contingency) is at the time directly or indirectly owned or controlled by such Person or one or more of its Subsidiaries; (b) such Person or a Subsidiary of such Person is a general partner or, in the case of a limited liability company, the sole or managing member or manager thereof; or (c) any corporation or other entity as to which such Person consolidates for accounting purposes;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Wuxi JV shall be considered a Subsidiary of the Company for purposes of this Agreement.</w:t>
      </w:r>
    </w:p>
    <w:p>
      <w:pPr>
        <w:spacing w:after="0" w:line="17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or similar filing (including the attached schedules) filed or required to be filed with respect to Taxes (and any amendments thereto), including any information return, claim for refund or declaration of estimated Taxes.</w:t>
      </w:r>
    </w:p>
    <w:p>
      <w:pPr>
        <w:spacing w:after="0" w:line="170"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Affiliates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4.07(b)</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the Certificate of Designation, Warrants and any and all other agreements or instruments executed and delivered to the Purchaser by the Company hereunder or thereunder, as applicable.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voluntarily or involuntarily sell, transfer, assign, pledge, hypothecate, participate, gift, donate or otherwise encumber or dispose of, directly or indirectly. “</w:t>
      </w:r>
      <w:r>
        <w:rPr>
          <w:rFonts w:ascii="Arial" w:cs="Arial" w:eastAsia="Arial" w:hAnsi="Arial"/>
          <w:sz w:val="18"/>
          <w:szCs w:val="18"/>
          <w:u w:val="single" w:color="auto"/>
          <w:color w:val="auto"/>
        </w:rPr>
        <w:t>Transfer</w:t>
      </w:r>
      <w:r>
        <w:rPr>
          <w:rFonts w:ascii="Arial" w:cs="Arial" w:eastAsia="Arial" w:hAnsi="Arial"/>
          <w:sz w:val="18"/>
          <w:szCs w:val="18"/>
          <w:color w:val="auto"/>
        </w:rPr>
        <w:t>” used as a noun has a correlative meaning.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Wuxi JV</w:t>
      </w:r>
      <w:r>
        <w:rPr>
          <w:rFonts w:ascii="Arial" w:cs="Arial" w:eastAsia="Arial" w:hAnsi="Arial"/>
          <w:sz w:val="18"/>
          <w:szCs w:val="18"/>
          <w:color w:val="auto"/>
        </w:rPr>
        <w:t>” shall mean the Company’s 49% investment in the joint venture with Wuxi Weifu Hi-Technology Co., Ltd.</w:t>
      </w:r>
    </w:p>
    <w:p>
      <w:pPr>
        <w:spacing w:after="0" w:line="221"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u w:val="single" w:color="auto"/>
          <w:color w:val="auto"/>
        </w:rPr>
        <w:t>Accounting Procedures and Interpretation</w:t>
      </w:r>
      <w:r>
        <w:rPr>
          <w:rFonts w:ascii="Arial" w:cs="Arial" w:eastAsia="Arial" w:hAnsi="Arial"/>
          <w:sz w:val="17"/>
          <w:szCs w:val="17"/>
          <w:color w:val="auto"/>
        </w:rPr>
        <w:t>. Unless otherwise specified herein, all accounting terms used herein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all determinations with respect to accounting matters hereunder shall be made, and all financial statements of the Company and certificates and reports as to financial matters required to be furnished to the Purchaser hereunder shall be prepared, in accordance with GAAP applied on a consistent basis during the periods involved (except as may be indicated in the notes thereto or, in the case of unaudited statements, as permitted by Form 10-Q promulgated by the Commission) and in compliance as to form in all material respects with applicable accounting requirements and with the published rules and regulations of the Commission with respect thereto.</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TO SELL AND PURCHASE</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u w:val="single" w:color="auto"/>
          <w:color w:val="auto"/>
        </w:rPr>
        <w:t>Sale, Purchase and Redemption</w:t>
      </w:r>
      <w:r>
        <w:rPr>
          <w:rFonts w:ascii="Arial" w:cs="Arial" w:eastAsia="Arial" w:hAnsi="Arial"/>
          <w:sz w:val="16"/>
          <w:szCs w:val="16"/>
          <w:color w:val="auto"/>
        </w:rPr>
        <w:t>. Subject to the terms and conditions hereof, at the Closing:</w:t>
      </w:r>
    </w:p>
    <w:p>
      <w:pPr>
        <w:spacing w:after="0" w:line="229" w:lineRule="exact"/>
        <w:rPr>
          <w:sz w:val="20"/>
          <w:szCs w:val="20"/>
          <w:color w:val="auto"/>
        </w:rPr>
      </w:pPr>
    </w:p>
    <w:p>
      <w:pPr>
        <w:ind w:right="420" w:firstLine="436"/>
        <w:spacing w:after="0" w:line="277" w:lineRule="auto"/>
        <w:tabs>
          <w:tab w:leader="none" w:pos="8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Purchaser hereby agrees to purchase the Purchased Securities from the Company, and to pay the Company the Purchase Price with respect to such Purchased Securities.</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hereby agrees to issue and sell to the Purchaser the Purchased Securities.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effect the Redemption.</w:t>
      </w:r>
    </w:p>
    <w:p>
      <w:pPr>
        <w:spacing w:after="0" w:line="221"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Subject to the satisfaction or waiver of the conditions precedent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2.04</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those conditions that by their nature are to be satisfied at the Closing, but subject to the satisfaction or waiver of those conditions at such time), the consummation of the purchase and sale of the Purchased Securities and the Redemption hereunder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electronically at 9:00 a.m. New York City time on the date hereof, or at such other place, time or date as may be mutually agreed upon in writing by the Company and the Purchaser.</w:t>
      </w:r>
    </w:p>
    <w:p>
      <w:pPr>
        <w:spacing w:after="0" w:line="183"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Mutual Conditions</w:t>
      </w:r>
      <w:r>
        <w:rPr>
          <w:rFonts w:ascii="Arial" w:cs="Arial" w:eastAsia="Arial" w:hAnsi="Arial"/>
          <w:sz w:val="18"/>
          <w:szCs w:val="18"/>
          <w:color w:val="auto"/>
        </w:rPr>
        <w:t>. The respective obligations of each party to consummate the purchase and sale of the Purchased Securities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shall be subject to the satisfaction, on or prior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48" w:name="page49"/>
    <w:bookmarkEnd w:id="4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Closing Date, of each of the following conditions (any or all of which may be waived by a party on behalf of itself in writing, in whole or in part, to the extent permitted by applicable Law):</w:t>
      </w:r>
    </w:p>
    <w:p>
      <w:pPr>
        <w:spacing w:after="0" w:line="170" w:lineRule="exact"/>
        <w:rPr>
          <w:sz w:val="20"/>
          <w:szCs w:val="20"/>
          <w:color w:val="auto"/>
        </w:rPr>
      </w:pPr>
    </w:p>
    <w:p>
      <w:pPr>
        <w:ind w:left="820" w:hanging="384"/>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statute, rule, order, decree or regulation shall have been enacted or promulgated, and no action shall have been taken, by any</w:t>
      </w:r>
    </w:p>
    <w:p>
      <w:pPr>
        <w:spacing w:after="0" w:line="34" w:lineRule="exact"/>
        <w:rPr>
          <w:rFonts w:ascii="Arial" w:cs="Arial" w:eastAsia="Arial" w:hAnsi="Arial"/>
          <w:sz w:val="17"/>
          <w:szCs w:val="17"/>
          <w:color w:val="auto"/>
        </w:rPr>
      </w:pPr>
    </w:p>
    <w:p>
      <w:pPr>
        <w:ind w:right="200"/>
        <w:spacing w:after="0" w:line="260" w:lineRule="auto"/>
        <w:rPr>
          <w:rFonts w:ascii="Arial" w:cs="Arial" w:eastAsia="Arial" w:hAnsi="Arial"/>
          <w:sz w:val="17"/>
          <w:szCs w:val="17"/>
          <w:color w:val="auto"/>
        </w:rPr>
      </w:pPr>
      <w:r>
        <w:rPr>
          <w:rFonts w:ascii="Arial" w:cs="Arial" w:eastAsia="Arial" w:hAnsi="Arial"/>
          <w:sz w:val="18"/>
          <w:szCs w:val="18"/>
          <w:color w:val="auto"/>
        </w:rPr>
        <w:t>Governmental Authority which temporarily, preliminarily or permanently restrains, precludes, enjoins or otherwise prohibits the consummation of the transactions contemplated hereby or makes the transactions contemplated hereby illegal; and</w:t>
      </w:r>
    </w:p>
    <w:p>
      <w:pPr>
        <w:spacing w:after="0" w:line="185" w:lineRule="exact"/>
        <w:rPr>
          <w:rFonts w:ascii="Arial" w:cs="Arial" w:eastAsia="Arial" w:hAnsi="Arial"/>
          <w:sz w:val="17"/>
          <w:szCs w:val="17"/>
          <w:color w:val="auto"/>
        </w:rPr>
      </w:pPr>
    </w:p>
    <w:p>
      <w:pPr>
        <w:ind w:right="100" w:firstLine="436"/>
        <w:spacing w:after="0" w:line="277" w:lineRule="auto"/>
        <w:tabs>
          <w:tab w:leader="none" w:pos="8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not be pending any suit, action or proceeding by any Governmental Authority seeking to restrain, preclude, enjoin or prohibit the transactions contemplated by this Agreement.</w:t>
      </w:r>
    </w:p>
    <w:p>
      <w:pPr>
        <w:spacing w:after="0" w:line="16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Conditions to the Purchaser’s Obligations</w:t>
      </w:r>
      <w:r>
        <w:rPr>
          <w:rFonts w:ascii="Arial" w:cs="Arial" w:eastAsia="Arial" w:hAnsi="Arial"/>
          <w:sz w:val="18"/>
          <w:szCs w:val="18"/>
          <w:color w:val="auto"/>
        </w:rPr>
        <w:t>. The obligation of the Purchaser to consummate its purchase of the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shall be subject to the satisfaction on or prior to the Closing Date of each of the following conditions (any or all of which may be waived by the Purchaser with respect to itself in writing, in whole or in part, to the extent permitted by applicable Law):</w:t>
      </w:r>
    </w:p>
    <w:p>
      <w:pPr>
        <w:spacing w:after="0" w:line="180" w:lineRule="exact"/>
        <w:rPr>
          <w:sz w:val="20"/>
          <w:szCs w:val="20"/>
          <w:color w:val="auto"/>
        </w:rPr>
      </w:pPr>
    </w:p>
    <w:p>
      <w:pPr>
        <w:ind w:right="180" w:firstLine="436"/>
        <w:spacing w:after="0" w:line="25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shall be true and correct in all material respects (other than the Fundamental Representations or those representations and warranties that are qualified by materiality or Material Adverse Effect, which, in each case, shall be true and correct in all respects) when made and as of the Closing Date (except that representations and warranties made as of a specific date shall be required to be true and correct as of such date only);</w:t>
      </w:r>
    </w:p>
    <w:p>
      <w:pPr>
        <w:spacing w:after="0" w:line="186" w:lineRule="exact"/>
        <w:rPr>
          <w:rFonts w:ascii="Arial" w:cs="Arial" w:eastAsia="Arial" w:hAnsi="Arial"/>
          <w:sz w:val="18"/>
          <w:szCs w:val="18"/>
          <w:color w:val="auto"/>
        </w:rPr>
      </w:pPr>
    </w:p>
    <w:p>
      <w:pPr>
        <w:ind w:right="740" w:firstLine="436"/>
        <w:spacing w:after="0" w:line="277"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all of the covenants and agreements contained in this Agreement that are required to be performed or complied with by it on or prior to the Closing Date;</w:t>
      </w:r>
    </w:p>
    <w:p>
      <w:pPr>
        <w:spacing w:after="0" w:line="170" w:lineRule="exact"/>
        <w:rPr>
          <w:rFonts w:ascii="Arial" w:cs="Arial" w:eastAsia="Arial" w:hAnsi="Arial"/>
          <w:sz w:val="18"/>
          <w:szCs w:val="18"/>
          <w:color w:val="auto"/>
        </w:rPr>
      </w:pPr>
    </w:p>
    <w:p>
      <w:pPr>
        <w:ind w:right="220" w:firstLine="436"/>
        <w:spacing w:after="0" w:line="30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shall have filed with Nasdaq a “Notification Form: Listing of Additional Shares” and supporting documentation, if required, related to the Underlying Shares and Nasdaq shall have not raised any objection with respect thereto that has not been withdrawn;</w:t>
      </w:r>
    </w:p>
    <w:p>
      <w:pPr>
        <w:spacing w:after="0" w:line="146" w:lineRule="exact"/>
        <w:rPr>
          <w:rFonts w:ascii="Arial" w:cs="Arial" w:eastAsia="Arial" w:hAnsi="Arial"/>
          <w:sz w:val="17"/>
          <w:szCs w:val="17"/>
          <w:color w:val="auto"/>
        </w:rPr>
      </w:pPr>
    </w:p>
    <w:p>
      <w:pPr>
        <w:ind w:right="180" w:firstLine="436"/>
        <w:spacing w:after="0" w:line="277"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have duly adopted and filed with the Secretary of State of the State of Delaware the Certificate of Designation and such filing shall have been accepted and the Certificate of Designation shall be effective;</w:t>
      </w:r>
    </w:p>
    <w:p>
      <w:pPr>
        <w:spacing w:after="0" w:line="170" w:lineRule="exact"/>
        <w:rPr>
          <w:rFonts w:ascii="Arial" w:cs="Arial" w:eastAsia="Arial" w:hAnsi="Arial"/>
          <w:sz w:val="18"/>
          <w:szCs w:val="18"/>
          <w:color w:val="auto"/>
        </w:rPr>
      </w:pPr>
    </w:p>
    <w:p>
      <w:pPr>
        <w:ind w:right="180" w:firstLine="436"/>
        <w:spacing w:after="0" w:line="263"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the date of this Agreement, no downgrading shall have occurred in the rating accorded the “Company’s Indebtedness” (as defined in the Amended and Restated Credit Agreement) by any “nationally recognized statistical rating organization”, as that term is defined in Section 3(a)(62) under the Exchange Act;</w:t>
      </w:r>
    </w:p>
    <w:p>
      <w:pPr>
        <w:spacing w:after="0" w:line="183" w:lineRule="exact"/>
        <w:rPr>
          <w:rFonts w:ascii="Arial" w:cs="Arial" w:eastAsia="Arial" w:hAnsi="Arial"/>
          <w:sz w:val="18"/>
          <w:szCs w:val="18"/>
          <w:color w:val="auto"/>
        </w:rPr>
      </w:pPr>
    </w:p>
    <w:p>
      <w:pPr>
        <w:ind w:left="800" w:hanging="36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notice of delisting from Nasdaq shall have been received by the Company with respect to the Common Stock; and</w:t>
      </w:r>
    </w:p>
    <w:p>
      <w:pPr>
        <w:spacing w:after="0" w:line="225" w:lineRule="exact"/>
        <w:rPr>
          <w:rFonts w:ascii="Arial" w:cs="Arial" w:eastAsia="Arial" w:hAnsi="Arial"/>
          <w:sz w:val="18"/>
          <w:szCs w:val="18"/>
          <w:color w:val="auto"/>
        </w:rPr>
      </w:pPr>
    </w:p>
    <w:p>
      <w:pPr>
        <w:ind w:firstLine="436"/>
        <w:spacing w:after="0" w:line="277"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to the Purchaser the Company’s Closing deliveries described in </w:t>
      </w:r>
      <w:r>
        <w:rPr>
          <w:rFonts w:ascii="Arial" w:cs="Arial" w:eastAsia="Arial" w:hAnsi="Arial"/>
          <w:sz w:val="18"/>
          <w:szCs w:val="18"/>
          <w:u w:val="single" w:color="auto"/>
          <w:color w:val="auto"/>
        </w:rPr>
        <w:t>Section 2.06(a)</w:t>
      </w:r>
      <w:r>
        <w:rPr>
          <w:rFonts w:ascii="Arial" w:cs="Arial" w:eastAsia="Arial" w:hAnsi="Arial"/>
          <w:sz w:val="18"/>
          <w:szCs w:val="18"/>
          <w:color w:val="auto"/>
        </w:rPr>
        <w:t>, as applicable.</w:t>
      </w:r>
    </w:p>
    <w:p>
      <w:pPr>
        <w:spacing w:after="0" w:line="16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Conditions to the Company’s Obligations</w:t>
      </w:r>
      <w:r>
        <w:rPr>
          <w:rFonts w:ascii="Arial" w:cs="Arial" w:eastAsia="Arial" w:hAnsi="Arial"/>
          <w:sz w:val="18"/>
          <w:szCs w:val="18"/>
          <w:color w:val="auto"/>
        </w:rPr>
        <w:t>. The obligation of the Company to consummate the sale and issuance of the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the Purchaser shall be subject to the satisfaction on or prior to the Closing Date of each of the following conditions (any or all of which may be waived by the Company in writing, in whole or in part, to the extent permitted by applicable Law):</w:t>
      </w:r>
    </w:p>
    <w:p>
      <w:pPr>
        <w:spacing w:after="0" w:line="180" w:lineRule="exact"/>
        <w:rPr>
          <w:sz w:val="20"/>
          <w:szCs w:val="20"/>
          <w:color w:val="auto"/>
        </w:rPr>
      </w:pPr>
    </w:p>
    <w:p>
      <w:pPr>
        <w:jc w:val="both"/>
        <w:ind w:right="80" w:firstLine="436"/>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representations and warranties of the Purchaser contained in this Agreement shall be true and correct in all material respects (other than those representations and warranties that are qualified by materiality, which, in each case, shall be true and correct in all respects) when made and as of the Closing Date (except that representations and warranties made as of a specific date or for a specific period shall be required to be true and correct as of such date or for such specific period only);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9" w:name="page50"/>
    <w:bookmarkEnd w:id="49"/>
    <w:p>
      <w:pPr>
        <w:ind w:left="-80" w:right="560" w:firstLine="436"/>
        <w:spacing w:after="0" w:line="277" w:lineRule="auto"/>
        <w:tabs>
          <w:tab w:leader="none" w:pos="75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Purchaser shall have performed and complied in all material respects with all of the covenants and agreements contained in this Agreement that are required to be performed or complied with by it on or prior to the Closing Date; and</w:t>
      </w:r>
    </w:p>
    <w:p>
      <w:pPr>
        <w:spacing w:after="0" w:line="170" w:lineRule="exact"/>
        <w:rPr>
          <w:rFonts w:ascii="Arial" w:cs="Arial" w:eastAsia="Arial" w:hAnsi="Arial"/>
          <w:sz w:val="18"/>
          <w:szCs w:val="18"/>
          <w:color w:val="auto"/>
        </w:rPr>
      </w:pPr>
    </w:p>
    <w:p>
      <w:pPr>
        <w:ind w:left="-80" w:right="1020" w:firstLine="436"/>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such Purchaser shall have delivered, or caused to be delivered, to the Company the Purchaser’s Closing deliveries described in </w:t>
      </w:r>
      <w:r>
        <w:rPr>
          <w:rFonts w:ascii="Arial" w:cs="Arial" w:eastAsia="Arial" w:hAnsi="Arial"/>
          <w:sz w:val="18"/>
          <w:szCs w:val="18"/>
          <w:u w:val="single" w:color="auto"/>
          <w:color w:val="auto"/>
        </w:rPr>
        <w:t>Section 2.06(b)</w:t>
      </w:r>
      <w:r>
        <w:rPr>
          <w:rFonts w:ascii="Arial" w:cs="Arial" w:eastAsia="Arial" w:hAnsi="Arial"/>
          <w:sz w:val="18"/>
          <w:szCs w:val="18"/>
          <w:color w:val="auto"/>
        </w:rPr>
        <w:t>, as applicable.</w:t>
      </w:r>
    </w:p>
    <w:p>
      <w:pPr>
        <w:spacing w:after="0" w:line="274"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5"/>
          <w:szCs w:val="15"/>
          <w:b w:val="1"/>
          <w:bCs w:val="1"/>
          <w:u w:val="single" w:color="auto"/>
          <w:color w:val="auto"/>
        </w:rPr>
        <w:t>Deliveries at the Closing</w:t>
      </w:r>
      <w:r>
        <w:rPr>
          <w:rFonts w:ascii="Arial" w:cs="Arial" w:eastAsia="Arial" w:hAnsi="Arial"/>
          <w:sz w:val="15"/>
          <w:szCs w:val="15"/>
          <w:color w:val="auto"/>
        </w:rPr>
        <w:t>.</w:t>
      </w:r>
    </w:p>
    <w:p>
      <w:pPr>
        <w:spacing w:after="0" w:line="121" w:lineRule="exact"/>
        <w:rPr>
          <w:sz w:val="20"/>
          <w:szCs w:val="20"/>
          <w:color w:val="auto"/>
        </w:rPr>
      </w:pPr>
    </w:p>
    <w:p>
      <w:pPr>
        <w:ind w:left="740" w:hanging="384"/>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Deliveries of the Company</w:t>
      </w:r>
      <w:r>
        <w:rPr>
          <w:rFonts w:ascii="Arial" w:cs="Arial" w:eastAsia="Arial" w:hAnsi="Arial"/>
          <w:sz w:val="18"/>
          <w:szCs w:val="18"/>
          <w:color w:val="auto"/>
        </w:rPr>
        <w:t>. At the Closing, the Company shall deliver, or cause to be delivered, to the Purchaser:</w:t>
      </w:r>
    </w:p>
    <w:p>
      <w:pPr>
        <w:spacing w:after="0" w:line="117" w:lineRule="exact"/>
        <w:rPr>
          <w:rFonts w:ascii="Arial" w:cs="Arial" w:eastAsia="Arial" w:hAnsi="Arial"/>
          <w:sz w:val="18"/>
          <w:szCs w:val="18"/>
          <w:color w:val="auto"/>
        </w:rPr>
      </w:pPr>
    </w:p>
    <w:p>
      <w:pPr>
        <w:ind w:left="360" w:right="60" w:firstLine="948"/>
        <w:spacing w:after="0" w:line="277" w:lineRule="auto"/>
        <w:tabs>
          <w:tab w:leader="none" w:pos="1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Warrants, free and clear of any Liens, other than transfer restrictions under this Agreement and applicable federal and state securities Laws and those created by the Purchaser;</w:t>
      </w:r>
    </w:p>
    <w:p>
      <w:pPr>
        <w:spacing w:after="0" w:line="58" w:lineRule="exact"/>
        <w:rPr>
          <w:rFonts w:ascii="Arial" w:cs="Arial" w:eastAsia="Arial" w:hAnsi="Arial"/>
          <w:sz w:val="18"/>
          <w:szCs w:val="18"/>
          <w:color w:val="auto"/>
        </w:rPr>
      </w:pPr>
    </w:p>
    <w:p>
      <w:pPr>
        <w:ind w:left="360" w:right="80" w:firstLine="948"/>
        <w:spacing w:after="0" w:line="282" w:lineRule="auto"/>
        <w:tabs>
          <w:tab w:leader="none" w:pos="17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 counterpart of the Board Observer Agreement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Board Observer Agreement</w:t>
      </w:r>
      <w:r>
        <w:rPr>
          <w:rFonts w:ascii="Arial" w:cs="Arial" w:eastAsia="Arial" w:hAnsi="Arial"/>
          <w:sz w:val="18"/>
          <w:szCs w:val="18"/>
          <w:color w:val="auto"/>
        </w:rPr>
        <w:t>”), which shall have been duly executed by the Company;</w:t>
      </w:r>
    </w:p>
    <w:p>
      <w:pPr>
        <w:spacing w:after="0" w:line="57" w:lineRule="exact"/>
        <w:rPr>
          <w:rFonts w:ascii="Arial" w:cs="Arial" w:eastAsia="Arial" w:hAnsi="Arial"/>
          <w:sz w:val="18"/>
          <w:szCs w:val="18"/>
          <w:color w:val="auto"/>
        </w:rPr>
      </w:pPr>
    </w:p>
    <w:p>
      <w:pPr>
        <w:ind w:left="1740" w:hanging="432"/>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fully executed “Supplemental Listing Application” approving the Underlying Shares for listing by Nasdaq;</w:t>
      </w:r>
    </w:p>
    <w:p>
      <w:pPr>
        <w:spacing w:after="0" w:line="117" w:lineRule="exact"/>
        <w:rPr>
          <w:rFonts w:ascii="Arial" w:cs="Arial" w:eastAsia="Arial" w:hAnsi="Arial"/>
          <w:sz w:val="18"/>
          <w:szCs w:val="18"/>
          <w:color w:val="auto"/>
        </w:rPr>
      </w:pPr>
    </w:p>
    <w:p>
      <w:pPr>
        <w:jc w:val="both"/>
        <w:ind w:left="360" w:firstLine="948"/>
        <w:spacing w:after="0" w:line="286" w:lineRule="auto"/>
        <w:tabs>
          <w:tab w:leader="none" w:pos="175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Evidence of issuance of the Purchased Preferred Stock credited to book-entry accounts maintained by the transfer agent of the Company, bearing a restrictive notation meeting the requirements of the Securities Act, free and clear of any Liens, other than transfer restrictions under this Agreement and applicable federal and state securities Laws and those created by the Purchaser;</w:t>
      </w:r>
    </w:p>
    <w:p>
      <w:pPr>
        <w:spacing w:after="0" w:line="57" w:lineRule="exact"/>
        <w:rPr>
          <w:rFonts w:ascii="Arial" w:cs="Arial" w:eastAsia="Arial" w:hAnsi="Arial"/>
          <w:sz w:val="17"/>
          <w:szCs w:val="17"/>
          <w:color w:val="auto"/>
        </w:rPr>
      </w:pPr>
    </w:p>
    <w:p>
      <w:pPr>
        <w:ind w:left="1680" w:hanging="372"/>
        <w:spacing w:after="0"/>
        <w:tabs>
          <w:tab w:leader="none" w:pos="16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certificate of the Secretary of the Company, on behalf of the Company, dated the Closing Date, certifying as to and attaching</w:t>
      </w:r>
    </w:p>
    <w:p>
      <w:pPr>
        <w:spacing w:after="0" w:line="46" w:lineRule="exact"/>
        <w:rPr>
          <w:rFonts w:ascii="Arial" w:cs="Arial" w:eastAsia="Arial" w:hAnsi="Arial"/>
          <w:sz w:val="16"/>
          <w:szCs w:val="16"/>
          <w:color w:val="auto"/>
        </w:rPr>
      </w:pPr>
    </w:p>
    <w:p>
      <w:pPr>
        <w:ind w:left="360" w:right="60"/>
        <w:spacing w:after="0" w:line="277" w:lineRule="auto"/>
        <w:rPr>
          <w:rFonts w:ascii="Arial" w:cs="Arial" w:eastAsia="Arial" w:hAnsi="Arial"/>
          <w:sz w:val="16"/>
          <w:szCs w:val="16"/>
          <w:color w:val="auto"/>
        </w:rPr>
      </w:pPr>
      <w:r>
        <w:rPr>
          <w:rFonts w:ascii="Arial" w:cs="Arial" w:eastAsia="Arial" w:hAnsi="Arial"/>
          <w:sz w:val="17"/>
          <w:szCs w:val="17"/>
          <w:color w:val="auto"/>
        </w:rPr>
        <w:t>(A) the certificate of incorporation of the Company, (B) the bylaws of the Company and (C) resolutions of the Board of Directors authorizing the execution and delivery of the Transaction Documents and the consummation of the transactions contemplated thereby, including the issuance of the Purchased Securities, the Redemption and the execution and delivery of the New Credit Agreement;</w:t>
      </w:r>
    </w:p>
    <w:p>
      <w:pPr>
        <w:spacing w:after="0" w:line="64" w:lineRule="exact"/>
        <w:rPr>
          <w:rFonts w:ascii="Arial" w:cs="Arial" w:eastAsia="Arial" w:hAnsi="Arial"/>
          <w:sz w:val="16"/>
          <w:szCs w:val="16"/>
          <w:color w:val="auto"/>
        </w:rPr>
      </w:pPr>
    </w:p>
    <w:p>
      <w:pPr>
        <w:ind w:left="360" w:right="60" w:firstLine="948"/>
        <w:spacing w:after="0" w:line="277" w:lineRule="auto"/>
        <w:tabs>
          <w:tab w:leader="none" w:pos="17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certificate of the Secretary of State of Delaware dated as of a recent date, to the effect that the Company is in good standing in its jurisdiction of formation;</w:t>
      </w:r>
    </w:p>
    <w:p>
      <w:pPr>
        <w:spacing w:after="0" w:line="62" w:lineRule="exact"/>
        <w:rPr>
          <w:rFonts w:ascii="Arial" w:cs="Arial" w:eastAsia="Arial" w:hAnsi="Arial"/>
          <w:sz w:val="18"/>
          <w:szCs w:val="18"/>
          <w:color w:val="auto"/>
        </w:rPr>
      </w:pPr>
    </w:p>
    <w:p>
      <w:pPr>
        <w:ind w:left="1780" w:hanging="472"/>
        <w:spacing w:after="0"/>
        <w:tabs>
          <w:tab w:leader="none" w:pos="17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certificate of the Secretary of State of Delaware dated as of a recent date, evidencing the filing of the Certificate of</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Designation;</w:t>
      </w:r>
    </w:p>
    <w:p>
      <w:pPr>
        <w:spacing w:after="0" w:line="102" w:lineRule="exact"/>
        <w:rPr>
          <w:rFonts w:ascii="Arial" w:cs="Arial" w:eastAsia="Arial" w:hAnsi="Arial"/>
          <w:sz w:val="17"/>
          <w:szCs w:val="17"/>
          <w:color w:val="auto"/>
        </w:rPr>
      </w:pPr>
    </w:p>
    <w:p>
      <w:pPr>
        <w:ind w:left="360" w:right="40" w:firstLine="948"/>
        <w:spacing w:after="0" w:line="308" w:lineRule="auto"/>
        <w:tabs>
          <w:tab w:leader="none" w:pos="1842"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A certificate of the Chief Financial Officer of the Company, on behalf of the Company, dated the Closing Date, certifying, in their applicable capacities, to the effect that the conditions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have been satisfied;</w:t>
      </w:r>
    </w:p>
    <w:p>
      <w:pPr>
        <w:spacing w:after="0" w:line="38" w:lineRule="exact"/>
        <w:rPr>
          <w:rFonts w:ascii="Arial" w:cs="Arial" w:eastAsia="Arial" w:hAnsi="Arial"/>
          <w:sz w:val="17"/>
          <w:szCs w:val="17"/>
          <w:color w:val="auto"/>
        </w:rPr>
      </w:pPr>
    </w:p>
    <w:p>
      <w:pPr>
        <w:ind w:left="1740" w:hanging="432"/>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cross-receipt executed by the Company certifying that it has received the Purchase Price from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520" w:top="274" w:right="519" w:bottom="1440" w:gutter="0" w:footer="0" w:header="0"/>
        </w:sectPr>
      </w:pPr>
    </w:p>
    <w:bookmarkStart w:id="50" w:name="page51"/>
    <w:bookmarkEnd w:id="50"/>
    <w:p>
      <w:pPr>
        <w:ind w:left="444" w:right="40" w:firstLine="948"/>
        <w:spacing w:after="0" w:line="282" w:lineRule="auto"/>
        <w:tabs>
          <w:tab w:leader="none" w:pos="1776"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opinion of Bass, Berry &amp; Sims PLC, counsel to the Company, that includes paragraphs substantially in the form of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subject to customary assumptions, limitations and qualifications;</w:t>
      </w:r>
    </w:p>
    <w:p>
      <w:pPr>
        <w:spacing w:after="0" w:line="57" w:lineRule="exact"/>
        <w:rPr>
          <w:rFonts w:ascii="Arial" w:cs="Arial" w:eastAsia="Arial" w:hAnsi="Arial"/>
          <w:sz w:val="18"/>
          <w:szCs w:val="18"/>
          <w:color w:val="auto"/>
        </w:rPr>
      </w:pPr>
    </w:p>
    <w:p>
      <w:pPr>
        <w:ind w:left="1824" w:hanging="432"/>
        <w:spacing w:after="0"/>
        <w:tabs>
          <w:tab w:leader="none" w:pos="18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Evidence that the Redemption shall have been effected; and</w:t>
      </w:r>
    </w:p>
    <w:p>
      <w:pPr>
        <w:spacing w:after="0" w:line="117" w:lineRule="exact"/>
        <w:rPr>
          <w:rFonts w:ascii="Arial" w:cs="Arial" w:eastAsia="Arial" w:hAnsi="Arial"/>
          <w:sz w:val="18"/>
          <w:szCs w:val="18"/>
          <w:color w:val="auto"/>
        </w:rPr>
      </w:pPr>
    </w:p>
    <w:p>
      <w:pPr>
        <w:ind w:left="1884" w:hanging="492"/>
        <w:spacing w:after="0"/>
        <w:tabs>
          <w:tab w:leader="none" w:pos="1884" w:val="left"/>
        </w:tabs>
        <w:numPr>
          <w:ilvl w:val="1"/>
          <w:numId w:val="39"/>
        </w:numPr>
        <w:rPr>
          <w:rFonts w:ascii="Arial" w:cs="Arial" w:eastAsia="Arial" w:hAnsi="Arial"/>
          <w:sz w:val="16"/>
          <w:szCs w:val="16"/>
          <w:color w:val="auto"/>
        </w:rPr>
      </w:pPr>
      <w:r>
        <w:rPr>
          <w:rFonts w:ascii="Arial" w:cs="Arial" w:eastAsia="Arial" w:hAnsi="Arial"/>
          <w:sz w:val="16"/>
          <w:szCs w:val="16"/>
          <w:color w:val="auto"/>
        </w:rPr>
        <w:t>Such other documents relating to the transactions contemplated by this Agreement as the Purchaser or their counsel may</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reasonably request.</w:t>
      </w:r>
    </w:p>
    <w:p>
      <w:pPr>
        <w:spacing w:after="0" w:line="210" w:lineRule="exact"/>
        <w:rPr>
          <w:rFonts w:ascii="Arial" w:cs="Arial" w:eastAsia="Arial" w:hAnsi="Arial"/>
          <w:sz w:val="16"/>
          <w:szCs w:val="16"/>
          <w:color w:val="auto"/>
        </w:rPr>
      </w:pPr>
    </w:p>
    <w:p>
      <w:pPr>
        <w:ind w:left="824" w:hanging="384"/>
        <w:spacing w:after="0"/>
        <w:tabs>
          <w:tab w:leader="none" w:pos="82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Deliveries of the Purchaser</w:t>
      </w:r>
      <w:r>
        <w:rPr>
          <w:rFonts w:ascii="Arial" w:cs="Arial" w:eastAsia="Arial" w:hAnsi="Arial"/>
          <w:sz w:val="18"/>
          <w:szCs w:val="18"/>
          <w:color w:val="auto"/>
        </w:rPr>
        <w:t>. At the Closing, the Purchaser shall deliver or cause to be delivered to the Company:</w:t>
      </w:r>
    </w:p>
    <w:p>
      <w:pPr>
        <w:spacing w:after="0" w:line="117" w:lineRule="exact"/>
        <w:rPr>
          <w:rFonts w:ascii="Arial" w:cs="Arial" w:eastAsia="Arial" w:hAnsi="Arial"/>
          <w:sz w:val="18"/>
          <w:szCs w:val="18"/>
          <w:color w:val="auto"/>
        </w:rPr>
      </w:pPr>
    </w:p>
    <w:p>
      <w:pPr>
        <w:ind w:left="1724" w:hanging="332"/>
        <w:spacing w:after="0"/>
        <w:tabs>
          <w:tab w:leader="none" w:pos="17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counterpart of the Board Observer Agreement, which shall have been duly executed by the Purchaser;</w:t>
      </w:r>
    </w:p>
    <w:p>
      <w:pPr>
        <w:spacing w:after="0" w:line="117" w:lineRule="exact"/>
        <w:rPr>
          <w:rFonts w:ascii="Arial" w:cs="Arial" w:eastAsia="Arial" w:hAnsi="Arial"/>
          <w:sz w:val="18"/>
          <w:szCs w:val="18"/>
          <w:color w:val="auto"/>
        </w:rPr>
      </w:pPr>
    </w:p>
    <w:p>
      <w:pPr>
        <w:ind w:left="1784" w:hanging="392"/>
        <w:spacing w:after="0"/>
        <w:tabs>
          <w:tab w:leader="none" w:pos="178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cross-receipt executed by the Purchaser certifying that it has received the Purchased Securities from the Company;</w:t>
      </w:r>
    </w:p>
    <w:p>
      <w:pPr>
        <w:spacing w:after="0" w:line="128" w:lineRule="exact"/>
        <w:rPr>
          <w:rFonts w:ascii="Arial" w:cs="Arial" w:eastAsia="Arial" w:hAnsi="Arial"/>
          <w:sz w:val="17"/>
          <w:szCs w:val="17"/>
          <w:color w:val="auto"/>
        </w:rPr>
      </w:pPr>
    </w:p>
    <w:p>
      <w:pPr>
        <w:ind w:left="444" w:firstLine="948"/>
        <w:spacing w:after="0" w:line="277" w:lineRule="auto"/>
        <w:tabs>
          <w:tab w:leader="none" w:pos="1846"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Payment of the Purchase Price payable by wire transfer of immediately available funds to an account designated in advance of the Closing Date by the Company;</w:t>
      </w:r>
    </w:p>
    <w:p>
      <w:pPr>
        <w:spacing w:after="0" w:line="62" w:lineRule="exact"/>
        <w:rPr>
          <w:rFonts w:ascii="Arial" w:cs="Arial" w:eastAsia="Arial" w:hAnsi="Arial"/>
          <w:sz w:val="18"/>
          <w:szCs w:val="18"/>
          <w:color w:val="auto"/>
        </w:rPr>
      </w:pPr>
    </w:p>
    <w:p>
      <w:pPr>
        <w:ind w:left="1824" w:hanging="432"/>
        <w:spacing w:after="0"/>
        <w:tabs>
          <w:tab w:leader="none" w:pos="18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properly executed Internal Revenue Service Form W-9 from the Purchaser;</w:t>
      </w:r>
    </w:p>
    <w:p>
      <w:pPr>
        <w:spacing w:after="0" w:line="117" w:lineRule="exact"/>
        <w:rPr>
          <w:rFonts w:ascii="Arial" w:cs="Arial" w:eastAsia="Arial" w:hAnsi="Arial"/>
          <w:sz w:val="18"/>
          <w:szCs w:val="18"/>
          <w:color w:val="auto"/>
        </w:rPr>
      </w:pPr>
    </w:p>
    <w:p>
      <w:pPr>
        <w:ind w:left="444" w:right="100" w:firstLine="948"/>
        <w:spacing w:after="0" w:line="342" w:lineRule="auto"/>
        <w:tabs>
          <w:tab w:leader="none" w:pos="1776"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certificate of an duly appointed officer of the Purchaser, on behalf of the Purchaser, dated the Closing Date, certifying, in its capacity as an officer of the Purchaser, to the effect that the conditions set forth in Section 2.05(a) and Section 2.05(b) have been satisfied; and</w:t>
      </w:r>
    </w:p>
    <w:p>
      <w:pPr>
        <w:spacing w:after="0" w:line="15" w:lineRule="exact"/>
        <w:rPr>
          <w:rFonts w:ascii="Arial" w:cs="Arial" w:eastAsia="Arial" w:hAnsi="Arial"/>
          <w:sz w:val="16"/>
          <w:szCs w:val="16"/>
          <w:color w:val="auto"/>
        </w:rPr>
      </w:pPr>
    </w:p>
    <w:p>
      <w:pPr>
        <w:ind w:left="1824" w:hanging="432"/>
        <w:spacing w:after="0"/>
        <w:tabs>
          <w:tab w:leader="none" w:pos="1824" w:val="left"/>
        </w:tabs>
        <w:numPr>
          <w:ilvl w:val="1"/>
          <w:numId w:val="40"/>
        </w:numPr>
        <w:rPr>
          <w:rFonts w:ascii="Arial" w:cs="Arial" w:eastAsia="Arial" w:hAnsi="Arial"/>
          <w:sz w:val="17"/>
          <w:szCs w:val="17"/>
          <w:color w:val="auto"/>
        </w:rPr>
      </w:pPr>
      <w:r>
        <w:rPr>
          <w:rFonts w:ascii="Arial" w:cs="Arial" w:eastAsia="Arial" w:hAnsi="Arial"/>
          <w:sz w:val="17"/>
          <w:szCs w:val="17"/>
          <w:color w:val="auto"/>
        </w:rPr>
        <w:t>Such other documents relating to the transactions contemplated by this Agreement as the Company or its counsel may</w:t>
      </w:r>
    </w:p>
    <w:p>
      <w:pPr>
        <w:spacing w:after="0" w:line="34"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207"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time to time after the date hereof, without further consideration, the Company shall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take, or cause to be taken, all actions necessary or appropriate to consummate the transactions contemplated by this Agreement.</w:t>
      </w:r>
    </w:p>
    <w:p>
      <w:pPr>
        <w:spacing w:after="0" w:line="39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REPRESENTATIONS AND WARRANTIES RELATED TO THE COMPANY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Company represents and warrants to the Purchaser as of the date hereof and the Closing Date as follows:</w:t>
      </w:r>
    </w:p>
    <w:p>
      <w:pPr>
        <w:spacing w:after="0" w:line="221" w:lineRule="exact"/>
        <w:rPr>
          <w:sz w:val="20"/>
          <w:szCs w:val="20"/>
          <w:color w:val="auto"/>
        </w:rPr>
      </w:pPr>
    </w:p>
    <w:p>
      <w:pPr>
        <w:ind w:left="4" w:right="400" w:firstLine="440"/>
        <w:spacing w:after="0" w:line="293"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Existence, Qualification and Power</w:t>
      </w:r>
      <w:r>
        <w:rPr>
          <w:rFonts w:ascii="Arial" w:cs="Arial" w:eastAsia="Arial" w:hAnsi="Arial"/>
          <w:sz w:val="16"/>
          <w:szCs w:val="16"/>
          <w:color w:val="auto"/>
        </w:rPr>
        <w:t>. Each of the Company Entities (a) is duly organized or formed, validly existing and,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 good standing under the Laws of the jurisdiction of its incorporation or organization, (b)(1) has all requisite power and authority and</w:t>
      </w:r>
    </w:p>
    <w:p>
      <w:pPr>
        <w:spacing w:after="0" w:line="1" w:lineRule="exact"/>
        <w:rPr>
          <w:sz w:val="20"/>
          <w:szCs w:val="20"/>
          <w:color w:val="auto"/>
        </w:rPr>
      </w:pPr>
    </w:p>
    <w:p>
      <w:pPr>
        <w:ind w:left="4" w:right="40" w:hanging="4"/>
        <w:spacing w:after="0" w:line="253"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requisite governmental licenses, authorizations, consents and approvals to in the case of each of clause (b)(1) and (2), (i) own or lease its assets and carry on its business and (ii) execute, deliver and perform its obligations under this Agreement to which it is a party, and (c) is duly qualified and is licensed and, as applicable, in good standing under the Laws of each jurisdiction where its ownership, lease or operation of properties or the conduct of its business requires such qualification or license; except in the case of clause (b)(2) and clause (c), to the extent that failure to do so would not reasonably be expected to have a Material Adverse Effect.</w:t>
      </w:r>
    </w:p>
    <w:p>
      <w:pPr>
        <w:spacing w:after="0" w:line="1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4"/>
          </w:cols>
          <w:pgMar w:left="436" w:top="270" w:right="519" w:bottom="1440" w:gutter="0" w:footer="0" w:header="0"/>
        </w:sectPr>
      </w:pPr>
    </w:p>
    <w:bookmarkStart w:id="51" w:name="page52"/>
    <w:bookmarkEnd w:id="51"/>
    <w:p>
      <w:pPr>
        <w:ind w:left="444"/>
        <w:spacing w:after="0"/>
        <w:tabs>
          <w:tab w:leader="none" w:pos="1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3.02</w:t>
      </w:r>
      <w:r>
        <w:rPr>
          <w:sz w:val="20"/>
          <w:szCs w:val="20"/>
          <w:color w:val="auto"/>
        </w:rPr>
        <w:tab/>
      </w:r>
      <w:r>
        <w:rPr>
          <w:rFonts w:ascii="Arial" w:cs="Arial" w:eastAsia="Arial" w:hAnsi="Arial"/>
          <w:sz w:val="16"/>
          <w:szCs w:val="16"/>
          <w:b w:val="1"/>
          <w:bCs w:val="1"/>
          <w:u w:val="single" w:color="auto"/>
          <w:color w:val="auto"/>
        </w:rPr>
        <w:t>Capitalization and Valid Issuance and Redemption of Securities</w:t>
      </w:r>
      <w:r>
        <w:rPr>
          <w:rFonts w:ascii="Arial" w:cs="Arial" w:eastAsia="Arial" w:hAnsi="Arial"/>
          <w:sz w:val="16"/>
          <w:szCs w:val="16"/>
          <w:color w:val="auto"/>
        </w:rPr>
        <w:t>.</w:t>
      </w:r>
    </w:p>
    <w:p>
      <w:pPr>
        <w:spacing w:after="0" w:line="121" w:lineRule="exact"/>
        <w:rPr>
          <w:sz w:val="20"/>
          <w:szCs w:val="20"/>
          <w:color w:val="auto"/>
        </w:rPr>
      </w:pPr>
    </w:p>
    <w:p>
      <w:pPr>
        <w:ind w:left="4" w:right="60" w:firstLine="436"/>
        <w:spacing w:after="0" w:line="287" w:lineRule="auto"/>
        <w:tabs>
          <w:tab w:leader="none" w:pos="81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As of March 12, 2021, (i) the authorized capital stock of the Company is 95,000,000 shares, of which 90,000,000 shares, par value $0.01 per share, are designated as common shares and of which 5,000,000 shares, par value $0.01 per share, are designated as preferred shares (of which only 200,000 shares have been designated as Series A Junior Participating Preferred Stock, 100,000 shares have been designated as Series B Convertible Preferred Stock, 200,000 shares have been designated as Series C Junior Participating Preferred Stock, and no other preferred shares have been designated or issued); (ii) the number of shares of capital stock issued and outstanding is 42,791,476 shares of voting Common Stock; (iii) no shares of Series A Junior Participating Preferred Shares are outstanding; (iv) 100,000 shares of Series B Convertible Preferred Stock are outstanding; (v) no shares of Series C Junior Participating Preferred Stock are outstanding; (vi) the number of shares of capital stock issuable pursuant to the Company’s stock plans (including the 2019 Omnibus Incentive Plan) is 2,520,553; and (vii) the number of shares of capital stock issuable and reserved for issuance pursuant to securities exercisable for, or convertible into or exchangeable for any shares of capital stock of the Company is 2,924,851. All of the issued and outstanding shares of the Company’s capital stock have been duly authorized and validly issued and are fully paid and nonassessable and were issued in compliance with applicable state and federal securities laws and any rights of third parties or in violation of pre-emptive or similar rights.</w:t>
      </w:r>
    </w:p>
    <w:p>
      <w:pPr>
        <w:spacing w:after="0" w:line="171" w:lineRule="exact"/>
        <w:rPr>
          <w:rFonts w:ascii="Arial" w:cs="Arial" w:eastAsia="Arial" w:hAnsi="Arial"/>
          <w:sz w:val="16"/>
          <w:szCs w:val="16"/>
          <w:color w:val="auto"/>
        </w:rPr>
      </w:pPr>
    </w:p>
    <w:p>
      <w:pPr>
        <w:ind w:left="4" w:right="260" w:firstLine="436"/>
        <w:spacing w:after="0" w:line="286" w:lineRule="auto"/>
        <w:tabs>
          <w:tab w:leader="none" w:pos="831"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Purchased Securities have been, or prior to the Closing will be, duly and validly authorized and, when issued and paid for pursuant to this Agreement, will be validly issued, fully paid and nonassessable, and shall be free and clear of all Liens and restrictions on transfer, except for restrictions on transfer set forth in the Transaction Documents or imposed by applicable securities laws.</w:t>
      </w:r>
    </w:p>
    <w:p>
      <w:pPr>
        <w:spacing w:after="0" w:line="165" w:lineRule="exact"/>
        <w:rPr>
          <w:rFonts w:ascii="Arial" w:cs="Arial" w:eastAsia="Arial" w:hAnsi="Arial"/>
          <w:sz w:val="17"/>
          <w:szCs w:val="17"/>
          <w:color w:val="auto"/>
        </w:rPr>
      </w:pPr>
    </w:p>
    <w:p>
      <w:pPr>
        <w:ind w:left="4" w:firstLine="436"/>
        <w:spacing w:after="0" w:line="287" w:lineRule="auto"/>
        <w:tabs>
          <w:tab w:leader="none" w:pos="824"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is entitled to pre-emptive or similar statutory or contractual rights with respect to any securities of the Company Entities. Other than as contemplated by this Agreement, there are no outstanding warrants, options, convertible securities or other rights, agreements or arrangements of any character under which any Company Entity is or may be obligated to issue any equity securities of any kind, other than options granted under the Company’s stock plans (including the 2019 Omnibus Incentive Plan) and prior stock plans. Other than as contemplated by this Agreement, there are no voting agreements, buy-sell agreements, option or right of first purchase agreements or other agreements of any kind among the Company and any of the securityholders of the Company relating to the securities of the Company held by them. No Person has the right to require the Company to register any securities of the Company under the Securities Act, whether on a demand basis or in connection with the registration of securities of the Company for its own account or for the account of any other Person. The issuance and sale of the Purchased Securities hereunder will not obligate the Company to issue Common Stock or other securities to any other Person (other than the Purchaser) and will not result in the adjustment of the exercise, conversion, exchange or reset price of any outstanding security. The Company does not have outstanding stockholder purchase rights or “poison pill” or any similar arrangement in effect giving any Person the right to purchase any equity interest in the Company upon the occurrence of certain events.</w:t>
      </w:r>
    </w:p>
    <w:p>
      <w:pPr>
        <w:spacing w:after="0" w:line="171" w:lineRule="exact"/>
        <w:rPr>
          <w:rFonts w:ascii="Arial" w:cs="Arial" w:eastAsia="Arial" w:hAnsi="Arial"/>
          <w:sz w:val="16"/>
          <w:szCs w:val="16"/>
          <w:color w:val="auto"/>
        </w:rPr>
      </w:pPr>
    </w:p>
    <w:p>
      <w:pPr>
        <w:ind w:left="4" w:right="100" w:firstLine="436"/>
        <w:spacing w:after="0" w:line="286" w:lineRule="auto"/>
        <w:tabs>
          <w:tab w:leader="none" w:pos="82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shares of Common Stock issuable upon exercise of the Warrants (the “</w:t>
      </w:r>
      <w:r>
        <w:rPr>
          <w:rFonts w:ascii="Arial" w:cs="Arial" w:eastAsia="Arial" w:hAnsi="Arial"/>
          <w:sz w:val="16"/>
          <w:szCs w:val="16"/>
          <w:u w:val="single" w:color="auto"/>
          <w:color w:val="auto"/>
        </w:rPr>
        <w:t>Underlying Shares</w:t>
      </w:r>
      <w:r>
        <w:rPr>
          <w:rFonts w:ascii="Arial" w:cs="Arial" w:eastAsia="Arial" w:hAnsi="Arial"/>
          <w:sz w:val="16"/>
          <w:szCs w:val="16"/>
          <w:color w:val="auto"/>
        </w:rPr>
        <w:t>”) (without regard to any limitations on beneficial ownership) have been duly authorized and reserved pursuant to the Company’s Restated Certificate of Incorporation and the Warrants and, upon issuance and delivery by the Company to the Purchaser in accordance with this Agreement and the terms of the Purchased Securities, will be duly authorized, validly issued, fully paid and non-assessable and will be free of any preemptive rights or any Liens and restrictions on transfer, other than</w:t>
      </w:r>
    </w:p>
    <w:p>
      <w:pPr>
        <w:spacing w:after="0" w:line="1" w:lineRule="exact"/>
        <w:rPr>
          <w:rFonts w:ascii="Arial" w:cs="Arial" w:eastAsia="Arial" w:hAnsi="Arial"/>
          <w:sz w:val="16"/>
          <w:szCs w:val="16"/>
          <w:color w:val="auto"/>
        </w:rPr>
      </w:pPr>
    </w:p>
    <w:p>
      <w:pPr>
        <w:ind w:left="4" w:right="140" w:hanging="4"/>
        <w:spacing w:after="0" w:line="260" w:lineRule="auto"/>
        <w:tabs>
          <w:tab w:leader="none" w:pos="2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transfer under the Warrants or this Agreement and under applicable state and federal securities laws and (ii) such Liens as are created by the Purchaser or its Affiliates.</w:t>
      </w:r>
    </w:p>
    <w:p>
      <w:pPr>
        <w:spacing w:after="0" w:line="185" w:lineRule="exact"/>
        <w:rPr>
          <w:rFonts w:ascii="Arial" w:cs="Arial" w:eastAsia="Arial" w:hAnsi="Arial"/>
          <w:sz w:val="18"/>
          <w:szCs w:val="18"/>
          <w:color w:val="auto"/>
        </w:rPr>
      </w:pPr>
    </w:p>
    <w:p>
      <w:pPr>
        <w:jc w:val="both"/>
        <w:ind w:left="4" w:right="300" w:firstLine="436"/>
        <w:spacing w:after="0" w:line="342" w:lineRule="auto"/>
        <w:tabs>
          <w:tab w:leader="none" w:pos="821"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capital of the Company is not impaired, and the Redemption will not cause any impairment of the capital of the Company. The funds necessary to effect the Redemption constitute “surplus” under Section 154 of the DGCL and are (or will be, following receipt of the Purchase Price)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52" w:name="page53"/>
    <w:bookmarkEnd w:id="52"/>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readily accessible to the Company, and the Redemption, including the distribution of such funds to effect the Redemption, will not violate applicable law with respect to insolvency, creditors’ rights and the impairment of capital.</w:t>
      </w:r>
    </w:p>
    <w:p>
      <w:pPr>
        <w:spacing w:after="0" w:line="166"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Ownership of the Material Subsidiaries</w:t>
      </w:r>
      <w:r>
        <w:rPr>
          <w:rFonts w:ascii="Arial" w:cs="Arial" w:eastAsia="Arial" w:hAnsi="Arial"/>
          <w:sz w:val="18"/>
          <w:szCs w:val="18"/>
          <w:color w:val="auto"/>
        </w:rPr>
        <w:t>. Except as disclosed in the Company’s SEC Documents (excluding any disclosures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risk factors or “forward-looking statements” sections of such reports or similar statements that are similarly non-specific and are predictive or forward-looking in nature), all of the outstanding shares of capital stock or other equity interests of each Material Subsidiary owned directly or indirectly by the Company (a) have been duly authorized and validly issued and are fully paid and nonassessable, and (b) are wholly-owned, directly or indirectly, by the Company, free and clear of all Liens, except for Liens under the Company’s existing debt arrangements and for restrictions on transferability in the Organizational Documents of such Material Subsidiary and (ii) as would not, individually or in the aggregate, reasonably be expected to have a Material Adverse Effect.</w:t>
      </w:r>
    </w:p>
    <w:p>
      <w:pPr>
        <w:spacing w:after="0" w:line="189"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Company SEC Documents</w:t>
      </w:r>
      <w:r>
        <w:rPr>
          <w:rFonts w:ascii="Arial" w:cs="Arial" w:eastAsia="Arial" w:hAnsi="Arial"/>
          <w:sz w:val="18"/>
          <w:szCs w:val="18"/>
          <w:color w:val="auto"/>
        </w:rPr>
        <w:t>. Since March 31, 2020, the Company’s forms, registration statements, reports, schedules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required to be filed by it under the Exchange Act have been filed with the Commission on a timely basis. The Company SEC Documents, at the time filed (or in the case of registration statements, solely on the dates of effectiveness), except to the extent corrected by a subsequent Company SEC Document, (a) did not contain any untrue statement of a material fact or omit to state a material fact required to be stated therein or necessary in order to make the statements therein, in light of the circumstances under which they were made in the case of any such documents other than a registration statement, not misleading and (b) complied as to form in all material respects with the applicable requirements of the Exchange Act and the Securities Act, as the case may be.</w:t>
      </w:r>
    </w:p>
    <w:p>
      <w:pPr>
        <w:spacing w:after="0" w:line="297"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121" w:lineRule="exact"/>
        <w:rPr>
          <w:sz w:val="20"/>
          <w:szCs w:val="20"/>
          <w:color w:val="auto"/>
        </w:rPr>
      </w:pPr>
    </w:p>
    <w:p>
      <w:pPr>
        <w:ind w:left="4" w:right="160" w:firstLine="436"/>
        <w:spacing w:after="0" w:line="287" w:lineRule="auto"/>
        <w:tabs>
          <w:tab w:leader="none" w:pos="82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Except as disclosed in the Company’s SEC Documents (excluding any disclosures set forth in the risk factors or “forward-looking statements” sections of such reports or similar statements that are similarly non-specific and are predictive or forward-looking in nature), the historical financial statements (including the related notes and supporting schedule) contained or incorporated by reference in the Company SEC Documents</w:t>
      </w:r>
    </w:p>
    <w:p>
      <w:pPr>
        <w:spacing w:after="0" w:line="2" w:lineRule="exact"/>
        <w:rPr>
          <w:rFonts w:ascii="Arial" w:cs="Arial" w:eastAsia="Arial" w:hAnsi="Arial"/>
          <w:sz w:val="16"/>
          <w:szCs w:val="16"/>
          <w:color w:val="auto"/>
        </w:rPr>
      </w:pPr>
    </w:p>
    <w:p>
      <w:pPr>
        <w:ind w:left="4" w:right="20" w:hanging="4"/>
        <w:spacing w:after="0" w:line="252" w:lineRule="auto"/>
        <w:tabs>
          <w:tab w:leader="none" w:pos="2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comply as to form in all material respects with the applicable accounting requirements under the Securities Act and the Exchange Act (except that certain supporting schedules are omitted), (ii) fairly present in all material respects the consolidated financial condition of the Company and its Subsidiaries as of the date thereof and the consolidated results of operations, cash flow and stockholder equity for the respective periods (subject, in the case of unaudited quarterly financial statements, to normal year-end adjustments) and (iii) have been prepared in all material respects in accordance with GAAP (except, in the case of unaudited quarterly statements, as permitted by Form 10-Q of the Commission or other rules and regulations of the Commission) consistently applied throughout the periods involved, (except (y) as may be indicated in the notes thereto or (z) as permitted by Regulation S-X).</w:t>
      </w:r>
    </w:p>
    <w:p>
      <w:pPr>
        <w:spacing w:after="0" w:line="192" w:lineRule="exact"/>
        <w:rPr>
          <w:rFonts w:ascii="Arial" w:cs="Arial" w:eastAsia="Arial" w:hAnsi="Arial"/>
          <w:sz w:val="18"/>
          <w:szCs w:val="18"/>
          <w:color w:val="auto"/>
        </w:rPr>
      </w:pPr>
    </w:p>
    <w:p>
      <w:pPr>
        <w:ind w:left="4" w:right="80" w:firstLine="436"/>
        <w:spacing w:after="0" w:line="290" w:lineRule="auto"/>
        <w:tabs>
          <w:tab w:leader="none" w:pos="834" w:val="left"/>
        </w:tabs>
        <w:numPr>
          <w:ilvl w:val="1"/>
          <w:numId w:val="4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liabilities of any nature (whether accrued, absolute, contingent or otherwise) that would be required under GAAP, as in effect on the date hereof, to be reflected on a consolidated balance sheet of the Company (including the notes thereto) except (i) liabilities reflected or reserved against in the balance sheet (or notes thereto) of the Company and its Subsidiaries as of the date of the most recent balance sheet of the Company audited by the Company’s auditors prior to the date hereof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including in the Company SEC Documents, (ii) (A) trade payables and accrued expenses and (B) liabilities not required to be reflected in the Company’s financial statements pursuant to GAAP or disclosed in filings made with the Commission, in each case, incurred after the Balance Sheet Date, (iii) as contemplated by this Agreement or otherwise incurred in connection with the transactions contemplated hereby, (iv) that have been discharged or paid prior to the date of this Agreement or (v) as would not, individually or in the aggregate, reasonably be expected to have a Material Adverse Effect.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53" w:name="page54"/>
    <w:bookmarkEnd w:id="53"/>
    <w:p>
      <w:pPr>
        <w:jc w:val="both"/>
        <w:ind w:left="4" w:right="16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3.06 </w:t>
      </w:r>
      <w:r>
        <w:rPr>
          <w:rFonts w:ascii="Arial" w:cs="Arial" w:eastAsia="Arial" w:hAnsi="Arial"/>
          <w:sz w:val="16"/>
          <w:szCs w:val="16"/>
          <w:b w:val="1"/>
          <w:bCs w:val="1"/>
          <w:u w:val="single" w:color="auto"/>
          <w:color w:val="auto"/>
        </w:rPr>
        <w:t>Internal Controls</w:t>
      </w:r>
      <w:r>
        <w:rPr>
          <w:rFonts w:ascii="Arial" w:cs="Arial" w:eastAsia="Arial" w:hAnsi="Arial"/>
          <w:sz w:val="16"/>
          <w:szCs w:val="16"/>
          <w:color w:val="auto"/>
        </w:rPr>
        <w:t>. Except as disclosed in the Company’s SEC Documents (excluding any disclosures set forth in the risk factors</w:t>
      </w:r>
      <w:r>
        <w:rPr>
          <w:rFonts w:ascii="Arial" w:cs="Arial" w:eastAsia="Arial" w:hAnsi="Arial"/>
          <w:sz w:val="16"/>
          <w:szCs w:val="16"/>
          <w:b w:val="1"/>
          <w:bCs w:val="1"/>
          <w:color w:val="auto"/>
        </w:rPr>
        <w:t xml:space="preserve"> </w:t>
      </w:r>
      <w:r>
        <w:rPr>
          <w:rFonts w:ascii="Arial" w:cs="Arial" w:eastAsia="Arial" w:hAnsi="Arial"/>
          <w:sz w:val="16"/>
          <w:szCs w:val="16"/>
          <w:color w:val="auto"/>
        </w:rPr>
        <w:t>or “forward-looking statements” sections of such reports or similar statements that are similarly non-specific and are predictive or forward-looking in nature), the Company Entities, taken as a whole, maintain a system of internal accounting controls sufficient to provide reasonable assurance that</w:t>
      </w:r>
    </w:p>
    <w:p>
      <w:pPr>
        <w:spacing w:after="0" w:line="2" w:lineRule="exact"/>
        <w:rPr>
          <w:sz w:val="20"/>
          <w:szCs w:val="20"/>
          <w:color w:val="auto"/>
        </w:rPr>
      </w:pPr>
    </w:p>
    <w:p>
      <w:pPr>
        <w:ind w:left="4" w:right="100" w:hanging="4"/>
        <w:spacing w:after="0" w:line="268" w:lineRule="auto"/>
        <w:tabs>
          <w:tab w:leader="none" w:pos="2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Except as disclosed in the Company’s SEC Documents (excluding any disclosures set forth in the risk factors or “forward-looking statements” sections of such reports or similar statements that are similarly non-specific and are predictive or forward-looking in nature), the Company is not aware of (i) any “material weakness” in the Company’s internal control over reporting, whether or not subsequently remediated or (ii) any fraud, whether or not material, that involves management or other employees who have a significant role in the Company’s internal control over financial reporting.</w:t>
      </w:r>
    </w:p>
    <w:p>
      <w:pPr>
        <w:spacing w:after="0" w:line="17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b w:val="1"/>
          <w:bCs w:val="1"/>
          <w:color w:val="auto"/>
        </w:rPr>
        <w:t xml:space="preserve">Section 3.07 </w:t>
      </w:r>
      <w:r>
        <w:rPr>
          <w:rFonts w:ascii="Arial" w:cs="Arial" w:eastAsia="Arial" w:hAnsi="Arial"/>
          <w:sz w:val="16"/>
          <w:szCs w:val="16"/>
          <w:b w:val="1"/>
          <w:bCs w:val="1"/>
          <w:u w:val="single" w:color="auto"/>
          <w:color w:val="auto"/>
        </w:rPr>
        <w:t>Disclosure Controls and Procedures</w:t>
      </w:r>
      <w:r>
        <w:rPr>
          <w:rFonts w:ascii="Arial" w:cs="Arial" w:eastAsia="Arial" w:hAnsi="Arial"/>
          <w:sz w:val="16"/>
          <w:szCs w:val="16"/>
          <w:color w:val="auto"/>
        </w:rPr>
        <w:t>. Except as disclosed in the Company’s SEC Documents (excluding any disclosures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risk factors or “forward-looking statements” sections of such reports or similar statements that are similarly non-specific and are predictive or forward-looking in nature), (a) to the extent required by Rule 13a-15 under the Exchange Act, each of the Company Entities has established and maintains disclosure controls and procedures (to the extent required by and as such term is defined in Rule 13a-15(e) under the Exchange Act), (b) such disclosure controls and procedures are designed to provide reasonable assurance that that the information required to be disclosed by the Company in the reports to be filed or submitted under the Exchange Act is accumulated and communicated to management of the Company, as appropriate, to allow timely decisions regarding required disclosure to be made and (c) to the extent required by Rule 13a-15 under the Exchange Act, such disclosure controls and procedures are effective in all material respects to perform the functions for which they were established.</w:t>
      </w:r>
    </w:p>
    <w:p>
      <w:pPr>
        <w:spacing w:after="0" w:line="159"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Section 3.08 </w:t>
      </w:r>
      <w:r>
        <w:rPr>
          <w:rFonts w:ascii="Arial" w:cs="Arial" w:eastAsia="Arial" w:hAnsi="Arial"/>
          <w:sz w:val="17"/>
          <w:szCs w:val="17"/>
          <w:b w:val="1"/>
          <w:bCs w:val="1"/>
          <w:u w:val="single" w:color="auto"/>
          <w:color w:val="auto"/>
        </w:rPr>
        <w:t>No Material Adverse Change</w:t>
      </w:r>
      <w:r>
        <w:rPr>
          <w:rFonts w:ascii="Arial" w:cs="Arial" w:eastAsia="Arial" w:hAnsi="Arial"/>
          <w:sz w:val="17"/>
          <w:szCs w:val="17"/>
          <w:color w:val="auto"/>
        </w:rPr>
        <w:t>. Since December 31, 2019, except as disclosed in the Company’s SEC Documents (excluding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disclosures set forth in the risk factors or “forward-looking statements” sections of such reports or similar statements that are similarly non-specific and are predictive or forward-looking in nature) and except for the execution and performance of this Agreement (i) there has been no event or circumstance, either individually or in the aggregate, that has had or that could reasonably be expected to result in a Material Adverse Effect, (ii) the Company has not declared or made any dividend or distribution of cash or other property to its stockholders or purchased, redeemed or made any agreements to purchase or redeem any shares of its capital stock (other than with respect to the Redemption) and (iii)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Purchased Securities contemplated by this Agreement, no event, liability or development has occurred or exists with respect to any Company Entity or their respective business, properties, operations or financial condition, that would be required to be disclosed by the Company under applicable federal securities laws at the time this representation is made that has not been publicly disclosed.</w:t>
      </w:r>
    </w:p>
    <w:p>
      <w:pPr>
        <w:spacing w:after="0" w:line="182"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u w:val="single" w:color="auto"/>
          <w:color w:val="auto"/>
        </w:rPr>
        <w:t>No Registration Required</w:t>
      </w:r>
      <w:r>
        <w:rPr>
          <w:rFonts w:ascii="Arial" w:cs="Arial" w:eastAsia="Arial" w:hAnsi="Arial"/>
          <w:sz w:val="18"/>
          <w:szCs w:val="18"/>
          <w:color w:val="auto"/>
        </w:rPr>
        <w:t>. Assuming the accuracy of the representations and warranties of the applicable Purchaser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the issuance and sale of the Purchased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54" w:name="page55"/>
    <w:bookmarkEnd w:id="54"/>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to the Purchaser pursuant to this Agreement is exempt from registration requirements of the Securities Act, and neither the Company nor, to the Company’s knowledge, any Person acting on its behalf, has taken nor will take any action hereafter that would cause the loss of such exemption.</w:t>
      </w:r>
    </w:p>
    <w:p>
      <w:pPr>
        <w:spacing w:after="0" w:line="120"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No Restrictions or Registration Rights</w:t>
      </w:r>
      <w:r>
        <w:rPr>
          <w:rFonts w:ascii="Arial" w:cs="Arial" w:eastAsia="Arial" w:hAnsi="Arial"/>
          <w:sz w:val="17"/>
          <w:szCs w:val="17"/>
          <w:color w:val="auto"/>
        </w:rPr>
        <w:t>. There are no restrictions upon the voting or transfer of, any Common Stock arising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Organizational Documents or the DGCL. Neither the offering nor sale of the Purchased Securities as contemplated by this Agreement gives rise to any rights for or relating to the registration of any Purchased Securities or other securities of the Company.</w:t>
      </w:r>
    </w:p>
    <w:p>
      <w:pPr>
        <w:spacing w:after="0" w:line="15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Section 3.11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Except as disclosed in the Company’s SEC Documents (excluding any disclosures set forth in the risk factors or</w:t>
      </w:r>
      <w:r>
        <w:rPr>
          <w:rFonts w:ascii="Arial" w:cs="Arial" w:eastAsia="Arial" w:hAnsi="Arial"/>
          <w:sz w:val="17"/>
          <w:szCs w:val="17"/>
          <w:b w:val="1"/>
          <w:bCs w:val="1"/>
          <w:color w:val="auto"/>
        </w:rPr>
        <w:t xml:space="preserve"> </w:t>
      </w:r>
      <w:r>
        <w:rPr>
          <w:rFonts w:ascii="Arial" w:cs="Arial" w:eastAsia="Arial" w:hAnsi="Arial"/>
          <w:sz w:val="17"/>
          <w:szCs w:val="17"/>
          <w:color w:val="auto"/>
        </w:rPr>
        <w:t>“forward-looking statements” sections of such reports or similar statements that are similarly non-specific and are predictive or forward-looking in nature), (a) there are no actions, suits, proceedings, claims or disputes pending or, to the knowledge of the Company, threatened, at law, in equity, in arbitration or before any Governmental Authority, by or against any of the Company Entities or against any of their properties, or before or by any self-regulatory organization or other non-government regulatory authority, that (i) purport to affect or pertain to this Agreement or any other Transaction Document, or any of the transactions contemplated hereby or thereby, or (ii) either individually or in the aggregate, would reasonably be expected to have a Material Adverse Effect and (b) no labor dispute with the employees of the Company or any of its Subsidiaries exists or, to the Company’s knowledge, is threatened, except as would not have a Material Adverse Effect.</w:t>
      </w:r>
    </w:p>
    <w:p>
      <w:pPr>
        <w:spacing w:after="0" w:line="172"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b w:val="1"/>
          <w:bCs w:val="1"/>
          <w:u w:val="single" w:color="auto"/>
          <w:color w:val="auto"/>
        </w:rPr>
        <w:t>Compliance with Law</w:t>
      </w:r>
      <w:r>
        <w:rPr>
          <w:rFonts w:ascii="Arial" w:cs="Arial" w:eastAsia="Arial" w:hAnsi="Arial"/>
          <w:sz w:val="17"/>
          <w:szCs w:val="17"/>
          <w:color w:val="auto"/>
        </w:rPr>
        <w:t>. Except as disclosed in the Company’s SEC Documents (excluding any disclosures set forth in the risk</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or “forward-looking statements” sections of such reports or similar statements that are similarly non-specific and are predictive or forward-looking in nature), the Company and each of its Subsidiaries is in compliance in all material respects with the requirements of applicable Laws, and any rule or regulation of any self-regulatory organization or other non-governmental regulatory authority (including the rules and regulations of Nasdaq),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8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6"/>
          <w:szCs w:val="16"/>
          <w:b w:val="1"/>
          <w:bCs w:val="1"/>
          <w:u w:val="single" w:color="auto"/>
          <w:color w:val="auto"/>
        </w:rPr>
        <w:t>No Existing Defaults; No Conflicts</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5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Organizational Documents, (ii) in violation of any statute or any judgment, order, rule or regulation of any court or governmental agency or body having jurisdiction over the Company or any of its Subsidiaries or any of their respective properties, or (iii) in default (or, with the giving of notice or lapse of time or both, would be in default) under any indenture, mortgage, deed of trust, lease,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clauses (ii) and (iii) above, for any such violation or default that would not, individually or in the aggregate, reasonably be expected to have a Material Adverse Effect;</w:t>
      </w:r>
    </w:p>
    <w:p>
      <w:pPr>
        <w:spacing w:after="0" w:line="194" w:lineRule="exact"/>
        <w:rPr>
          <w:rFonts w:ascii="Arial" w:cs="Arial" w:eastAsia="Arial" w:hAnsi="Arial"/>
          <w:sz w:val="18"/>
          <w:szCs w:val="18"/>
          <w:color w:val="auto"/>
        </w:rPr>
      </w:pPr>
    </w:p>
    <w:p>
      <w:pPr>
        <w:ind w:right="100" w:firstLine="436"/>
        <w:spacing w:after="0" w:line="259" w:lineRule="auto"/>
        <w:tabs>
          <w:tab w:leader="none" w:pos="8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and sale by the Company of the Purchased Securities, the Redemption, the execution, delivery and performance of the Transaction Documents and the consummation of the transactions contemplated thereby by each Company Entity do not and will not (i) contravene the terms of any of such Company Entity’s Organizational Documents; (ii) conflict with or result in any breach or contravention of, or the creation of any Lien under, or require any payment to be made under (x)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 of any security issued by such Company Entity or of any agreement, instrument or other undertaking to which such Company Entity is a party or by which it or any of its property is bound or (y) any order, injunction, writ or decree of any Governmental Authority or any arbitral award to which such Company Entity or its property is subject; or (iii) violate any Law or any rule or regulation of any self-regulatory organization or</w:t>
      </w:r>
    </w:p>
    <w:p>
      <w:pPr>
        <w:ind w:right="100"/>
        <w:spacing w:after="0" w:line="323" w:lineRule="auto"/>
        <w:rPr>
          <w:sz w:val="20"/>
          <w:szCs w:val="20"/>
          <w:color w:val="auto"/>
        </w:rPr>
      </w:pPr>
      <w:r>
        <w:rPr>
          <w:rFonts w:ascii="Arial" w:cs="Arial" w:eastAsia="Arial" w:hAnsi="Arial"/>
          <w:sz w:val="16"/>
          <w:szCs w:val="16"/>
          <w:color w:val="auto"/>
        </w:rPr>
        <w:t>other non-governmental regulatory authority (including, without limitation, the rules and regulations of Nasdaq), except in the case of clauses (ii) and (iii) above, for any such violation or default that would not, individually or in the aggregate, reasonably be expected to have a Material Adverse Effect.</w:t>
      </w:r>
    </w:p>
    <w:p>
      <w:pPr>
        <w:spacing w:after="0" w:line="24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6"/>
          <w:szCs w:val="16"/>
          <w:b w:val="1"/>
          <w:bCs w:val="1"/>
          <w:u w:val="single" w:color="auto"/>
          <w:color w:val="auto"/>
        </w:rPr>
        <w:t>Authority; Enforceability</w:t>
      </w:r>
      <w:r>
        <w:rPr>
          <w:rFonts w:ascii="Arial" w:cs="Arial" w:eastAsia="Arial" w:hAnsi="Arial"/>
          <w:sz w:val="16"/>
          <w:szCs w:val="16"/>
          <w:color w:val="auto"/>
        </w:rPr>
        <w:t>.</w:t>
      </w:r>
    </w:p>
    <w:p>
      <w:pPr>
        <w:spacing w:after="0" w:line="121" w:lineRule="exact"/>
        <w:rPr>
          <w:sz w:val="20"/>
          <w:szCs w:val="20"/>
          <w:color w:val="auto"/>
        </w:rPr>
      </w:pPr>
    </w:p>
    <w:p>
      <w:pPr>
        <w:ind w:right="20" w:firstLine="436"/>
        <w:spacing w:after="0" w:line="291" w:lineRule="auto"/>
        <w:tabs>
          <w:tab w:leader="none" w:pos="8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each the Transaction Documents have been duly authorized by all necessary corporate action. The Company has all requisite power and authority to issue, sell and deliver the Purchased Securities, in accordance with and upon the terms and conditions set forth in this Agreement and effect the Redemption in accordance with the terms of the Organizational Documents. On or prior to the Closing Date, all action required to be taken by the Company for the authorization, issuance, sale and delivery of the Purchased Securities, the execution and delivery of the Transaction Documents and the consummation of the transactions contemplated thereby shall have been validly taken. No approval from the holders of outstanding Common Stock is required under the Organizational Documents of the Company or the rules of Nasdaq in connection with the Company’s issuance and sale of the Purchased Securities (or Underlying Shares) to the Purchaser.</w:t>
      </w:r>
    </w:p>
    <w:p>
      <w:pPr>
        <w:spacing w:after="0" w:line="166" w:lineRule="exact"/>
        <w:rPr>
          <w:rFonts w:ascii="Arial" w:cs="Arial" w:eastAsia="Arial" w:hAnsi="Arial"/>
          <w:sz w:val="16"/>
          <w:szCs w:val="16"/>
          <w:color w:val="auto"/>
        </w:rPr>
      </w:pPr>
    </w:p>
    <w:p>
      <w:pPr>
        <w:ind w:right="40" w:firstLine="436"/>
        <w:spacing w:after="0" w:line="296" w:lineRule="auto"/>
        <w:tabs>
          <w:tab w:leader="none" w:pos="8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Each of the Transaction Documents has been or, when delivered hereunder, will have been, duly executed and delivered by the Company. Each of the Transaction Documents constitutes, or will constitute, a legal, valid and binding obligation of the Company, enforceable in accordance with its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agreement, the enforceability thereof may be limited by applicable bankruptcy, insolvency, fraudulent transfer, reorganization, moratorium or similar Laws from time to time in effect affecting the enforcement of creditors’ rights and remedies generally and by general principles of equity (regardless of whether such principles are considered in a proceeding in equity or at law).</w:t>
      </w:r>
    </w:p>
    <w:p>
      <w:pPr>
        <w:spacing w:after="0" w:line="15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Approvals</w:t>
      </w:r>
      <w:r>
        <w:rPr>
          <w:rFonts w:ascii="Arial" w:cs="Arial" w:eastAsia="Arial" w:hAnsi="Arial"/>
          <w:sz w:val="18"/>
          <w:szCs w:val="18"/>
          <w:color w:val="auto"/>
        </w:rPr>
        <w:t>. No material approval, consent, exemption, authorization, or other action by, or notice to, or filing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or any other Person (each, a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is necessary or required in connection with the issuance and sale of the Purchased Securities by the Company, the execution, delivery and performance of this Agreement and the other Transaction Documents by the Company and the consummation by the Company of the transactions contemplated hereby or thereby, other than (i) the filing of the Certificate of Designation with the Secretary of State of Delaware, (ii) the applicable requirements under the state securities or “blue sky” Laws and (iii) in connection with the exercise of the Warrants, compliance with and filings or notifications under the HSR Act and other applicable U.S. or foreign competition, antitrust, or merger control Laws,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189"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Investment Company Status</w:t>
      </w:r>
      <w:r>
        <w:rPr>
          <w:rFonts w:ascii="Arial" w:cs="Arial" w:eastAsia="Arial" w:hAnsi="Arial"/>
          <w:sz w:val="18"/>
          <w:szCs w:val="18"/>
          <w:color w:val="auto"/>
        </w:rPr>
        <w:t>. None of the Company Entities is, and immediately after the sale of the Purchased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 application of the net proceeds from such sale none of the Company Entities will be, required to be registered as an “investment company” under the Investment Company Act of 1940, as amended.</w:t>
      </w:r>
    </w:p>
    <w:p>
      <w:pPr>
        <w:spacing w:after="0" w:line="17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Certain Fees</w:t>
      </w:r>
      <w:r>
        <w:rPr>
          <w:rFonts w:ascii="Arial" w:cs="Arial" w:eastAsia="Arial" w:hAnsi="Arial"/>
          <w:sz w:val="18"/>
          <w:szCs w:val="18"/>
          <w:color w:val="auto"/>
        </w:rPr>
        <w:t>. Except for J.P. Morgan Securities LLC, no broker, finder or investment banker is entitled to any brokerage,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fee or commission from the Company with respect to the sale of any of the Purchased Securities or the consummation of the transactions contemplated by this Agreement based upon arrangements made by or on behalf of any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56" w:name="page57"/>
    <w:bookmarkEnd w:id="56"/>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Entities. The Company agrees that it will indemnify and hold harmless the Purchaser from and against any and all claims, demands, or liabilities for broker’s, finder’s, placement, or other similar fees or commissions incurred by the Company Entities or alleged to have been incurred by the Company Entities in connection with the sale of the Purchased Securities or the consummation of the transactions contemplated by this Agreement.</w:t>
      </w:r>
    </w:p>
    <w:p>
      <w:pPr>
        <w:spacing w:after="0" w:line="14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3.18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Except as disclosed in the Company’s SEC Documents (excluding any disclosures set forth in the risk factors or</w:t>
      </w:r>
      <w:r>
        <w:rPr>
          <w:rFonts w:ascii="Arial" w:cs="Arial" w:eastAsia="Arial" w:hAnsi="Arial"/>
          <w:sz w:val="17"/>
          <w:szCs w:val="17"/>
          <w:b w:val="1"/>
          <w:bCs w:val="1"/>
          <w:color w:val="auto"/>
        </w:rPr>
        <w:t xml:space="preserve"> </w:t>
      </w:r>
      <w:r>
        <w:rPr>
          <w:rFonts w:ascii="Arial" w:cs="Arial" w:eastAsia="Arial" w:hAnsi="Arial"/>
          <w:sz w:val="17"/>
          <w:szCs w:val="17"/>
          <w:color w:val="auto"/>
        </w:rPr>
        <w:t>“forward-looking statements” sections of such reports or similar statements that are similarly non-specific and are predictive or forward-looking in nature), the properties of the Company and its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its applicable Subsidiaries operate. The Company has no reason to believe that it or any of its Subsidiaries will not be able (i) to renew its existing insurance coverage as and when such policies expire or (ii) to obtain comparable coverage from similar institutions and as may be necessary or appropriate to conduct its business as now conducted and at a cost that would not reasonably be expected to have a Material Adverse Effect.</w:t>
      </w:r>
    </w:p>
    <w:p>
      <w:pPr>
        <w:spacing w:after="0" w:line="172"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b w:val="1"/>
          <w:bCs w:val="1"/>
          <w:u w:val="single" w:color="auto"/>
          <w:color w:val="auto"/>
        </w:rPr>
        <w:t>Listing and Maintenance Requirements</w:t>
      </w:r>
      <w:r>
        <w:rPr>
          <w:rFonts w:ascii="Arial" w:cs="Arial" w:eastAsia="Arial" w:hAnsi="Arial"/>
          <w:sz w:val="18"/>
          <w:szCs w:val="18"/>
          <w:color w:val="auto"/>
        </w:rPr>
        <w:t>. The Common Stock is registered pursuant to Section 12(b) or 12(g)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Common Stock is listed on Nasdaq, and the Company has not received any notice of delisting that is in effect as of the date of this Agreement. The Company is in compliance in all material respects with the listing and listing maintenance requirements of Nasdaq applicable to it for the continued trading of its Common Stock on Nasdaq.</w:t>
      </w:r>
    </w:p>
    <w:p>
      <w:pPr>
        <w:spacing w:after="0" w:line="29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6"/>
          <w:szCs w:val="16"/>
          <w:b w:val="1"/>
          <w:bCs w:val="1"/>
          <w:u w:val="single" w:color="auto"/>
          <w:color w:val="auto"/>
        </w:rPr>
        <w:t>ERISA Compliance</w:t>
      </w:r>
      <w:r>
        <w:rPr>
          <w:rFonts w:ascii="Arial" w:cs="Arial" w:eastAsia="Arial" w:hAnsi="Arial"/>
          <w:sz w:val="16"/>
          <w:szCs w:val="16"/>
          <w:color w:val="auto"/>
        </w:rPr>
        <w:t>.</w:t>
      </w:r>
    </w:p>
    <w:p>
      <w:pPr>
        <w:spacing w:after="0" w:line="121" w:lineRule="exact"/>
        <w:rPr>
          <w:sz w:val="20"/>
          <w:szCs w:val="20"/>
          <w:color w:val="auto"/>
        </w:rPr>
      </w:pPr>
    </w:p>
    <w:p>
      <w:pPr>
        <w:ind w:right="60" w:firstLine="436"/>
        <w:spacing w:after="0" w:line="255"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applicable federal or state Laws. Each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knowledge of the Company, nothing has occurred that would prevent or cause the loss of, such tax-qualified status.</w:t>
      </w:r>
    </w:p>
    <w:p>
      <w:pPr>
        <w:spacing w:after="0" w:line="192" w:lineRule="exact"/>
        <w:rPr>
          <w:rFonts w:ascii="Arial" w:cs="Arial" w:eastAsia="Arial" w:hAnsi="Arial"/>
          <w:sz w:val="18"/>
          <w:szCs w:val="18"/>
          <w:color w:val="auto"/>
        </w:rPr>
      </w:pPr>
    </w:p>
    <w:p>
      <w:pPr>
        <w:ind w:firstLine="436"/>
        <w:spacing w:after="0" w:line="263" w:lineRule="auto"/>
        <w:tabs>
          <w:tab w:leader="none" w:pos="8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claims, actions or lawsuits, or action by any Governmental Authority, with respect to any Plan that could reasonably be expected to have a Material Adverse Effect. There has been no prohibited transaction or material violation of the fiduciary responsibility rules with respect to any Plan.</w:t>
      </w:r>
    </w:p>
    <w:p>
      <w:pPr>
        <w:spacing w:after="0" w:line="183" w:lineRule="exact"/>
        <w:rPr>
          <w:rFonts w:ascii="Arial" w:cs="Arial" w:eastAsia="Arial" w:hAnsi="Arial"/>
          <w:sz w:val="18"/>
          <w:szCs w:val="18"/>
          <w:color w:val="auto"/>
        </w:rPr>
      </w:pPr>
    </w:p>
    <w:p>
      <w:pPr>
        <w:ind w:right="40" w:firstLine="436"/>
        <w:spacing w:after="0" w:line="273"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could not reasonably be expected, either individually or in the aggregate, to have a Material Adverse Effect, (i) no ERISA Event has occurred with respect to any Pension Plan; (ii) the Company and each ERISA Affiliate have met all applicable requirements under the Pension Funding Rules in respect of each Pension Plan, and no waiver of the minimum funding standards under the Pension Funding Rules has been applied for or obtained; (iii) except as disclosed in the Company’s SEC Documents (excluding any disclosures set forth in the risk factors or “forward-looking statements” sections of such reports or similar statements that are similarly non-specific and are predictive or forward-looking in nature), neither the Company nor any ERISA Affiliate has incurred any liability to the PBGC</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57" w:name="page58"/>
    <w:bookmarkEnd w:id="5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for the payment of premiums, and there are no premium payments which have become due that are unpaid; and (iv) neither the Company nor any ERISA Affiliate has engaged in a transaction that could be subject to Section 4069 or Section 4212(c) of ERISA.</w:t>
      </w:r>
    </w:p>
    <w:p>
      <w:pPr>
        <w:spacing w:after="0" w:line="170" w:lineRule="exact"/>
        <w:rPr>
          <w:sz w:val="20"/>
          <w:szCs w:val="20"/>
          <w:color w:val="auto"/>
        </w:rPr>
      </w:pPr>
    </w:p>
    <w:p>
      <w:pPr>
        <w:ind w:right="320" w:firstLine="436"/>
        <w:spacing w:after="0" w:line="259" w:lineRule="auto"/>
        <w:tabs>
          <w:tab w:leader="none" w:pos="8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disclosed in the Company’s SEC Documents (excluding any disclosures set forth in the risk factors or “forward-looking statements” sections of such reports or similar statements that are similarly non-specific and are predictive or forward-looking in nature), neither the Company or any ERISA Affiliate maintains or contributes to, or has any unsatisfied obligation to contribute to, or liability under, any active or terminated Pension Plan.</w:t>
      </w:r>
    </w:p>
    <w:p>
      <w:pPr>
        <w:spacing w:after="0" w:line="186" w:lineRule="exact"/>
        <w:rPr>
          <w:rFonts w:ascii="Arial" w:cs="Arial" w:eastAsia="Arial" w:hAnsi="Arial"/>
          <w:sz w:val="18"/>
          <w:szCs w:val="18"/>
          <w:color w:val="auto"/>
        </w:rPr>
      </w:pPr>
    </w:p>
    <w:p>
      <w:pPr>
        <w:ind w:right="140" w:firstLine="436"/>
        <w:spacing w:after="0" w:line="259" w:lineRule="auto"/>
        <w:tabs>
          <w:tab w:leader="none" w:pos="8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(a “</w:t>
      </w:r>
      <w:r>
        <w:rPr>
          <w:rFonts w:ascii="Arial" w:cs="Arial" w:eastAsia="Arial" w:hAnsi="Arial"/>
          <w:sz w:val="18"/>
          <w:szCs w:val="18"/>
          <w:u w:val="single" w:color="auto"/>
          <w:color w:val="auto"/>
        </w:rPr>
        <w:t>Foreign Government Scheme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 and with respect to each employee benefit plan maintained or contributed to by the Company or any Subsidiary of the Company 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 each such Foreign Plan required to be registered has been registered and has been maintained in good standing with applicable regulatory authorities.</w:t>
      </w:r>
    </w:p>
    <w:p>
      <w:pPr>
        <w:spacing w:after="0" w:line="183"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Tax Returns; Taxes</w:t>
      </w:r>
      <w:r>
        <w:rPr>
          <w:rFonts w:ascii="Arial" w:cs="Arial" w:eastAsia="Arial" w:hAnsi="Arial"/>
          <w:sz w:val="18"/>
          <w:szCs w:val="18"/>
          <w:color w:val="auto"/>
        </w:rPr>
        <w:t>. The Company and its Subsidiaries have filed all income and other material Tax Returns required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paid all Taxes imposed upon them that are due and payable, except those which are being contested in good faith by appropriate proceedings diligently conducted and for which adequate reserves have been provided in accordance with GAAP. As of the date hereof, no Tax Lien has been filed against the Company, any Subsidiary, or any assets of either other than statutory Liens for Taxes not yet due and payable. There is no proposed tax assessment against the Company or any of its Subsidiaries that would, if made, have a material impact on the finances or operations of any of the Company Entities.</w:t>
      </w:r>
    </w:p>
    <w:p>
      <w:pPr>
        <w:spacing w:after="0" w:line="187"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3.22 </w:t>
      </w:r>
      <w:r>
        <w:rPr>
          <w:rFonts w:ascii="Arial" w:cs="Arial" w:eastAsia="Arial" w:hAnsi="Arial"/>
          <w:sz w:val="16"/>
          <w:szCs w:val="16"/>
          <w:b w:val="1"/>
          <w:bCs w:val="1"/>
          <w:u w:val="single" w:color="auto"/>
          <w:color w:val="auto"/>
        </w:rPr>
        <w:t>Required Disclosures and Descriptions</w:t>
      </w:r>
      <w:r>
        <w:rPr>
          <w:rFonts w:ascii="Arial" w:cs="Arial" w:eastAsia="Arial" w:hAnsi="Arial"/>
          <w:sz w:val="16"/>
          <w:szCs w:val="16"/>
          <w:color w:val="auto"/>
        </w:rPr>
        <w:t>. There are no legal or governmental actions, suits or proceedings (including an audit or</w:t>
      </w:r>
      <w:r>
        <w:rPr>
          <w:rFonts w:ascii="Arial" w:cs="Arial" w:eastAsia="Arial" w:hAnsi="Arial"/>
          <w:sz w:val="16"/>
          <w:szCs w:val="16"/>
          <w:b w:val="1"/>
          <w:bCs w:val="1"/>
          <w:color w:val="auto"/>
        </w:rPr>
        <w:t xml:space="preserve"> </w:t>
      </w:r>
      <w:r>
        <w:rPr>
          <w:rFonts w:ascii="Arial" w:cs="Arial" w:eastAsia="Arial" w:hAnsi="Arial"/>
          <w:sz w:val="16"/>
          <w:szCs w:val="16"/>
          <w:color w:val="auto"/>
        </w:rPr>
        <w:t>examination by any taxing authority) pending or, to the knowledge of the Company Entities, threatened, against any of the Company Entities, or to which any of the Company Entities is a party, or to which any of their respective properties is subject, that are required to be described in the Company SEC Documents but are not described as required, and there are no Contracts that are required to be described in the Company SEC Documents or to be filed as an exhibit to the Company SEC Documents that are not described or filed as required by the Securities Act or the Exchange Act.</w:t>
      </w:r>
    </w:p>
    <w:p>
      <w:pPr>
        <w:spacing w:after="0" w:line="15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 xml:space="preserve">Section 3.23 </w:t>
      </w:r>
      <w:r>
        <w:rPr>
          <w:rFonts w:ascii="Arial" w:cs="Arial" w:eastAsia="Arial" w:hAnsi="Arial"/>
          <w:sz w:val="17"/>
          <w:szCs w:val="17"/>
          <w:b w:val="1"/>
          <w:bCs w:val="1"/>
          <w:u w:val="single" w:color="auto"/>
          <w:color w:val="auto"/>
        </w:rPr>
        <w:t>Environmental Compliance</w:t>
      </w:r>
      <w:r>
        <w:rPr>
          <w:rFonts w:ascii="Arial" w:cs="Arial" w:eastAsia="Arial" w:hAnsi="Arial"/>
          <w:sz w:val="17"/>
          <w:szCs w:val="17"/>
          <w:color w:val="auto"/>
        </w:rPr>
        <w:t>. Except as disclosed in the Company’s SEC Documents (excluding any disclosures set forth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risk factors or “forward-looking statements” sections of such reports or similar statements that are similarly non-specific and are predictive or forward-looking in nature), each Company Entity conducts in the ordinary course of business a review of the effect of existing Environmental Laws and claims alleging potential liability or responsibility for violation of any Environmental Law on their respective businesses, operations and properties. No Environmental Laws or claims could, individually or in the aggregate, reasonably be expected to have a Material Adverse Effect.</w:t>
      </w:r>
    </w:p>
    <w:p>
      <w:pPr>
        <w:spacing w:after="0" w:line="168"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Section 3.24 </w:t>
      </w:r>
      <w:r>
        <w:rPr>
          <w:rFonts w:ascii="Arial" w:cs="Arial" w:eastAsia="Arial" w:hAnsi="Arial"/>
          <w:sz w:val="17"/>
          <w:szCs w:val="17"/>
          <w:b w:val="1"/>
          <w:bCs w:val="1"/>
          <w:u w:val="single" w:color="auto"/>
          <w:color w:val="auto"/>
        </w:rPr>
        <w:t>Title to Property</w:t>
      </w:r>
      <w:r>
        <w:rPr>
          <w:rFonts w:ascii="Arial" w:cs="Arial" w:eastAsia="Arial" w:hAnsi="Arial"/>
          <w:sz w:val="17"/>
          <w:szCs w:val="17"/>
          <w:color w:val="auto"/>
        </w:rPr>
        <w:t>. The Company Entities have good and marketable title to, or valid, subsisting and enforceable leasehold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in all property material to its business or otherwise described in the Company SEC Documents as being owned or leased by any of them, free and clear of all Liens, except for (a) Liens that do not materially affect the value of such property and do not materially interfere with the use made or proposed to be made of such property by the Company Entities and (b) Liens as are described in the Company SEC Documents.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58" w:name="page59"/>
    <w:bookmarkEnd w:id="58"/>
    <w:p>
      <w:pPr>
        <w:ind w:left="444"/>
        <w:spacing w:after="0"/>
        <w:tabs>
          <w:tab w:leader="none" w:pos="1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3.25</w:t>
      </w:r>
      <w:r>
        <w:rPr>
          <w:sz w:val="20"/>
          <w:szCs w:val="20"/>
          <w:color w:val="auto"/>
        </w:rPr>
        <w:tab/>
      </w:r>
      <w:r>
        <w:rPr>
          <w:rFonts w:ascii="Arial" w:cs="Arial" w:eastAsia="Arial" w:hAnsi="Arial"/>
          <w:sz w:val="16"/>
          <w:szCs w:val="16"/>
          <w:b w:val="1"/>
          <w:bCs w:val="1"/>
          <w:u w:val="single" w:color="auto"/>
          <w:color w:val="auto"/>
        </w:rPr>
        <w:t>Anti-Corruption Laws and Sanctions</w:t>
      </w:r>
      <w:r>
        <w:rPr>
          <w:rFonts w:ascii="Arial" w:cs="Arial" w:eastAsia="Arial" w:hAnsi="Arial"/>
          <w:sz w:val="16"/>
          <w:szCs w:val="16"/>
          <w:color w:val="auto"/>
        </w:rPr>
        <w:t>.</w:t>
      </w:r>
    </w:p>
    <w:p>
      <w:pPr>
        <w:spacing w:after="0" w:line="121" w:lineRule="exact"/>
        <w:rPr>
          <w:sz w:val="20"/>
          <w:szCs w:val="20"/>
          <w:color w:val="auto"/>
        </w:rPr>
      </w:pPr>
    </w:p>
    <w:p>
      <w:pPr>
        <w:jc w:val="both"/>
        <w:ind w:left="4" w:firstLine="436"/>
        <w:spacing w:after="0" w:line="296" w:lineRule="auto"/>
        <w:tabs>
          <w:tab w:leader="none" w:pos="824"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None of the Company, any of its Subsidiaries or any director, officer, agent, employee, affiliate or other person associated with or acting on behalf of the Company or its Subsidiaries has (i) made, offered, promised, authorized, or taken any action in furtherance of any unlawful contribution, gift, entertainment or other unlawful expense or thing of value; (ii) made, offered, promised, authorized, or taken any action in furtherance of any direct or indirect unlawful payment; or (iii) violated or is in violation of any provision of any applicable Anti-Corruption Laws to improperly influence official action by any person for the benefit of the Company or its subsidiaries or affiliates or to otherwise secure any improper advantage.</w:t>
      </w:r>
    </w:p>
    <w:p>
      <w:pPr>
        <w:spacing w:after="0" w:line="161" w:lineRule="exact"/>
        <w:rPr>
          <w:rFonts w:ascii="Arial" w:cs="Arial" w:eastAsia="Arial" w:hAnsi="Arial"/>
          <w:sz w:val="16"/>
          <w:szCs w:val="16"/>
          <w:color w:val="auto"/>
        </w:rPr>
      </w:pPr>
    </w:p>
    <w:p>
      <w:pPr>
        <w:ind w:left="4" w:right="40" w:firstLine="436"/>
        <w:spacing w:after="0" w:line="257" w:lineRule="auto"/>
        <w:tabs>
          <w:tab w:leader="none" w:pos="834"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director, officer, agent, employee or affiliate of the Company or any of its Subsidiaries is, or is owned or controlled by one or more Persons that are, currently the subject or the target of any Sanctions, nor is the Company or any of its Subsidiaries located, organized or resident in a Sanctioned Country. The Company has not directly or indirectly funded or facilitated any activities of or business with any person, or in any country or territory, that, at the time of such funding, was the subject or the target of Sanctions or in any other manner that would result in a violation by any person of Sanctions.</w:t>
      </w:r>
    </w:p>
    <w:p>
      <w:pPr>
        <w:spacing w:after="0" w:line="187" w:lineRule="exact"/>
        <w:rPr>
          <w:rFonts w:ascii="Arial" w:cs="Arial" w:eastAsia="Arial" w:hAnsi="Arial"/>
          <w:sz w:val="18"/>
          <w:szCs w:val="18"/>
          <w:color w:val="auto"/>
        </w:rPr>
      </w:pPr>
    </w:p>
    <w:p>
      <w:pPr>
        <w:jc w:val="both"/>
        <w:ind w:left="4" w:right="220" w:firstLine="436"/>
        <w:spacing w:after="0" w:line="287" w:lineRule="auto"/>
        <w:tabs>
          <w:tab w:leader="none" w:pos="821"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from the transactions contemplated hereby or lend, contribute, or otherwise make available such proceeds to any Person (i) fund any activities or business of or with any Person or in any country or territory, that, at the time of such funding, is, or whose government is, the subject of Sanctions; (ii) to fund or facilitate any money laundering or terrorist financing activities; or</w:t>
      </w:r>
    </w:p>
    <w:p>
      <w:pPr>
        <w:spacing w:after="0" w:line="2" w:lineRule="exact"/>
        <w:rPr>
          <w:rFonts w:ascii="Arial" w:cs="Arial" w:eastAsia="Arial" w:hAnsi="Arial"/>
          <w:sz w:val="16"/>
          <w:szCs w:val="16"/>
          <w:color w:val="auto"/>
        </w:rPr>
      </w:pPr>
    </w:p>
    <w:p>
      <w:pPr>
        <w:ind w:left="4" w:right="160" w:hanging="4"/>
        <w:spacing w:after="0" w:line="260" w:lineRule="auto"/>
        <w:tabs>
          <w:tab w:leader="none" w:pos="3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any other manner that would cause or result in a violation of any Anti-Corruption Laws or Sanctions by any Person (including any Party to this Agreement).</w:t>
      </w:r>
    </w:p>
    <w:p>
      <w:pPr>
        <w:spacing w:after="0" w:line="185" w:lineRule="exact"/>
        <w:rPr>
          <w:rFonts w:ascii="Arial" w:cs="Arial" w:eastAsia="Arial" w:hAnsi="Arial"/>
          <w:sz w:val="18"/>
          <w:szCs w:val="18"/>
          <w:color w:val="auto"/>
        </w:rPr>
      </w:pPr>
    </w:p>
    <w:p>
      <w:pPr>
        <w:ind w:left="4" w:right="40" w:firstLine="436"/>
        <w:spacing w:after="0" w:line="279" w:lineRule="auto"/>
        <w:tabs>
          <w:tab w:leader="none" w:pos="831"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Company and its Subsidiaries have instituted and maintained and continue to maintain policies and procedures designed to ensure, and which are reasonably expected to continue to ensure, compliance with all Anti-Corruption Laws and Sanctions. No investigation, inquiry, action, suit or proceeding by or before any court or governmental agency, authority or body or any arbitrator involving the Company or any of its Subsidiaries with respect to Anti-Corruption Laws or Sanctions is pending or, to the knowledge of the Company, threatened.</w:t>
      </w:r>
    </w:p>
    <w:p>
      <w:pPr>
        <w:spacing w:after="0" w:line="167"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Section 3.26 </w:t>
      </w:r>
      <w:r>
        <w:rPr>
          <w:rFonts w:ascii="Arial" w:cs="Arial" w:eastAsia="Arial" w:hAnsi="Arial"/>
          <w:sz w:val="18"/>
          <w:szCs w:val="18"/>
          <w:b w:val="1"/>
          <w:bCs w:val="1"/>
          <w:u w:val="single" w:color="auto"/>
          <w:color w:val="auto"/>
        </w:rPr>
        <w:t>No Directed Selling Efforts or General Solicitation</w:t>
      </w:r>
      <w:r>
        <w:rPr>
          <w:rFonts w:ascii="Arial" w:cs="Arial" w:eastAsia="Arial" w:hAnsi="Arial"/>
          <w:sz w:val="18"/>
          <w:szCs w:val="18"/>
          <w:color w:val="auto"/>
        </w:rPr>
        <w:t>. Neither the Company nor any Person acting on its behalf has conducted any</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solicitation or general advertising (as those terms are used in Regulation D of the Securities Act) in connection with the offer or sale of any of the Purchased Securities.</w:t>
      </w:r>
    </w:p>
    <w:p>
      <w:pPr>
        <w:spacing w:after="0" w:line="176" w:lineRule="exact"/>
        <w:rPr>
          <w:sz w:val="20"/>
          <w:szCs w:val="20"/>
          <w:color w:val="auto"/>
        </w:rPr>
      </w:pPr>
    </w:p>
    <w:p>
      <w:pPr>
        <w:jc w:val="both"/>
        <w:ind w:left="4" w:firstLine="440"/>
        <w:spacing w:after="0" w:line="261" w:lineRule="auto"/>
        <w:rPr>
          <w:sz w:val="20"/>
          <w:szCs w:val="20"/>
          <w:color w:val="auto"/>
        </w:rPr>
      </w:pPr>
      <w:r>
        <w:rPr>
          <w:rFonts w:ascii="Arial" w:cs="Arial" w:eastAsia="Arial" w:hAnsi="Arial"/>
          <w:sz w:val="18"/>
          <w:szCs w:val="18"/>
          <w:b w:val="1"/>
          <w:bCs w:val="1"/>
          <w:color w:val="auto"/>
        </w:rPr>
        <w:t xml:space="preserve">Section 3.27 </w:t>
      </w:r>
      <w:r>
        <w:rPr>
          <w:rFonts w:ascii="Arial" w:cs="Arial" w:eastAsia="Arial" w:hAnsi="Arial"/>
          <w:sz w:val="18"/>
          <w:szCs w:val="18"/>
          <w:b w:val="1"/>
          <w:bCs w:val="1"/>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Purchased Securities under the Securities Act.</w:t>
      </w:r>
    </w:p>
    <w:p>
      <w:pPr>
        <w:spacing w:after="0" w:line="180" w:lineRule="exact"/>
        <w:rPr>
          <w:sz w:val="20"/>
          <w:szCs w:val="20"/>
          <w:color w:val="auto"/>
        </w:rPr>
      </w:pPr>
    </w:p>
    <w:p>
      <w:pPr>
        <w:ind w:left="4" w:right="100" w:firstLine="440"/>
        <w:spacing w:after="0" w:line="298" w:lineRule="auto"/>
        <w:rPr>
          <w:sz w:val="20"/>
          <w:szCs w:val="20"/>
          <w:color w:val="auto"/>
        </w:rPr>
      </w:pPr>
      <w:r>
        <w:rPr>
          <w:rFonts w:ascii="Arial" w:cs="Arial" w:eastAsia="Arial" w:hAnsi="Arial"/>
          <w:sz w:val="16"/>
          <w:szCs w:val="16"/>
          <w:b w:val="1"/>
          <w:bCs w:val="1"/>
          <w:color w:val="auto"/>
        </w:rPr>
        <w:t xml:space="preserve">Section 3.28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Except as disclosed in the Company’s SEC Documents, the Company and its Subsidiaries own, possess or</w:t>
      </w:r>
      <w:r>
        <w:rPr>
          <w:rFonts w:ascii="Arial" w:cs="Arial" w:eastAsia="Arial" w:hAnsi="Arial"/>
          <w:sz w:val="16"/>
          <w:szCs w:val="16"/>
          <w:b w:val="1"/>
          <w:bCs w:val="1"/>
          <w:color w:val="auto"/>
        </w:rPr>
        <w:t xml:space="preserve"> </w:t>
      </w:r>
      <w:r>
        <w:rPr>
          <w:rFonts w:ascii="Arial" w:cs="Arial" w:eastAsia="Arial" w:hAnsi="Arial"/>
          <w:sz w:val="16"/>
          <w:szCs w:val="16"/>
          <w:color w:val="auto"/>
        </w:rPr>
        <w:t>can acquire on commercially reasonable terms, adequate trademarks, trade names and other rights to inventions, know-how, patents, copyrights, confidential information and other intellectual property necessary to conduct the business now operated by them, or presently employed by them, and have not received any notice of infringement of or conflict with asserted rights of others with respect to any intellectual property rights that, if determined adversely to the Company Entities could reasonably be expected to, individually or in the aggregate, have a Material Adverse Effect.</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0" w:right="499" w:bottom="1440" w:gutter="0" w:footer="0" w:header="0"/>
        </w:sectPr>
      </w:pPr>
    </w:p>
    <w:bookmarkStart w:id="59" w:name="page60"/>
    <w:bookmarkEnd w:id="59"/>
    <w:p>
      <w:pPr>
        <w:ind w:left="4" w:right="30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3.29 </w:t>
      </w:r>
      <w:r>
        <w:rPr>
          <w:rFonts w:ascii="Arial" w:cs="Arial" w:eastAsia="Arial" w:hAnsi="Arial"/>
          <w:sz w:val="16"/>
          <w:szCs w:val="16"/>
          <w:b w:val="1"/>
          <w:bCs w:val="1"/>
          <w:u w:val="single" w:color="auto"/>
          <w:color w:val="auto"/>
        </w:rPr>
        <w:t>Occupational Safety</w:t>
      </w:r>
      <w:r>
        <w:rPr>
          <w:rFonts w:ascii="Arial" w:cs="Arial" w:eastAsia="Arial" w:hAnsi="Arial"/>
          <w:sz w:val="16"/>
          <w:szCs w:val="16"/>
          <w:color w:val="auto"/>
        </w:rPr>
        <w:t>. Except as disclosed in the Company’s SEC Documents, the Company and each of its Subsidiaries are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in all material respects with all applicable provisions of the Occupational Safety and Health Act of 1970, as amended, including all applicable regulations thereunder, except for such noncompliance as would not, individually or in the aggregate, have a Material Adverse Effect.</w:t>
      </w:r>
    </w:p>
    <w:p>
      <w:pPr>
        <w:spacing w:after="0" w:line="142" w:lineRule="exact"/>
        <w:rPr>
          <w:sz w:val="20"/>
          <w:szCs w:val="20"/>
          <w:color w:val="auto"/>
        </w:rPr>
      </w:pPr>
    </w:p>
    <w:p>
      <w:pPr>
        <w:ind w:left="4" w:right="60" w:firstLine="440"/>
        <w:spacing w:after="0" w:line="283" w:lineRule="auto"/>
        <w:rPr>
          <w:sz w:val="20"/>
          <w:szCs w:val="20"/>
          <w:color w:val="auto"/>
        </w:rPr>
      </w:pPr>
      <w:r>
        <w:rPr>
          <w:rFonts w:ascii="Arial" w:cs="Arial" w:eastAsia="Arial" w:hAnsi="Arial"/>
          <w:sz w:val="16"/>
          <w:szCs w:val="16"/>
          <w:b w:val="1"/>
          <w:bCs w:val="1"/>
          <w:color w:val="auto"/>
        </w:rPr>
        <w:t xml:space="preserve">Section 3.30 </w:t>
      </w:r>
      <w:r>
        <w:rPr>
          <w:rFonts w:ascii="Arial" w:cs="Arial" w:eastAsia="Arial" w:hAnsi="Arial"/>
          <w:sz w:val="16"/>
          <w:szCs w:val="16"/>
          <w:b w:val="1"/>
          <w:bCs w:val="1"/>
          <w:u w:val="single" w:color="auto"/>
          <w:color w:val="auto"/>
        </w:rPr>
        <w:t>Information Technology</w:t>
      </w:r>
      <w:r>
        <w:rPr>
          <w:rFonts w:ascii="Arial" w:cs="Arial" w:eastAsia="Arial" w:hAnsi="Arial"/>
          <w:sz w:val="16"/>
          <w:szCs w:val="16"/>
          <w:color w:val="auto"/>
        </w:rPr>
        <w:t>. Except as disclosed in the Company’s SEC Documents, the Company and its Subsidiaries’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adequate for, and operate and perform as required in connection with the operation of the business of the Company and its Subsidiaries as currently conducted, free and clear of all bugs, errors, defects, Trojan horses, time bombs, malware and other corruptants, except in each case as would not, individually or in the aggregate, be reasonably expected to result in a Material Adverse Effect. The Company and its Subsidiaries (i) (x)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6"/>
          <w:szCs w:val="16"/>
          <w:u w:val="single" w:color="auto"/>
          <w:color w:val="auto"/>
        </w:rPr>
        <w:t>Personal Data</w:t>
      </w:r>
      <w:r>
        <w:rPr>
          <w:rFonts w:ascii="Arial" w:cs="Arial" w:eastAsia="Arial" w:hAnsi="Arial"/>
          <w:sz w:val="16"/>
          <w:szCs w:val="16"/>
          <w:color w:val="auto"/>
        </w:rPr>
        <w:t>”)) used in connection with their businesses, and (y) there have been no material breaches, violations, outages or unauthorized uses of or accesses to same, nor any incidents under internal review or investigations relating to the same; (ii)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w:t>
      </w:r>
    </w:p>
    <w:p>
      <w:pPr>
        <w:spacing w:after="0" w:line="7" w:lineRule="exact"/>
        <w:rPr>
          <w:sz w:val="20"/>
          <w:szCs w:val="20"/>
          <w:color w:val="auto"/>
        </w:rPr>
      </w:pPr>
    </w:p>
    <w:p>
      <w:pPr>
        <w:ind w:left="4" w:right="220" w:hanging="4"/>
        <w:spacing w:after="0" w:line="255" w:lineRule="auto"/>
        <w:tabs>
          <w:tab w:leader="none" w:pos="3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have taken all material, necessary actions to prepare to comply with the European Union General Data Protection Regulation (and all other applicable laws and regulations with respect to Personal Data that have been announced as of the date hereof as becoming effective within 12 months after the date hereof) as soon they take effect.</w:t>
      </w:r>
    </w:p>
    <w:p>
      <w:pPr>
        <w:spacing w:after="0" w:line="186"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Section 3.31 </w:t>
      </w:r>
      <w:r>
        <w:rPr>
          <w:rFonts w:ascii="Arial" w:cs="Arial" w:eastAsia="Arial" w:hAnsi="Arial"/>
          <w:sz w:val="18"/>
          <w:szCs w:val="18"/>
          <w:b w:val="1"/>
          <w:bCs w:val="1"/>
          <w:u w:val="single" w:color="auto"/>
          <w:color w:val="auto"/>
        </w:rPr>
        <w:t>Restricted Payments</w:t>
      </w:r>
      <w:r>
        <w:rPr>
          <w:rFonts w:ascii="Arial" w:cs="Arial" w:eastAsia="Arial" w:hAnsi="Arial"/>
          <w:sz w:val="18"/>
          <w:szCs w:val="18"/>
          <w:color w:val="auto"/>
        </w:rPr>
        <w:t>. (a) Except for the Amended and Restated Credit Agreement and the New Credit Facility, true, correct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copies of which have been provided to the Purchaser prior to the date hereof, there are no agreements to which the Company or any of its Subsidiaries is subject, prohibiting the Company or any of its Subsidiaries from making distributions on the Series D Preferred Stock or Warrants or repurchasing, redeeming or repaying the Series D Preferred Stock or exercising the Warrants, and (b) the Company is not aware of any laws and regulations of the State of Delaware or any political subdivisions thereof, prohibiting it directly or indirectly, from paying any dividends or from making any other distribution on its capital stock or repurchasing, redeeming or repaying its capital stock, except as described in or contemplated by SEC Documents.</w:t>
      </w:r>
    </w:p>
    <w:p>
      <w:pPr>
        <w:spacing w:after="0" w:line="200" w:lineRule="exact"/>
        <w:rPr>
          <w:sz w:val="20"/>
          <w:szCs w:val="20"/>
          <w:color w:val="auto"/>
        </w:rPr>
      </w:pPr>
    </w:p>
    <w:p>
      <w:pPr>
        <w:spacing w:after="0" w:line="20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Purchaser represents and warrants to the Company as of the date hereof and the Closing Date as follows:</w:t>
      </w:r>
    </w:p>
    <w:p>
      <w:pPr>
        <w:spacing w:after="0" w:line="221" w:lineRule="exact"/>
        <w:rPr>
          <w:sz w:val="20"/>
          <w:szCs w:val="20"/>
          <w:color w:val="auto"/>
        </w:rPr>
      </w:pPr>
    </w:p>
    <w:p>
      <w:pPr>
        <w:ind w:left="4" w:right="160" w:firstLine="440"/>
        <w:spacing w:after="0" w:line="347" w:lineRule="auto"/>
        <w:rPr>
          <w:sz w:val="20"/>
          <w:szCs w:val="20"/>
          <w:color w:val="auto"/>
        </w:rPr>
      </w:pPr>
      <w:r>
        <w:rPr>
          <w:rFonts w:ascii="Arial" w:cs="Arial" w:eastAsia="Arial" w:hAnsi="Arial"/>
          <w:sz w:val="16"/>
          <w:szCs w:val="16"/>
          <w:b w:val="1"/>
          <w:bCs w:val="1"/>
          <w:color w:val="auto"/>
        </w:rPr>
        <w:t xml:space="preserve">Section 4.01 </w:t>
      </w:r>
      <w:r>
        <w:rPr>
          <w:rFonts w:ascii="Arial" w:cs="Arial" w:eastAsia="Arial" w:hAnsi="Arial"/>
          <w:sz w:val="16"/>
          <w:szCs w:val="16"/>
          <w:b w:val="1"/>
          <w:bCs w:val="1"/>
          <w:u w:val="single" w:color="auto"/>
          <w:color w:val="auto"/>
        </w:rPr>
        <w:t>Existence</w:t>
      </w:r>
      <w:r>
        <w:rPr>
          <w:rFonts w:ascii="Arial" w:cs="Arial" w:eastAsia="Arial" w:hAnsi="Arial"/>
          <w:sz w:val="16"/>
          <w:szCs w:val="16"/>
          <w:color w:val="auto"/>
        </w:rPr>
        <w:t>. The Purchaser is duly organized and validly existing and in good standing under the Laws of its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or formation, with all necessary power and authority to own and operate its properties and to conduct its business as currently conducted.</w:t>
      </w:r>
    </w:p>
    <w:p>
      <w:pPr>
        <w:spacing w:after="0" w:line="5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60" w:name="page61"/>
    <w:bookmarkEnd w:id="60"/>
    <w:p>
      <w:pPr>
        <w:ind w:right="6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Arial" w:cs="Arial" w:eastAsia="Arial" w:hAnsi="Arial"/>
          <w:sz w:val="17"/>
          <w:szCs w:val="17"/>
          <w:b w:val="1"/>
          <w:bCs w:val="1"/>
          <w:u w:val="single" w:color="auto"/>
          <w:color w:val="auto"/>
        </w:rPr>
        <w:t>Authorization, Enforceability</w:t>
      </w:r>
      <w:r>
        <w:rPr>
          <w:rFonts w:ascii="Arial" w:cs="Arial" w:eastAsia="Arial" w:hAnsi="Arial"/>
          <w:sz w:val="17"/>
          <w:szCs w:val="17"/>
          <w:color w:val="auto"/>
        </w:rPr>
        <w:t>. The Purchaser has all necessary corporate, limited liability company, trust or partnership power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authority to execute, deliver and perform its obligations under the Transaction Documents to which it is a party. The execution, delivery and performance of such Transaction Documents by the Purchaser and the consummation by it of the transactions contemplated thereby have been duly and validly authorized by all necessary legal action, and no further consent or authorization of the Purchaser or any other Person is required. Each of the Transaction Documents to which the Purchaser is a party has been duly executed and delivered by the Purchaser, where applicable, and constitutes a legal, valid and binding obligation of the Purchaser;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such agreement, the enforceability thereof may be limited by applicable bankruptcy, insolvency, fraudulent transfer, reorganization, moratorium or similar Laws from time to time in effect affecting the enforcement of creditors’ rights and remedies generally and by general principles of equity (regardless of whether such principles are considered in a proceeding in equity or at law).</w:t>
      </w:r>
    </w:p>
    <w:p>
      <w:pPr>
        <w:spacing w:after="0" w:line="17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Section 4.03 </w:t>
      </w:r>
      <w:r>
        <w:rPr>
          <w:rFonts w:ascii="Arial" w:cs="Arial" w:eastAsia="Arial" w:hAnsi="Arial"/>
          <w:sz w:val="17"/>
          <w:szCs w:val="17"/>
          <w:b w:val="1"/>
          <w:bCs w:val="1"/>
          <w:u w:val="single" w:color="auto"/>
          <w:color w:val="auto"/>
        </w:rPr>
        <w:t>No Breach</w:t>
      </w:r>
      <w:r>
        <w:rPr>
          <w:rFonts w:ascii="Arial" w:cs="Arial" w:eastAsia="Arial" w:hAnsi="Arial"/>
          <w:sz w:val="17"/>
          <w:szCs w:val="17"/>
          <w:color w:val="auto"/>
        </w:rPr>
        <w:t>. The execution, delivery and performance of the Transaction Documents to which the Purchaser is a party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Purchaser and the consummation by the Purchaser of the transactions contemplated thereby will not (a) conflict with or result in a breach or violation of any of the terms or provisions of, or constitute a default under, any material agreement to which the Purchaser is a party or by which the Purchaser is bound or to which any of the property or assets of the Purchaser is subject, (b) conflict with or result in any violation of the provisions of the Organizational Documents of the Purchaser, or (c) violate any Law of any Governmental Authority or body having jurisdiction over the Purchaser or the property or assets of the Purchaser, except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for such conflicts, breaches, violations or defaults as would not prevent the consummation of the transactions contemplated by such Transaction Documents.</w:t>
      </w:r>
    </w:p>
    <w:p>
      <w:pPr>
        <w:spacing w:after="0" w:line="17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b w:val="1"/>
          <w:bCs w:val="1"/>
          <w:u w:val="single" w:color="auto"/>
          <w:color w:val="auto"/>
        </w:rPr>
        <w:t>Certain Fees</w:t>
      </w:r>
      <w:r>
        <w:rPr>
          <w:rFonts w:ascii="Arial" w:cs="Arial" w:eastAsia="Arial" w:hAnsi="Arial"/>
          <w:sz w:val="18"/>
          <w:szCs w:val="18"/>
          <w:color w:val="auto"/>
        </w:rPr>
        <w:t>. No fees or commissions are or will be payable by the Purchaser to brokers, finders or investment bankers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purchase of any of the Purchased Securities or the consummation of the transactions contemplated by this Agreement, except for fees or commissions for which the Company is not responsible.</w:t>
      </w:r>
    </w:p>
    <w:p>
      <w:pPr>
        <w:spacing w:after="0" w:line="28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4.05</w:t>
      </w:r>
      <w:r>
        <w:rPr>
          <w:sz w:val="20"/>
          <w:szCs w:val="20"/>
          <w:color w:val="auto"/>
        </w:rPr>
        <w:tab/>
      </w:r>
      <w:r>
        <w:rPr>
          <w:rFonts w:ascii="Arial" w:cs="Arial" w:eastAsia="Arial" w:hAnsi="Arial"/>
          <w:sz w:val="15"/>
          <w:szCs w:val="15"/>
          <w:b w:val="1"/>
          <w:bCs w:val="1"/>
          <w:u w:val="single" w:color="auto"/>
          <w:color w:val="auto"/>
        </w:rPr>
        <w:t>Unregistered Securities</w:t>
      </w:r>
      <w:r>
        <w:rPr>
          <w:rFonts w:ascii="Arial" w:cs="Arial" w:eastAsia="Arial" w:hAnsi="Arial"/>
          <w:sz w:val="15"/>
          <w:szCs w:val="15"/>
          <w:color w:val="auto"/>
        </w:rPr>
        <w:t>.</w:t>
      </w:r>
    </w:p>
    <w:p>
      <w:pPr>
        <w:spacing w:after="0" w:line="121" w:lineRule="exact"/>
        <w:rPr>
          <w:sz w:val="20"/>
          <w:szCs w:val="20"/>
          <w:color w:val="auto"/>
        </w:rPr>
      </w:pPr>
    </w:p>
    <w:p>
      <w:pPr>
        <w:ind w:left="820" w:hanging="384"/>
        <w:spacing w:after="0"/>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Accredited Purchaser Status; Sophisticated Purchaser</w:t>
      </w:r>
      <w:r>
        <w:rPr>
          <w:rFonts w:ascii="Arial" w:cs="Arial" w:eastAsia="Arial" w:hAnsi="Arial"/>
          <w:sz w:val="16"/>
          <w:szCs w:val="16"/>
          <w:color w:val="auto"/>
        </w:rPr>
        <w:t>. The Purchaser is (a) an “accredited investor” within the meaning of Rule 501(a) (1),</w:t>
      </w:r>
    </w:p>
    <w:p>
      <w:pPr>
        <w:spacing w:after="0" w:line="46"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(2), (3) or (7) under the Securities Act, as amended, and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the Purchaser’s participation in the transactions contemplated hereby. The Purchaser has determined based on its own independent review and such professional advice as it deems appropriate that its purchase of the Purchased Securities and participation in the transactions contemplated hereby (i) are consistent with its financial needs, objectives and condition, (ii) comply and are consistent with all investment policies, guidelines and other restrictions applicable to the Purchaser, (iii) have been duly authorized and approved by all necessary action, and (iv) are a fit, proper and suitable investment for the Purchaser, notwithstanding the substantial risks inherent in investing in or holding the Purchased Securities. The Purchaser is able to bear the substantial risks associated with its purchase of the Purchased Securities, including but not limited to loss of its entire investment therein.</w:t>
      </w:r>
    </w:p>
    <w:p>
      <w:pPr>
        <w:spacing w:after="0" w:line="181" w:lineRule="exact"/>
        <w:rPr>
          <w:rFonts w:ascii="Arial" w:cs="Arial" w:eastAsia="Arial" w:hAnsi="Arial"/>
          <w:sz w:val="16"/>
          <w:szCs w:val="16"/>
          <w:color w:val="auto"/>
        </w:rPr>
      </w:pPr>
    </w:p>
    <w:p>
      <w:pPr>
        <w:ind w:firstLine="436"/>
        <w:spacing w:after="0" w:line="263" w:lineRule="auto"/>
        <w:tabs>
          <w:tab w:leader="none" w:pos="83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Purchaser and its Representatives have (i) had the opportunity to ask questions of and receive answers from the Company directly and review the Company’s public filings with the Commission and (ii) conducted and completed its own independent due diligence with respect to the transactions contemplated hereby. Based on such information as the Purchaser has deemed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61" w:name="page62"/>
    <w:bookmarkEnd w:id="6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and without reliance upon the Agent or any of its Affiliates, the Purchaser has independently made its own judgment concerning the Company and its businesses, operations and prospects and analysis and decision to enter into this Agreement and the transactions contemplated hereby. Except for the representations, warranties and agreements of the Company expressly set forth in this Agreement and the other Transaction Documents, the Purchaser is relying exclusively on its own sources of information, investment analysis and due diligence (including professional advice it deems appropriate) with respect to the transactions contemplated hereby, the Purchased Securities and the business, condition (financial and otherwise), management, operations and properties of the Company, including but not limited to all business, legal, regulatory, accounting, credit and tax matters. Neither any inquiries nor any other due diligence investigations conducted at any time by the Purchaser and its Representatives, nor any provisions of this Section 4.05, shall modify, amend or affect the Purchaser’s right (i) to rely on the Company’s representations and warranties contained herein or in any other Transaction Document or (ii) to indemnification or any other remedy based on, or with respect to the accuracy or inaccuracy of, or compliance with, the representations, warranties, covenants and agreements in any Transaction Document. The Purchaser understands that its purchase of the Purchased Securities involves a high degree of risk.</w:t>
      </w:r>
    </w:p>
    <w:p>
      <w:pPr>
        <w:spacing w:after="0" w:line="182" w:lineRule="exact"/>
        <w:rPr>
          <w:sz w:val="20"/>
          <w:szCs w:val="20"/>
          <w:color w:val="auto"/>
        </w:rPr>
      </w:pPr>
    </w:p>
    <w:p>
      <w:pPr>
        <w:ind w:firstLine="436"/>
        <w:spacing w:after="0" w:line="269" w:lineRule="auto"/>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Purchaser understands that, until such time as the Purchased Securities or Underlying Shares have been sold pursuant to an effective registration statement under the Securities Act, or the Purchased Securities or Underlying Shares are eligible for resale pursuant to Rule 144 promulgated under the Securities Act without any restriction as to the number of securities as of a particular date that can then be immediately sold, the Purchased Securities or Underlying Shares (as applicable) will bear a restrictive legend substantially as follows: “THE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 Additionally, if required by the authorities of any state in connection with the issuance or sale of the Purchased Securities or Underlying Shares, such Purchased Securities or Underlying Shares (as applicable) shall bear the legend required by such state authority.</w:t>
      </w:r>
    </w:p>
    <w:p>
      <w:pPr>
        <w:spacing w:after="0" w:line="181" w:lineRule="exact"/>
        <w:rPr>
          <w:rFonts w:ascii="Arial" w:cs="Arial" w:eastAsia="Arial" w:hAnsi="Arial"/>
          <w:sz w:val="17"/>
          <w:szCs w:val="17"/>
          <w:color w:val="auto"/>
        </w:rPr>
      </w:pPr>
    </w:p>
    <w:p>
      <w:pPr>
        <w:ind w:firstLine="436"/>
        <w:spacing w:after="0" w:line="270" w:lineRule="auto"/>
        <w:tabs>
          <w:tab w:leader="none" w:pos="83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Acquisition for Investment Purposes</w:t>
      </w:r>
      <w:r>
        <w:rPr>
          <w:rFonts w:ascii="Arial" w:cs="Arial" w:eastAsia="Arial" w:hAnsi="Arial"/>
          <w:sz w:val="17"/>
          <w:szCs w:val="17"/>
          <w:color w:val="auto"/>
        </w:rPr>
        <w:t xml:space="preserve">. The Purchaser is acquiring its entire beneficial ownership interest in the Purchased Securities for its own account for investment purposes only and not with a view to any distribution of the Purchased Securities in any manner that would violate the securities laws of the United States or any other jurisdiction. The Purchaser has been advised and understands that the Purchased Securities have not been registered under the Securities Act, the “blue sky” laws of any jurisdiction or the laws of any other jurisdiction and may be resold only if registered pursuant to the provisions of the Securities Act (or if eligible, pursuant to the provisions of Rule 144 promulgated under the Securities Act or pursuant to another available exemption from the registration requirements of the Securities Act) and in compliance with the restrictions on transfer set forth in the Transaction Documents. The Purchaser has been advised and understands that the Company, in issuing the Purchased Securities, is relying upon, among other things, the representations and warranties of the Purchaser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concluding that such issuance is a “private offering” and is exempt from the registration provisions of the Securities Act.</w:t>
      </w:r>
    </w:p>
    <w:p>
      <w:pPr>
        <w:spacing w:after="0" w:line="180" w:lineRule="exact"/>
        <w:rPr>
          <w:rFonts w:ascii="Arial" w:cs="Arial" w:eastAsia="Arial" w:hAnsi="Arial"/>
          <w:sz w:val="17"/>
          <w:szCs w:val="17"/>
          <w:color w:val="auto"/>
        </w:rPr>
      </w:pPr>
    </w:p>
    <w:p>
      <w:pPr>
        <w:ind w:right="200" w:firstLine="436"/>
        <w:spacing w:after="0" w:line="263"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The Purchaser understands that the Purchased Securities must be held indefinitely unless and until the Purchased Securities are registered under the Securities Act or an exemption from registration is available. The Purchaser has been advised of and is aware of the provisions of Rule 144 promulgated under the Securities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2" w:name="page63"/>
    <w:bookmarkEnd w:id="62"/>
    <w:p>
      <w:pPr>
        <w:ind w:left="4" w:right="20" w:firstLine="436"/>
        <w:spacing w:after="0" w:line="259" w:lineRule="auto"/>
        <w:tabs>
          <w:tab w:leader="none" w:pos="80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Reliance by the Company</w:t>
      </w:r>
      <w:r>
        <w:rPr>
          <w:rFonts w:ascii="Arial" w:cs="Arial" w:eastAsia="Arial" w:hAnsi="Arial"/>
          <w:sz w:val="18"/>
          <w:szCs w:val="18"/>
          <w:color w:val="auto"/>
        </w:rPr>
        <w:t>. The Purchaser understands that the Purchased Securities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Purchaser set forth herein in order to determine the applicability of such exemptions and the suitability of the Purchaser to acquire the Purchased Securities.</w:t>
      </w:r>
    </w:p>
    <w:p>
      <w:pPr>
        <w:spacing w:after="0" w:line="183"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Sufficient Funds</w:t>
      </w:r>
      <w:r>
        <w:rPr>
          <w:rFonts w:ascii="Arial" w:cs="Arial" w:eastAsia="Arial" w:hAnsi="Arial"/>
          <w:sz w:val="18"/>
          <w:szCs w:val="18"/>
          <w:color w:val="auto"/>
        </w:rPr>
        <w:t>. The Purchaser will have available to it at the Closing sufficient funds to enable the Purchaser to pay in full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the entire amount of the Purchase Price in immediately available cash funds.</w:t>
      </w:r>
    </w:p>
    <w:p>
      <w:pPr>
        <w:spacing w:after="0" w:line="270"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u w:val="single" w:color="auto"/>
          <w:color w:val="auto"/>
        </w:rPr>
        <w:t>Ownership; No Prohibited Trading</w:t>
      </w:r>
      <w:r>
        <w:rPr>
          <w:rFonts w:ascii="Arial" w:cs="Arial" w:eastAsia="Arial" w:hAnsi="Arial"/>
          <w:sz w:val="16"/>
          <w:szCs w:val="16"/>
          <w:color w:val="auto"/>
        </w:rPr>
        <w:t>.</w:t>
      </w:r>
    </w:p>
    <w:p>
      <w:pPr>
        <w:spacing w:after="0" w:line="121" w:lineRule="exact"/>
        <w:rPr>
          <w:sz w:val="20"/>
          <w:szCs w:val="20"/>
          <w:color w:val="auto"/>
        </w:rPr>
      </w:pPr>
    </w:p>
    <w:p>
      <w:pPr>
        <w:ind w:left="4" w:right="180" w:firstLine="436"/>
        <w:spacing w:after="0" w:line="263" w:lineRule="auto"/>
        <w:tabs>
          <w:tab w:leader="none" w:pos="8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As of the date of this Agreement, the Purchaser beneficially does not own, directly or indirectly, any shares of Common Stock, inclusive of all shares of Common Stock in which the Purchaser or its Affiliate, has any interest or right to acquire, whether through derivative securities, voting agreements or otherwise (whether or not such Common Stock can be acquired within sixty (60) days).</w:t>
      </w:r>
    </w:p>
    <w:p>
      <w:pPr>
        <w:spacing w:after="0" w:line="183" w:lineRule="exact"/>
        <w:rPr>
          <w:rFonts w:ascii="Arial" w:cs="Arial" w:eastAsia="Arial" w:hAnsi="Arial"/>
          <w:sz w:val="18"/>
          <w:szCs w:val="18"/>
          <w:color w:val="auto"/>
        </w:rPr>
      </w:pPr>
    </w:p>
    <w:p>
      <w:pPr>
        <w:ind w:left="4" w:right="80" w:firstLine="436"/>
        <w:spacing w:after="0" w:line="283" w:lineRule="auto"/>
        <w:tabs>
          <w:tab w:leader="none" w:pos="834" w:val="left"/>
        </w:tabs>
        <w:numPr>
          <w:ilvl w:val="1"/>
          <w:numId w:val="57"/>
        </w:numPr>
        <w:rPr>
          <w:rFonts w:ascii="Arial" w:cs="Arial" w:eastAsia="Arial" w:hAnsi="Arial"/>
          <w:sz w:val="16"/>
          <w:szCs w:val="16"/>
          <w:color w:val="auto"/>
        </w:rPr>
      </w:pPr>
      <w:r>
        <w:rPr>
          <w:rFonts w:ascii="Arial" w:cs="Arial" w:eastAsia="Arial" w:hAnsi="Arial"/>
          <w:sz w:val="16"/>
          <w:szCs w:val="16"/>
          <w:color w:val="auto"/>
        </w:rPr>
        <w:t>From such time as the Purchaser was first contacted by the Company or any other Person acting on behalf of the Company regarding the transactions contemplated hereby until the first public announcement of the execution of this Agreement, the Purchaser and any Affiliate of the Purchaser which (i) had knowledge of the transactions contemplated hereby, (ii) has or shares discretion relating to the Purchaser’s investments or trading or information concerning the Purchaser’s investments, including in respect of the Purchased Securities, or (iii) is subject to the Purchaser’s review or input concerning such Affiliate’s investments or trading (collectively, “</w:t>
      </w:r>
      <w:r>
        <w:rPr>
          <w:rFonts w:ascii="Arial" w:cs="Arial" w:eastAsia="Arial" w:hAnsi="Arial"/>
          <w:sz w:val="16"/>
          <w:szCs w:val="16"/>
          <w:u w:val="single" w:color="auto"/>
          <w:color w:val="auto"/>
        </w:rPr>
        <w:t>Trading Affiliates</w:t>
      </w:r>
      <w:r>
        <w:rPr>
          <w:rFonts w:ascii="Arial" w:cs="Arial" w:eastAsia="Arial" w:hAnsi="Arial"/>
          <w:sz w:val="16"/>
          <w:szCs w:val="16"/>
          <w:color w:val="auto"/>
        </w:rPr>
        <w:t xml:space="preserve">”) has not (x) offered, sold, contracted to sell, sold any option or contract to purchase, purchased any option or contract to sell, granted any option, right or warrant to purchase, lent, or otherwise transferred or disposed of, directly or indirectly, any of the Purchased Securities or (y) directly or indirectly engaged in any Short Sales or other derivative or hedging transactions with respect to Common Stock, including by means of any swap or other transaction or arrangement that transfers or that is designed to, or that might reasonably be expected to, result in the transfer to another, in whole or in part, of any of the economic consequences of ownership of any Purchased Securities, regardless of whether any transaction described in this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is to be settled by delivery of Common Stock or other securities, in cash or otherwise. For the avoidance of doubt, nothing in this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shall preclude any actions described in clauses</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 (y) above following the first public announcement of the execution of this Agreement.</w:t>
      </w:r>
    </w:p>
    <w:p>
      <w:pPr>
        <w:spacing w:after="0" w:line="207"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No General Solicitation</w:t>
      </w:r>
      <w:r>
        <w:rPr>
          <w:rFonts w:ascii="Arial" w:cs="Arial" w:eastAsia="Arial" w:hAnsi="Arial"/>
          <w:sz w:val="18"/>
          <w:szCs w:val="18"/>
          <w:color w:val="auto"/>
        </w:rPr>
        <w:t>. The Purchaser did not learn of the investment in the Purchased Securities as a result of any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solicitation or general advertising.</w:t>
      </w:r>
    </w:p>
    <w:p>
      <w:pPr>
        <w:spacing w:after="0" w:line="162"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b w:val="1"/>
          <w:bCs w:val="1"/>
          <w:color w:val="auto"/>
        </w:rPr>
        <w:t xml:space="preserve">Section 4.09 </w:t>
      </w:r>
      <w:r>
        <w:rPr>
          <w:rFonts w:ascii="Arial" w:cs="Arial" w:eastAsia="Arial" w:hAnsi="Arial"/>
          <w:sz w:val="17"/>
          <w:szCs w:val="17"/>
          <w:b w:val="1"/>
          <w:bCs w:val="1"/>
          <w:u w:val="single" w:color="auto"/>
          <w:color w:val="auto"/>
        </w:rPr>
        <w:t>No Reliance</w:t>
      </w:r>
      <w:r>
        <w:rPr>
          <w:rFonts w:ascii="Arial" w:cs="Arial" w:eastAsia="Arial" w:hAnsi="Arial"/>
          <w:sz w:val="17"/>
          <w:szCs w:val="17"/>
          <w:color w:val="auto"/>
        </w:rPr>
        <w:t>. The Purchaser hereby acknowledges and agrees that (a) the Agent is acting solely as the Company’s placement agent</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transactions contemplated hereby and is not acting as underwriter or in any other capacity and is not and shall not be construed as a fiduciary for the Purchaser, the Company or any other person or entity in connection with the transactions contemplated hereby, (b) the Agent and its Affiliates have not made and will not make any representation or warranty, whether express or implied, of any kind or character and has not provided any advice or recommendation in connection with the transactions contemplated hereby, (c) the Agent and its Affiliates will have no responsibility with respect to (i) any representations, warranties or agreements made by any person or entity under or in connection with the transactions contemplated hereby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Company or the transactions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63" w:name="page64"/>
    <w:bookmarkEnd w:id="63"/>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contemplated hereby, and (d) the Agent and its Affiliates shall have no liability or obligation (including without limitation, for or with respect to any losses, claims, damages, obligations, penalties, judgments, awards, liabilities, costs, expenses or disbursements incurred by the Purchaser, the Company or any other person or entity), whether in contract, tort or otherwise, to the Purchaser, or to any person claiming through the Purchaser, in respect of the transactions contemplated hereby. In connection with the issuance of the Purchased Securities to the Purchaser, neither the Agent nor any of its Affiliates have acted as a financial advisor or fiduciary to the Purchaser.</w:t>
      </w:r>
    </w:p>
    <w:p>
      <w:pPr>
        <w:spacing w:after="0" w:line="184" w:lineRule="exact"/>
        <w:rPr>
          <w:sz w:val="20"/>
          <w:szCs w:val="20"/>
          <w:color w:val="auto"/>
        </w:rPr>
      </w:pPr>
    </w:p>
    <w:p>
      <w:pPr>
        <w:jc w:val="both"/>
        <w:ind w:left="4" w:right="180" w:firstLine="440"/>
        <w:spacing w:after="0" w:line="34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 The Purchaser hereby acknowledges that an Affiliate of the Agent will receive a portion of any proceeds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that are used to effect repay all or a part of the Revolving Credit Loans (as defined below) and the Amended and Restated Credit Agreement.</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Section 5.01 </w:t>
      </w:r>
      <w:r>
        <w:rPr>
          <w:rFonts w:ascii="Arial" w:cs="Arial" w:eastAsia="Arial" w:hAnsi="Arial"/>
          <w:sz w:val="17"/>
          <w:szCs w:val="17"/>
          <w:b w:val="1"/>
          <w:bCs w:val="1"/>
          <w:u w:val="single" w:color="auto"/>
          <w:color w:val="auto"/>
        </w:rPr>
        <w:t>Cooperation; Further Assurances</w:t>
      </w:r>
      <w:r>
        <w:rPr>
          <w:rFonts w:ascii="Arial" w:cs="Arial" w:eastAsia="Arial" w:hAnsi="Arial"/>
          <w:sz w:val="17"/>
          <w:szCs w:val="17"/>
          <w:color w:val="auto"/>
        </w:rPr>
        <w:t>. The Company shall use its reasonable best efforts to obtain all approvals and consents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or necessary to consummate the transactions contemplated by this Agreement and the other Transaction Documents. The Company agrees to execute and deliver all such documents or instruments, to take all commercially reasonable action and to do all other commercially reasonable things it determines to be necessary, proper or advisable under applicable Laws and regulations or as otherwise reasonably requested by the Purchasers to consummate the transactions contemplated by this Agreement. Prior to the Closing, the Company shall use its reasonable best efforts to operate in the ordinary course of business consistent with past practices.</w:t>
      </w:r>
    </w:p>
    <w:p>
      <w:pPr>
        <w:spacing w:after="0" w:line="173"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Section 5.02 </w:t>
      </w:r>
      <w:r>
        <w:rPr>
          <w:rFonts w:ascii="Arial" w:cs="Arial" w:eastAsia="Arial" w:hAnsi="Arial"/>
          <w:sz w:val="17"/>
          <w:szCs w:val="17"/>
          <w:b w:val="1"/>
          <w:bCs w:val="1"/>
          <w:u w:val="single" w:color="auto"/>
          <w:color w:val="auto"/>
        </w:rPr>
        <w:t>Regulatory Approvals</w:t>
      </w:r>
      <w:r>
        <w:rPr>
          <w:rFonts w:ascii="Arial" w:cs="Arial" w:eastAsia="Arial" w:hAnsi="Arial"/>
          <w:sz w:val="17"/>
          <w:szCs w:val="17"/>
          <w:color w:val="auto"/>
        </w:rPr>
        <w:t>. The Company and the Purchaser acknowledge that one or more filings under the HSR Act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antitrust laws may be necessary in connection with the issuance of Common Stock upon conversion of the Warrants. The Purchaser will promptly notify the Company if any such filing is required and, to the extent reasonably requested by the Purchaser, the Company and the Purchaser will use all reasonable efforts to cooperate in timely making or causing to be made all applications and filings under the HSR Act or any other antitrust requirements in connection with the issuance of Common Stock upon conversion of the Warrants held by the Purchaser in a timely manner and as required by the law of the applicable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in this Agreement to the contrary, the Company shall not have any responsibility or liability for failure of the Purchaser or any of its Affiliates to comply with any such applicable law. For as long as there are Warrants outstanding and owned by the Purchaser, the Company shall as promptly as reasonably practicable provide (no more than four (4) times per calendar year) such information regarding the Company and its Subsidiaries as such Person may reasonably request in order to determine what antitrust or foreign investment requirements may exist with respect to any potential conversion of the Warrants. The Purchaser shall be responsible for the payment of the filing fees associated with any such applications or filings.</w:t>
      </w:r>
    </w:p>
    <w:p>
      <w:pPr>
        <w:spacing w:after="0" w:line="182"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b w:val="1"/>
          <w:bCs w:val="1"/>
          <w:color w:val="auto"/>
        </w:rPr>
        <w:t xml:space="preserve">Section 5.03 </w:t>
      </w:r>
      <w:r>
        <w:rPr>
          <w:rFonts w:ascii="Arial" w:cs="Arial" w:eastAsia="Arial" w:hAnsi="Arial"/>
          <w:sz w:val="16"/>
          <w:szCs w:val="16"/>
          <w:b w:val="1"/>
          <w:bCs w:val="1"/>
          <w:u w:val="single" w:color="auto"/>
          <w:color w:val="auto"/>
        </w:rPr>
        <w:t>Use of Proceeds; Amended &amp; Restated Credit Agreement</w:t>
      </w:r>
      <w:r>
        <w:rPr>
          <w:rFonts w:ascii="Arial" w:cs="Arial" w:eastAsia="Arial" w:hAnsi="Arial"/>
          <w:sz w:val="16"/>
          <w:szCs w:val="16"/>
          <w:color w:val="auto"/>
        </w:rPr>
        <w:t>. The Company shall only use the proceeds of the New Credit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offering of the Purchased Securities for one or more of the following purposes: (i) effect the Redemption; (ii) repay all of the Revolving Credit Loans (as defined in the Amended and Restated Credit Agreement); (iii) prepay Term Loans (as defined in the Amended and Restated Credit Agreement) in accordance with the Amended and Restated Credit Agreement; (iv) pay any fees, costs and expenses (including fees and disbursements of the Agent, counsel, financial advisors and accountants) incurred in connection with clauses (ii) and (iii) above; (v) pay any fees and expenses in connection with the transactions contemplated by this Agreement; and (vi) with respect to any remaining proceeds after giving effect to clauses</w:t>
      </w:r>
    </w:p>
    <w:p>
      <w:pPr>
        <w:spacing w:after="0" w:line="3" w:lineRule="exact"/>
        <w:rPr>
          <w:sz w:val="20"/>
          <w:szCs w:val="20"/>
          <w:color w:val="auto"/>
        </w:rPr>
      </w:pPr>
    </w:p>
    <w:p>
      <w:pPr>
        <w:ind w:left="5424" w:right="4620" w:hanging="5424"/>
        <w:spacing w:after="0" w:line="517" w:lineRule="auto"/>
        <w:tabs>
          <w:tab w:leader="none" w:pos="2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through (v), for the Company’s working capital and other general corporate purposes. 24</w:t>
      </w:r>
    </w:p>
    <w:p>
      <w:pPr>
        <w:sectPr>
          <w:pgSz w:w="11900" w:h="16838" w:orient="portrait"/>
          <w:cols w:equalWidth="0" w:num="1">
            <w:col w:w="11004"/>
          </w:cols>
          <w:pgMar w:left="436" w:top="274" w:right="459" w:bottom="1440" w:gutter="0" w:footer="0" w:header="0"/>
        </w:sectPr>
      </w:pPr>
    </w:p>
    <w:bookmarkStart w:id="64" w:name="page65"/>
    <w:bookmarkEnd w:id="64"/>
    <w:p>
      <w:pPr>
        <w:ind w:left="4" w:right="10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5.04 </w:t>
      </w:r>
      <w:r>
        <w:rPr>
          <w:rFonts w:ascii="Arial" w:cs="Arial" w:eastAsia="Arial" w:hAnsi="Arial"/>
          <w:sz w:val="17"/>
          <w:szCs w:val="17"/>
          <w:b w:val="1"/>
          <w:bCs w:val="1"/>
          <w:u w:val="single" w:color="auto"/>
          <w:color w:val="auto"/>
        </w:rPr>
        <w:t>Subsequent Equity Sales</w:t>
      </w:r>
      <w:r>
        <w:rPr>
          <w:rFonts w:ascii="Arial" w:cs="Arial" w:eastAsia="Arial" w:hAnsi="Arial"/>
          <w:sz w:val="17"/>
          <w:szCs w:val="17"/>
          <w:color w:val="auto"/>
        </w:rPr>
        <w:t>. The Company shall not, and shall use its commercially reasonable efforts to ensure that no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shall, sell, offer for sale or solicit offers to buy or otherwise negotiate in respect of any security (as defined in Section 2 of the Securities Act) that will be integrated with the offer or sale of the Purchased Securities in a manner that would require the registration under the Securities Act of the sale of the Purchased Securities to the Purchaser, or that will be integrated with the offer or sale of the Purchased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73"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6"/>
          <w:szCs w:val="16"/>
          <w:b w:val="1"/>
          <w:bCs w:val="1"/>
          <w:u w:val="single" w:color="auto"/>
          <w:color w:val="auto"/>
        </w:rPr>
        <w:t>Standstill</w:t>
      </w:r>
      <w:r>
        <w:rPr>
          <w:rFonts w:ascii="Arial" w:cs="Arial" w:eastAsia="Arial" w:hAnsi="Arial"/>
          <w:sz w:val="16"/>
          <w:szCs w:val="16"/>
          <w:color w:val="auto"/>
        </w:rPr>
        <w:t>. During the Standstill Period, the Purchaser will not without the prior written consent of the Company:</w:t>
      </w:r>
    </w:p>
    <w:p>
      <w:pPr>
        <w:spacing w:after="0" w:line="229" w:lineRule="exact"/>
        <w:rPr>
          <w:sz w:val="20"/>
          <w:szCs w:val="20"/>
          <w:color w:val="auto"/>
        </w:rPr>
      </w:pPr>
    </w:p>
    <w:p>
      <w:pPr>
        <w:ind w:left="4" w:right="220" w:firstLine="436"/>
        <w:spacing w:after="0" w:line="291" w:lineRule="auto"/>
        <w:tabs>
          <w:tab w:leader="none" w:pos="8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effect or seek, offer or propose (whether publicly or otherwise) to effect, or announce any intention to effect or cause or participate in or in any way assist, facilitate or encourage any other person to effect or seek, offer or propose (whether publicly or otherwise) to effect or participate in,</w:t>
      </w:r>
    </w:p>
    <w:p>
      <w:pPr>
        <w:ind w:left="4" w:hanging="4"/>
        <w:spacing w:after="0" w:line="292" w:lineRule="auto"/>
        <w:tabs>
          <w:tab w:leader="none" w:pos="2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acquisition of any equity securities (or beneficial ownership thereof), rights or options to acquire any equity securities (or beneficial ownership thereof), or any securities convertible into or exchangeable for any such equity securities (or beneficial ownership thereof), of the Company, (ii) any tender or exchange offer, merger or other business combination involving the Company or its Subsidiaries or assets of the Company or its Subsidiaries constituting a significant portion of the consolidated assets of the Company and its Subsidiaries, or (iii) any “solicitation” of “proxies” (as such terms are used in the proxy rules of the SEC) or consents to vote any voting securities of the Company or any of its Affiliates;</w:t>
      </w:r>
    </w:p>
    <w:p>
      <w:pPr>
        <w:spacing w:after="0" w:line="162" w:lineRule="exact"/>
        <w:rPr>
          <w:rFonts w:ascii="Arial" w:cs="Arial" w:eastAsia="Arial" w:hAnsi="Arial"/>
          <w:sz w:val="16"/>
          <w:szCs w:val="16"/>
          <w:color w:val="auto"/>
        </w:rPr>
      </w:pPr>
    </w:p>
    <w:p>
      <w:pPr>
        <w:ind w:left="4" w:right="200" w:firstLine="436"/>
        <w:spacing w:after="0" w:line="263" w:lineRule="auto"/>
        <w:tabs>
          <w:tab w:leader="none" w:pos="8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otherwise act, alone or in concert with others, to seek representation on or to control or influence the management, the Board or policies of the Company or to obtain representation on the Board of Directors (beyond any such right to do so based on such representation on the Board of Directors pursuant to the Board Observer Agreement);</w:t>
      </w:r>
    </w:p>
    <w:p>
      <w:pPr>
        <w:spacing w:after="0" w:line="183" w:lineRule="exact"/>
        <w:rPr>
          <w:rFonts w:ascii="Arial" w:cs="Arial" w:eastAsia="Arial" w:hAnsi="Arial"/>
          <w:sz w:val="18"/>
          <w:szCs w:val="18"/>
          <w:color w:val="auto"/>
        </w:rPr>
      </w:pPr>
    </w:p>
    <w:p>
      <w:pPr>
        <w:ind w:left="824" w:hanging="384"/>
        <w:spacing w:after="0"/>
        <w:tabs>
          <w:tab w:leader="none" w:pos="8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submit any shareholder proposal to the Company;</w:t>
      </w:r>
    </w:p>
    <w:p>
      <w:pPr>
        <w:spacing w:after="0" w:line="225" w:lineRule="exact"/>
        <w:rPr>
          <w:rFonts w:ascii="Arial" w:cs="Arial" w:eastAsia="Arial" w:hAnsi="Arial"/>
          <w:sz w:val="18"/>
          <w:szCs w:val="18"/>
          <w:color w:val="auto"/>
        </w:rPr>
      </w:pPr>
    </w:p>
    <w:p>
      <w:pPr>
        <w:ind w:left="4" w:right="260" w:firstLine="436"/>
        <w:spacing w:after="0" w:line="277" w:lineRule="auto"/>
        <w:tabs>
          <w:tab w:leader="none" w:pos="8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form, join or in any way participate in a “group” (as defined under the Exchange Act) with respect to any securities of the Company or its Subsidiaries;</w:t>
      </w:r>
    </w:p>
    <w:p>
      <w:pPr>
        <w:spacing w:after="0" w:line="170" w:lineRule="exact"/>
        <w:rPr>
          <w:rFonts w:ascii="Arial" w:cs="Arial" w:eastAsia="Arial" w:hAnsi="Arial"/>
          <w:sz w:val="18"/>
          <w:szCs w:val="18"/>
          <w:color w:val="auto"/>
        </w:rPr>
      </w:pPr>
    </w:p>
    <w:p>
      <w:pPr>
        <w:ind w:left="4" w:right="740" w:firstLine="436"/>
        <w:spacing w:after="0" w:line="342" w:lineRule="auto"/>
        <w:tabs>
          <w:tab w:leader="none" w:pos="824"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take any action, or disclose any intention, plan or arrangement to take such action, that would reasonably be expected to require the Purchaser or the Company to make a public announcement regarding any of the types of matters set forth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804" w:hanging="364"/>
        <w:spacing w:after="0"/>
        <w:tabs>
          <w:tab w:leader="none" w:pos="8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advise, assist, direct, support or encourage any other Person in doing any of the foregoing.</w:t>
      </w:r>
    </w:p>
    <w:p>
      <w:pPr>
        <w:spacing w:after="0" w:line="225" w:lineRule="exact"/>
        <w:rPr>
          <w:rFonts w:ascii="Arial" w:cs="Arial" w:eastAsia="Arial" w:hAnsi="Arial"/>
          <w:sz w:val="18"/>
          <w:szCs w:val="18"/>
          <w:color w:val="auto"/>
        </w:rPr>
      </w:pPr>
    </w:p>
    <w:p>
      <w:pPr>
        <w:ind w:left="4" w:right="240" w:firstLine="436"/>
        <w:spacing w:after="0" w:line="311" w:lineRule="auto"/>
        <w:tabs>
          <w:tab w:leader="none" w:pos="834"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the avoidance of any doubt, nothing in this agreement shall be construed to limit the activities in the normal course of business of Morgan Stanley and its Affiliates (other than the Purchaser) including brokerage, investment advisory, financial advisory, anti-raid advisory, merger advisory, financing, asset management, trading, market making, arbitrage and other similar activities conducted in the ordinary course of its business.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0" w:right="459" w:bottom="1440" w:gutter="0" w:footer="0" w:header="0"/>
        </w:sectPr>
      </w:pPr>
    </w:p>
    <w:bookmarkStart w:id="65" w:name="page66"/>
    <w:bookmarkEnd w:id="65"/>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5.06</w:t>
      </w:r>
      <w:r>
        <w:rPr>
          <w:sz w:val="20"/>
          <w:szCs w:val="20"/>
          <w:color w:val="auto"/>
        </w:rPr>
        <w:tab/>
      </w:r>
      <w:r>
        <w:rPr>
          <w:rFonts w:ascii="Arial" w:cs="Arial" w:eastAsia="Arial" w:hAnsi="Arial"/>
          <w:sz w:val="16"/>
          <w:szCs w:val="16"/>
          <w:b w:val="1"/>
          <w:bCs w:val="1"/>
          <w:u w:val="single" w:color="auto"/>
          <w:color w:val="auto"/>
        </w:rPr>
        <w:t>Transfer Restrictions</w:t>
      </w:r>
      <w:r>
        <w:rPr>
          <w:rFonts w:ascii="Arial" w:cs="Arial" w:eastAsia="Arial" w:hAnsi="Arial"/>
          <w:sz w:val="16"/>
          <w:szCs w:val="16"/>
          <w:color w:val="auto"/>
        </w:rPr>
        <w:t>.</w:t>
      </w:r>
    </w:p>
    <w:p>
      <w:pPr>
        <w:spacing w:after="0" w:line="121" w:lineRule="exact"/>
        <w:rPr>
          <w:sz w:val="20"/>
          <w:szCs w:val="20"/>
          <w:color w:val="auto"/>
        </w:rPr>
      </w:pPr>
    </w:p>
    <w:p>
      <w:pPr>
        <w:ind w:right="20" w:firstLine="436"/>
        <w:spacing w:after="0" w:line="296"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Except as otherwise permitted by </w:t>
      </w:r>
      <w:r>
        <w:rPr>
          <w:rFonts w:ascii="Arial" w:cs="Arial" w:eastAsia="Arial" w:hAnsi="Arial"/>
          <w:sz w:val="16"/>
          <w:szCs w:val="16"/>
          <w:u w:val="single" w:color="auto"/>
          <w:color w:val="auto"/>
        </w:rPr>
        <w:t>Section 5.06(b)</w:t>
      </w:r>
      <w:r>
        <w:rPr>
          <w:rFonts w:ascii="Arial" w:cs="Arial" w:eastAsia="Arial" w:hAnsi="Arial"/>
          <w:sz w:val="16"/>
          <w:szCs w:val="16"/>
          <w:color w:val="auto"/>
        </w:rPr>
        <w:t>, during the Restricted Period, the Purchaser will not (i) Transfer any Purchased Securities or Underlying Shares, or (ii) make any short sale of, grant any option for the purchase of, or enter into any hedging or similar transaction with the same economic effect as a short sale of or the purpose of which is to offset the loss that results from a decline in the market price of, the Purchased Securities or the Underlying Shares, or otherwise establish or increase, directly or indirectly, a put equivalent position, as defined in Rule 16a-1(h) of the Exchange Act, with respect to any of the Purchased Securities or Underlying Shares or any other capital stock of the Company.</w:t>
      </w:r>
    </w:p>
    <w:p>
      <w:pPr>
        <w:spacing w:after="0" w:line="161" w:lineRule="exact"/>
        <w:rPr>
          <w:rFonts w:ascii="Arial" w:cs="Arial" w:eastAsia="Arial" w:hAnsi="Arial"/>
          <w:sz w:val="16"/>
          <w:szCs w:val="16"/>
          <w:color w:val="auto"/>
        </w:rPr>
      </w:pPr>
    </w:p>
    <w:p>
      <w:pPr>
        <w:ind w:firstLine="436"/>
        <w:spacing w:after="0" w:line="277" w:lineRule="auto"/>
        <w:tabs>
          <w:tab w:leader="none" w:pos="8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5.06(a)</w:t>
      </w:r>
      <w:r>
        <w:rPr>
          <w:rFonts w:ascii="Arial" w:cs="Arial" w:eastAsia="Arial" w:hAnsi="Arial"/>
          <w:sz w:val="18"/>
          <w:szCs w:val="18"/>
          <w:color w:val="auto"/>
        </w:rPr>
        <w:t>, during the Restricted Period, the Purchaser shall be permitted to Transfer any portion or all of its Purchased Securities or Underlying Shares under the following circumstances:</w:t>
      </w:r>
    </w:p>
    <w:p>
      <w:pPr>
        <w:spacing w:after="0" w:line="62" w:lineRule="exact"/>
        <w:rPr>
          <w:rFonts w:ascii="Arial" w:cs="Arial" w:eastAsia="Arial" w:hAnsi="Arial"/>
          <w:sz w:val="18"/>
          <w:szCs w:val="18"/>
          <w:color w:val="auto"/>
        </w:rPr>
      </w:pPr>
    </w:p>
    <w:p>
      <w:pPr>
        <w:jc w:val="both"/>
        <w:ind w:left="440" w:firstLine="948"/>
        <w:spacing w:after="0" w:line="263" w:lineRule="auto"/>
        <w:tabs>
          <w:tab w:leader="none" w:pos="173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Transfers to any Permitted Transferee, but only if the transferee agrees in writing prior to such Transfer for the express benefit of the Company (in form and substance reasonably satisfactory to the Company and with a copy thereof to be furnished to the Company) to be bound by the terms of this Agreement;</w:t>
      </w:r>
    </w:p>
    <w:p>
      <w:pPr>
        <w:spacing w:after="0" w:line="75" w:lineRule="exact"/>
        <w:rPr>
          <w:rFonts w:ascii="Arial" w:cs="Arial" w:eastAsia="Arial" w:hAnsi="Arial"/>
          <w:sz w:val="18"/>
          <w:szCs w:val="18"/>
          <w:color w:val="auto"/>
        </w:rPr>
      </w:pPr>
    </w:p>
    <w:p>
      <w:pPr>
        <w:ind w:left="440" w:right="20" w:firstLine="948"/>
        <w:spacing w:after="0" w:line="263" w:lineRule="auto"/>
        <w:tabs>
          <w:tab w:leader="none" w:pos="17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Transfers of Purchased Securities or Underlying Shares pursuant to a tender offer or exchange offer for at least a majority of the equity securities of the Company made by a Person who is not an Affiliate of the Purchaser to all shareholders of the Company, with the prior consent of the Board; and</w:t>
      </w:r>
    </w:p>
    <w:p>
      <w:pPr>
        <w:spacing w:after="0" w:line="75" w:lineRule="exact"/>
        <w:rPr>
          <w:rFonts w:ascii="Arial" w:cs="Arial" w:eastAsia="Arial" w:hAnsi="Arial"/>
          <w:sz w:val="18"/>
          <w:szCs w:val="18"/>
          <w:color w:val="auto"/>
        </w:rPr>
      </w:pPr>
    </w:p>
    <w:p>
      <w:pPr>
        <w:ind w:left="1840" w:hanging="452"/>
        <w:spacing w:after="0"/>
        <w:tabs>
          <w:tab w:leader="none" w:pos="18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Transfers permitted under the Certificate of Designation in connection with the redemption by the Company of the Series D</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Preferred Stock.</w:t>
      </w:r>
    </w:p>
    <w:p>
      <w:pPr>
        <w:spacing w:after="0" w:line="210" w:lineRule="exact"/>
        <w:rPr>
          <w:rFonts w:ascii="Arial" w:cs="Arial" w:eastAsia="Arial" w:hAnsi="Arial"/>
          <w:sz w:val="16"/>
          <w:szCs w:val="16"/>
          <w:color w:val="auto"/>
        </w:rPr>
      </w:pPr>
    </w:p>
    <w:p>
      <w:pPr>
        <w:ind w:right="800" w:firstLine="436"/>
        <w:spacing w:after="0" w:line="277"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Following the end of the Restricted Period, Transfers may only be made by the Purchaser to any Person that is not a Competitor in compliance with the provisions of </w:t>
      </w:r>
      <w:r>
        <w:rPr>
          <w:rFonts w:ascii="Arial" w:cs="Arial" w:eastAsia="Arial" w:hAnsi="Arial"/>
          <w:sz w:val="18"/>
          <w:szCs w:val="18"/>
          <w:u w:val="single" w:color="auto"/>
          <w:color w:val="auto"/>
        </w:rPr>
        <w:t>Section 5.06(d)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436"/>
        <w:spacing w:after="0" w:line="275" w:lineRule="auto"/>
        <w:tabs>
          <w:tab w:leader="none" w:pos="8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For a Transfer to comply with this </w:t>
      </w:r>
      <w:r>
        <w:rPr>
          <w:rFonts w:ascii="Arial" w:cs="Arial" w:eastAsia="Arial" w:hAnsi="Arial"/>
          <w:sz w:val="17"/>
          <w:szCs w:val="17"/>
          <w:u w:val="single" w:color="auto"/>
          <w:color w:val="auto"/>
        </w:rPr>
        <w:t>Section 5.06(d)</w:t>
      </w:r>
      <w:r>
        <w:rPr>
          <w:rFonts w:ascii="Arial" w:cs="Arial" w:eastAsia="Arial" w:hAnsi="Arial"/>
          <w:sz w:val="17"/>
          <w:szCs w:val="17"/>
          <w:color w:val="auto"/>
        </w:rPr>
        <w:t xml:space="preserve">, (i) the transferor in any such Transfer shall provide prior written notice to the Company of the identity of the transferee, together with a certification by the transferor that to its knowledge the transferee is not a Competitor and (ii) the transferee shall (A) provide to the Company prior to such Transfer a certification by the transferee that it is not a Competitor and (B) agree in writing prior to such Transfer for the express benefit of the Company (in form and substance reasonably satisfactory to the Company) to be bound by the restrictions on Transfers set forth in </w:t>
      </w:r>
      <w:r>
        <w:rPr>
          <w:rFonts w:ascii="Arial" w:cs="Arial" w:eastAsia="Arial" w:hAnsi="Arial"/>
          <w:sz w:val="17"/>
          <w:szCs w:val="17"/>
          <w:u w:val="single" w:color="auto"/>
          <w:color w:val="auto"/>
        </w:rPr>
        <w:t>Section 5.06(c)</w:t>
      </w:r>
      <w:r>
        <w:rPr>
          <w:rFonts w:ascii="Arial" w:cs="Arial" w:eastAsia="Arial" w:hAnsi="Arial"/>
          <w:sz w:val="17"/>
          <w:szCs w:val="17"/>
          <w:color w:val="auto"/>
        </w:rPr>
        <w:t xml:space="preserve"> to the same extent as if it were the Purchaser.</w:t>
      </w:r>
    </w:p>
    <w:p>
      <w:pPr>
        <w:spacing w:after="0" w:line="176" w:lineRule="exact"/>
        <w:rPr>
          <w:rFonts w:ascii="Arial" w:cs="Arial" w:eastAsia="Arial" w:hAnsi="Arial"/>
          <w:sz w:val="17"/>
          <w:szCs w:val="17"/>
          <w:color w:val="auto"/>
        </w:rPr>
      </w:pPr>
    </w:p>
    <w:p>
      <w:pPr>
        <w:ind w:right="160" w:firstLine="436"/>
        <w:spacing w:after="0" w:line="277" w:lineRule="auto"/>
        <w:tabs>
          <w:tab w:leader="none" w:pos="8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attempted Transfer in violation of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the Company shall not be required to recognize such Transfer.</w:t>
      </w:r>
    </w:p>
    <w:p>
      <w:pPr>
        <w:spacing w:after="0" w:line="16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5.07 </w:t>
      </w:r>
      <w:r>
        <w:rPr>
          <w:rFonts w:ascii="Arial" w:cs="Arial" w:eastAsia="Arial" w:hAnsi="Arial"/>
          <w:sz w:val="17"/>
          <w:szCs w:val="17"/>
          <w:b w:val="1"/>
          <w:bCs w:val="1"/>
          <w:u w:val="single" w:color="auto"/>
          <w:color w:val="auto"/>
        </w:rPr>
        <w:t>Removal of Legend</w:t>
      </w:r>
      <w:r>
        <w:rPr>
          <w:rFonts w:ascii="Arial" w:cs="Arial" w:eastAsia="Arial" w:hAnsi="Arial"/>
          <w:sz w:val="17"/>
          <w:szCs w:val="17"/>
          <w:color w:val="auto"/>
        </w:rPr>
        <w:t>. In connection with a sale of Purchased Securities or Underlying Shares by the Purchaser in reliance on Rule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144 promulgated under the Securities Act, the applicable Purchaser or its broker shall deliver to the Company a broker representation letter reasonably acceptable to the Company and its transfer agent, providing to the Company the information required under Rule 144 to determine that the sale of such Purchased Securities is made in compliance with Rule 144 promulgated under the Securities Act, including, as may be appropriate, a certification that the Purchaser is not an affiliate of the Company (as defined in Rule 144 promulgated under the Securities Act) and a certification as to the length of time that such securities have been held. Upon receipt of such representation letter, the Company shall promptly remove the notation of a restrictive legend in the Purchaser’s book-entry account maintained by the Company, including the legend referred to in </w:t>
      </w:r>
      <w:r>
        <w:rPr>
          <w:rFonts w:ascii="Arial" w:cs="Arial" w:eastAsia="Arial" w:hAnsi="Arial"/>
          <w:sz w:val="17"/>
          <w:szCs w:val="17"/>
          <w:u w:val="single" w:color="auto"/>
          <w:color w:val="auto"/>
        </w:rPr>
        <w:t>Section 4.05(c)</w:t>
      </w:r>
      <w:r>
        <w:rPr>
          <w:rFonts w:ascii="Arial" w:cs="Arial" w:eastAsia="Arial" w:hAnsi="Arial"/>
          <w:sz w:val="17"/>
          <w:szCs w:val="17"/>
          <w:color w:val="auto"/>
        </w:rPr>
        <w:t>, and the Company shall bear all costs associated with the removal of such legend in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Company’s books. At such time as the Purchased Securities or Underlying Shares (as applicable) have been sold pursuant to an effective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 under the Securities Act or have been held by the Purchaser for more than one year where the Purchaser is not, and has not been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preceding three months, an affiliate of the Company (as defined in Rule 144 promulgated under the Securities Act) or acting in concert with such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Person, if the book-entry account of the Purchaser still bears the notation of the restrictive legend referred to in </w:t>
      </w:r>
      <w:r>
        <w:rPr>
          <w:rFonts w:ascii="Arial" w:cs="Arial" w:eastAsia="Arial" w:hAnsi="Arial"/>
          <w:sz w:val="16"/>
          <w:szCs w:val="16"/>
          <w:u w:val="single" w:color="auto"/>
          <w:color w:val="auto"/>
        </w:rPr>
        <w:t>Section 4.05(c)</w:t>
      </w:r>
      <w:r>
        <w:rPr>
          <w:rFonts w:ascii="Arial" w:cs="Arial" w:eastAsia="Arial" w:hAnsi="Arial"/>
          <w:sz w:val="16"/>
          <w:szCs w:val="16"/>
          <w:color w:val="auto"/>
        </w:rPr>
        <w:t>, the Company agrees,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upon request of the Purchaser or its permitted assignee, to take all steps necessary to promptly effect the removal of the legend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4.05(c)</w:t>
      </w:r>
      <w:r>
        <w:rPr>
          <w:rFonts w:ascii="Arial" w:cs="Arial" w:eastAsia="Arial" w:hAnsi="Arial"/>
          <w:sz w:val="16"/>
          <w:szCs w:val="16"/>
          <w:color w:val="auto"/>
        </w:rPr>
        <w:t>, and the Company shall bear all costs associated with the removal of such legend in the Company’s books, regardless of whether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is made in connection with a sale or otherwise, so long as the Purchaser or its permitted assignee provides to the Company the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under Rule 144 (or other applicable exemptions) to determine that the legend is no longer required under the Securities Act or applicable 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Laws, including (if there is no such registration statement) a certification that the holder is not an affiliate of the Company (as defined in Rule 144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under the Securities Act), a covenant to inform the Company if it should thereafter become an affiliate (as defined in Rule 144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and to consent to the notation of an appropriate restriction, and a certification as to the length of time such securities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held. The Company shall cooperate with the Purchaser to effect the removal of the legend referred to in </w:t>
      </w:r>
      <w:r>
        <w:rPr>
          <w:rFonts w:ascii="Arial" w:cs="Arial" w:eastAsia="Arial" w:hAnsi="Arial"/>
          <w:sz w:val="16"/>
          <w:szCs w:val="16"/>
          <w:u w:val="single" w:color="auto"/>
          <w:color w:val="auto"/>
        </w:rPr>
        <w:t>Section 4.05(c)</w:t>
      </w:r>
      <w:r>
        <w:rPr>
          <w:rFonts w:ascii="Arial" w:cs="Arial" w:eastAsia="Arial" w:hAnsi="Arial"/>
          <w:sz w:val="16"/>
          <w:szCs w:val="16"/>
          <w:color w:val="auto"/>
        </w:rPr>
        <w:t xml:space="preserve"> at any time such legend is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longer appropriate.</w:t>
      </w:r>
    </w:p>
    <w:p>
      <w:pPr>
        <w:spacing w:after="0" w:line="20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Section 5.08 </w:t>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 The Company may deduct and withhold any withholding Taxes or other amounts required to be withheld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Purchased Securities and may set off any such amounts required to be withheld against payments (whether made in cash or other property) on the Purchased Securities. The Company and the Purchaser agree that it is their intention that (i) the Purchased Preferred Stock shall be treated as stock that is not “preferred stock” within the meaning of subsections (b)(4) and (c) of Section 305 of the Code and Treasury Regulations</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Section 1.305-5(a), and (ii) the Purchaser shall not be required to include in income as a dividend for U.S. federal income tax purposes any income or gain in respect of the Purchased Preferred Stock on account of the accrual or payment of dividends thereon (including any deemed dividends as a result of any discount or otherwise) unless and until such dividends are declared and paid in cash. The Company agrees to take no position or action inconsistent with such treatment, including on any Internal Revenue Service Form 1099, unless otherwise required by (A) a change in applicable law after the date hereof or (B) a final determination within the meaning of Section 1313 of the Code.</w:t>
      </w:r>
    </w:p>
    <w:p>
      <w:pPr>
        <w:spacing w:after="0" w:line="28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5.09</w:t>
      </w:r>
      <w:r>
        <w:rPr>
          <w:sz w:val="20"/>
          <w:szCs w:val="20"/>
          <w:color w:val="auto"/>
        </w:rPr>
        <w:tab/>
      </w:r>
      <w:r>
        <w:rPr>
          <w:rFonts w:ascii="Arial" w:cs="Arial" w:eastAsia="Arial" w:hAnsi="Arial"/>
          <w:sz w:val="16"/>
          <w:szCs w:val="16"/>
          <w:b w:val="1"/>
          <w:bCs w:val="1"/>
          <w:u w:val="single" w:color="auto"/>
          <w:color w:val="auto"/>
        </w:rPr>
        <w:t>Listing; SEC Compliance</w:t>
      </w:r>
      <w:r>
        <w:rPr>
          <w:rFonts w:ascii="Arial" w:cs="Arial" w:eastAsia="Arial" w:hAnsi="Arial"/>
          <w:sz w:val="16"/>
          <w:szCs w:val="16"/>
          <w:color w:val="auto"/>
        </w:rPr>
        <w:t>.</w:t>
      </w:r>
    </w:p>
    <w:p>
      <w:pPr>
        <w:spacing w:after="0" w:line="121" w:lineRule="exact"/>
        <w:rPr>
          <w:sz w:val="20"/>
          <w:szCs w:val="20"/>
          <w:color w:val="auto"/>
        </w:rPr>
      </w:pPr>
    </w:p>
    <w:p>
      <w:pPr>
        <w:ind w:right="180" w:firstLine="436"/>
        <w:spacing w:after="0" w:line="286" w:lineRule="auto"/>
        <w:tabs>
          <w:tab w:leader="none" w:pos="8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maintain the listing of all of the Underlying Shares upon each national securities exchange and automated quotation system, if any, upon which shares of Common Stock are then listed (subject to official notice of issuance) and shall maintain, so long as any other shares of Common Stock shall be so listed, such listing of the Underlying Shares.</w:t>
      </w:r>
    </w:p>
    <w:p>
      <w:pPr>
        <w:spacing w:after="0" w:line="165" w:lineRule="exact"/>
        <w:rPr>
          <w:rFonts w:ascii="Arial" w:cs="Arial" w:eastAsia="Arial" w:hAnsi="Arial"/>
          <w:sz w:val="17"/>
          <w:szCs w:val="17"/>
          <w:color w:val="auto"/>
        </w:rPr>
      </w:pPr>
    </w:p>
    <w:p>
      <w:pPr>
        <w:ind w:right="60" w:firstLine="436"/>
        <w:spacing w:after="0" w:line="255" w:lineRule="auto"/>
        <w:tabs>
          <w:tab w:leader="none" w:pos="8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Beginning on the fifth (5th) anniversary of the Closing, the Purchaser or its Permitted Transferees (the “</w:t>
      </w:r>
      <w:r>
        <w:rPr>
          <w:rFonts w:ascii="Arial" w:cs="Arial" w:eastAsia="Arial" w:hAnsi="Arial"/>
          <w:sz w:val="18"/>
          <w:szCs w:val="18"/>
          <w:u w:val="single" w:color="auto"/>
          <w:color w:val="auto"/>
        </w:rPr>
        <w:t>Applicable Holders</w:t>
      </w:r>
      <w:r>
        <w:rPr>
          <w:rFonts w:ascii="Arial" w:cs="Arial" w:eastAsia="Arial" w:hAnsi="Arial"/>
          <w:sz w:val="18"/>
          <w:szCs w:val="18"/>
          <w:color w:val="auto"/>
        </w:rPr>
        <w:t>”), to the extent any such Applicable Holders still beneficially own any Purchased Warrants or Underlying Shares (the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shall have the right, by delivering written notice to the Company, to require the Company to register, and the Company shall use its reasonable best efforts to (i) promptly register for resale, under an effective registration state under the Securities Act, the number of Registrable Securities stated in such request, (ii) maintain the effectiveness of such registration statement and (iii) if the Applicable Holders so elect, to cause the offering of such Registrable Securities to be in the form of a firm commitment underwritten offering.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COSTS AND EXPENSES</w:t>
      </w:r>
    </w:p>
    <w:p>
      <w:pPr>
        <w:spacing w:after="0" w:line="207"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b w:val="1"/>
          <w:bCs w:val="1"/>
          <w:color w:val="auto"/>
        </w:rPr>
        <w:t xml:space="preserve">Section 6.01 </w:t>
      </w:r>
      <w:r>
        <w:rPr>
          <w:rFonts w:ascii="Arial" w:cs="Arial" w:eastAsia="Arial" w:hAnsi="Arial"/>
          <w:sz w:val="17"/>
          <w:szCs w:val="17"/>
          <w:b w:val="1"/>
          <w:bCs w:val="1"/>
          <w:u w:val="single" w:color="auto"/>
          <w:color w:val="auto"/>
        </w:rPr>
        <w:t>Indemnification by the Company</w:t>
      </w:r>
      <w:r>
        <w:rPr>
          <w:rFonts w:ascii="Arial" w:cs="Arial" w:eastAsia="Arial" w:hAnsi="Arial"/>
          <w:sz w:val="17"/>
          <w:szCs w:val="17"/>
          <w:color w:val="auto"/>
        </w:rPr>
        <w:t>. The Company agrees to indemnify the Purchaser and its Representatives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Purchaser Related Parties</w:t>
      </w:r>
      <w:r>
        <w:rPr>
          <w:rFonts w:ascii="Arial" w:cs="Arial" w:eastAsia="Arial" w:hAnsi="Arial"/>
          <w:sz w:val="17"/>
          <w:szCs w:val="17"/>
          <w:color w:val="auto"/>
        </w:rPr>
        <w:t xml:space="preserve">”) from costs, losses, liabilities, damages or expenses of any kind or nature whatsoever, and hold each of them harmless against, any and all actions, suits, proceedings (including any investigations, litigation or inquiries), demands and causes of action, and, in connection therewith, promptly upon demand, pay or reimburse each of them for all costs, losses, liabilities, damages, or expenses of any kind or nature whatsoever (including the reasonable fees and disbursements of counsel and all other reasonable expenses incurred in connection with investigating, defending or preparing to defend any such matter that may be incurred by them or asserted against or involve any of them), whether or not involving a Third-Party Claim, as a result of or arising out of (a) the failure of any of the representations or warranties made by the Company contained herein to be true and correct in all material respects (other than the Fundamental Representations or other representations and warranties that are qualified by materiality or Material Adverse Effect, which, in each case, shall be true and correct in all respects) when made and as of the Closing Date (except for any representations and warranties made as of a specific date, which shall be required to be true and correct as of such date only) or (b) the breach in any material respect of any covenants of the Company contained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such claim for indemnification is made prior to the expiration of the survival period of such representation or warranty;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determining when an indemnification claim has been made, the date upon which a Purchaser Related Party shall have given notice (stating in reasonable detail the basis of the claim for indemnification) to the Company shall constitute the date upon which such claim has been made;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aggregate liability of the Company to the Purchaser pursuant to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not be greater in amount than the Purchase Price. No Purchaser Related Party shall be entitled to recover special, indirect, incidental, consequential, exemplary, lost profits, speculative or punitive damages under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limitation shall not prevent any Purchaser Related Party from recovering under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for any such damages to the extent that such damages are in the form of diminution in value or are payable to a third party in connection with any Third-Party Claims.</w:t>
      </w:r>
    </w:p>
    <w:p>
      <w:pPr>
        <w:spacing w:after="0" w:line="29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color w:val="auto"/>
        </w:rPr>
        <w:t>.</w:t>
      </w:r>
    </w:p>
    <w:p>
      <w:pPr>
        <w:spacing w:after="0" w:line="121" w:lineRule="exact"/>
        <w:rPr>
          <w:sz w:val="20"/>
          <w:szCs w:val="20"/>
          <w:color w:val="auto"/>
        </w:rPr>
      </w:pPr>
    </w:p>
    <w:p>
      <w:pPr>
        <w:ind w:right="720" w:firstLine="436"/>
        <w:spacing w:after="0" w:line="286" w:lineRule="auto"/>
        <w:tabs>
          <w:tab w:leader="none" w:pos="81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 claim for indemnification for any matter not involving a Third-Party Claim may be asserted by notice to the party from whom indemnification is sought;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failure to so notify the indemnifying party shall not preclude the indemnified party from any indemnification which it may claim in accordance with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436"/>
        <w:spacing w:after="0" w:line="289" w:lineRule="auto"/>
        <w:tabs>
          <w:tab w:leader="none" w:pos="83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Promptly after any Purchaser Related Party (hereinafter,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has received notice of any indemnifiable claim hereunder, or the commencement of any action, suit or proceeding by a third person, which the Indemnified Party believes in good faith is an indemnifiable claim under this Agreement (each a “</w:t>
      </w:r>
      <w:r>
        <w:rPr>
          <w:rFonts w:ascii="Arial" w:cs="Arial" w:eastAsia="Arial" w:hAnsi="Arial"/>
          <w:sz w:val="16"/>
          <w:szCs w:val="16"/>
          <w:u w:val="single" w:color="auto"/>
          <w:color w:val="auto"/>
        </w:rPr>
        <w:t>Third-Party Claim</w:t>
      </w:r>
      <w:r>
        <w:rPr>
          <w:rFonts w:ascii="Arial" w:cs="Arial" w:eastAsia="Arial" w:hAnsi="Arial"/>
          <w:sz w:val="16"/>
          <w:szCs w:val="16"/>
          <w:color w:val="auto"/>
        </w:rPr>
        <w:t>”), the Indemnified Party shall give the indemnitor hereunder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written notice of such Third-Party Claim,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Third-Party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68" w:name="page69"/>
    <w:bookmarkEnd w:id="68"/>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Indemnified Party shall be entitled (i) at its expense, to participate in the defense of such asserted liability and the negotiations of the settlement thereof and (ii) if (A) the Indemnifying Party has failed to assume the defense or employ counsel reasonably acceptable to the Indemnified Party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17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 All indemnification payments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treated as adjustments to the Purchase Price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except as otherwise required by applicable Law.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This Agreement shall be terminated:</w:t>
      </w:r>
    </w:p>
    <w:p>
      <w:pPr>
        <w:spacing w:after="0" w:line="229" w:lineRule="exact"/>
        <w:rPr>
          <w:sz w:val="20"/>
          <w:szCs w:val="20"/>
          <w:color w:val="auto"/>
        </w:rPr>
      </w:pPr>
    </w:p>
    <w:p>
      <w:pPr>
        <w:ind w:left="820" w:hanging="384"/>
        <w:spacing w:after="0"/>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 by mutual written consent of the Company and the Purchaser;</w:t>
      </w:r>
    </w:p>
    <w:p>
      <w:pPr>
        <w:spacing w:after="0" w:line="225" w:lineRule="exact"/>
        <w:rPr>
          <w:rFonts w:ascii="Arial" w:cs="Arial" w:eastAsia="Arial" w:hAnsi="Arial"/>
          <w:sz w:val="18"/>
          <w:szCs w:val="18"/>
          <w:color w:val="auto"/>
        </w:rPr>
      </w:pPr>
    </w:p>
    <w:p>
      <w:pPr>
        <w:jc w:val="both"/>
        <w:ind w:firstLine="436"/>
        <w:spacing w:after="0" w:line="286" w:lineRule="auto"/>
        <w:tabs>
          <w:tab w:leader="none" w:pos="8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Closing, by written notice from either the Company or the Purchaser if any Governmental Authority with lawful jurisdiction shall have issued a final order, decree or ruling or taken any other final action restraining, enjoining or otherwise prohibiting the transactions contemplated by the Transaction Documents and such order, decree, ruling or other action is or shall have become final and non-appealable;</w:t>
      </w:r>
    </w:p>
    <w:p>
      <w:pPr>
        <w:spacing w:after="0" w:line="165" w:lineRule="exact"/>
        <w:rPr>
          <w:rFonts w:ascii="Arial" w:cs="Arial" w:eastAsia="Arial" w:hAnsi="Arial"/>
          <w:sz w:val="17"/>
          <w:szCs w:val="17"/>
          <w:color w:val="auto"/>
        </w:rPr>
      </w:pPr>
    </w:p>
    <w:p>
      <w:pPr>
        <w:ind w:right="20" w:firstLine="436"/>
        <w:spacing w:after="0" w:line="263"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Closing does not occur by 11:59 p.m. New York time on March 31,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by written notice from either the Company or the Purchaser;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party may terminate this Agreement pursuant to this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if such party is, at the time of providing such written notice, in breach of any of its obligations under this Agreement; and</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such time as no Purchased Securities remain outstanding, automatically without any further action by the Company or the Purchaser.</w:t>
      </w:r>
    </w:p>
    <w:p>
      <w:pPr>
        <w:spacing w:after="0" w:line="233"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Certain Effects of Termination</w:t>
      </w:r>
      <w:r>
        <w:rPr>
          <w:rFonts w:ascii="Arial" w:cs="Arial" w:eastAsia="Arial" w:hAnsi="Arial"/>
          <w:sz w:val="18"/>
          <w:szCs w:val="18"/>
          <w:color w:val="auto"/>
        </w:rPr>
        <w:t>. In the event that this Agreement is terminated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color w:val="auto"/>
        </w:rPr>
        <w:t>, this Agreement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8.01</w:t>
      </w:r>
      <w:r>
        <w:rPr>
          <w:rFonts w:ascii="Arial" w:cs="Arial" w:eastAsia="Arial" w:hAnsi="Arial"/>
          <w:sz w:val="18"/>
          <w:szCs w:val="18"/>
          <w:color w:val="auto"/>
        </w:rPr>
        <w:t>) shall become null and void and have no further force or effect and there shall be no liability on the part of the Company or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69" w:name="page70"/>
    <w:bookmarkEnd w:id="6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Purchaser or any of its respective Representatives in connection with this Agreement, except that no such termination shall relieve any party from liability for damages to another party resulting for a willful and material breach of this Agreement prior to the date of termination or from fraud;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 other provision set forth in this Agreement, except in the case of fraud, neither the Company nor the Purchaser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such liability in excess of the Purchase Price.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8.01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All costs and expenses, including fees and disbursements of counsel, financial advisors and accountants,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the Transaction Documents and the transactions contemplated thereby shall be paid by the party incurring such costs and expenses;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reimburse the Purchaser for all third party expenses (including legal fees and expenses) incurred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and negotiation of the transactions contemplated hereby, and the purchase by the Purchaser of the Purchased Securities, provided that such fees shall not exceed $300,000 in the aggregate (which reimbursement may be made as a deduction from the payment of the Purchase Price in the flow of funds at the Closing).</w:t>
      </w:r>
    </w:p>
    <w:p>
      <w:pPr>
        <w:spacing w:after="0" w:line="187"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b w:val="1"/>
          <w:bCs w:val="1"/>
          <w:color w:val="auto"/>
        </w:rPr>
        <w:t xml:space="preserve">Section 8.02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Article, Section, Schedule and Exhibit references in this Agreement are references to the corresponding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Schedule or Exhibit to this Agreement, unless otherwise specified. All Exhibits and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Any reference in this Agreement to “$” shall mean U.S. dollars. Whenever any determination, consent or approval is to be made or given by any party to this Agreement, such action shall be in such party’s sole discretion, unless otherwise specified in this Agreement. If any provision in the Transaction Documents is held to be illegal, invalid, not binding or unenforceable, (a) such provision shall be fully severable and the Transaction Documents shall be construed and enforced as if such illegal, invalid, not binding or unenforceable provision had never comprised a part of the Transaction Documents, and the remaining provisions shall remain in full force and effect, and (b) the parties hereto shall negotiate in good faith to modify the Transaction Documents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the Transaction Documents, the date that is the reference date in calculating such period shall be excluded. If the last day of such period is not a 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69"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Survival of Provisions</w:t>
      </w:r>
      <w:r>
        <w:rPr>
          <w:rFonts w:ascii="Arial" w:cs="Arial" w:eastAsia="Arial" w:hAnsi="Arial"/>
          <w:sz w:val="18"/>
          <w:szCs w:val="18"/>
          <w:color w:val="auto"/>
        </w:rPr>
        <w:t>. The Fundamental Representations and the representations and warranties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4.07(b)</w:t>
      </w:r>
      <w:r>
        <w:rPr>
          <w:rFonts w:ascii="Arial" w:cs="Arial" w:eastAsia="Arial" w:hAnsi="Arial"/>
          <w:sz w:val="18"/>
          <w:szCs w:val="18"/>
          <w:color w:val="auto"/>
        </w:rPr>
        <w:t xml:space="preserve"> hereunder shall survive the execution and delivery of this Agreement indefinitely, and the other representations and warranties set forth herein shall survive for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70" w:name="page71"/>
    <w:bookmarkEnd w:id="7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period of twelve (12) months following the Closing Date, regardless of any investigation made by or on behalf of the Company, the Purchaser or the Agent and its Affiliates. The covenants made in this Agreement (including those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Transaction Document that by their terms are to be performed following the Closing shall survive the Closing and remain operative and in full force and effect until fully performed. Regardless of any purported general termination of this Agreement, the provisions of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all indemnification rights and obligations of the Company and the Purchaser thereunder,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remain operative and in full force and effect as between the Company and the Purchaser, unless the Company and the Purchaser execute a writing that expressly terminates such rights and obligations as between the Company and the Purchaser.</w:t>
      </w:r>
    </w:p>
    <w:p>
      <w:pPr>
        <w:spacing w:after="0" w:line="29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u w:val="single" w:color="auto"/>
          <w:color w:val="auto"/>
        </w:rPr>
        <w:t>No Waiver: Modifications in Writing</w:t>
      </w:r>
      <w:r>
        <w:rPr>
          <w:rFonts w:ascii="Arial" w:cs="Arial" w:eastAsia="Arial" w:hAnsi="Arial"/>
          <w:sz w:val="16"/>
          <w:szCs w:val="16"/>
          <w:color w:val="auto"/>
        </w:rPr>
        <w:t>.</w:t>
      </w:r>
    </w:p>
    <w:p>
      <w:pPr>
        <w:spacing w:after="0" w:line="121" w:lineRule="exact"/>
        <w:rPr>
          <w:sz w:val="20"/>
          <w:szCs w:val="20"/>
          <w:color w:val="auto"/>
        </w:rPr>
      </w:pPr>
    </w:p>
    <w:p>
      <w:pPr>
        <w:ind w:right="140" w:firstLine="436"/>
        <w:spacing w:after="0" w:line="259"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Delay</w:t>
      </w:r>
      <w:r>
        <w:rPr>
          <w:rFonts w:ascii="Arial" w:cs="Arial" w:eastAsia="Arial" w:hAnsi="Arial"/>
          <w:sz w:val="18"/>
          <w:szCs w:val="18"/>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spacing w:after="0" w:line="186" w:lineRule="exact"/>
        <w:rPr>
          <w:rFonts w:ascii="Arial" w:cs="Arial" w:eastAsia="Arial" w:hAnsi="Arial"/>
          <w:sz w:val="18"/>
          <w:szCs w:val="18"/>
          <w:color w:val="auto"/>
        </w:rPr>
      </w:pPr>
    </w:p>
    <w:p>
      <w:pPr>
        <w:ind w:firstLine="436"/>
        <w:spacing w:after="0" w:line="270" w:lineRule="auto"/>
        <w:tabs>
          <w:tab w:leader="none" w:pos="83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Specific Waiver; Amendment</w:t>
      </w:r>
      <w:r>
        <w:rPr>
          <w:rFonts w:ascii="Arial" w:cs="Arial" w:eastAsia="Arial" w:hAnsi="Arial"/>
          <w:sz w:val="17"/>
          <w:szCs w:val="17"/>
          <w:color w:val="auto"/>
        </w:rPr>
        <w:t>. Except as otherwise provided herein or as specifically provided otherwise in any other Transaction Document with respect thereto, no amendment, waiver, consent, modification or termination of any provision of any Transaction Document shall be effective unless signed by each of the Company and the Purchaser. Any amendment, supplement or modification of or to any provision of any Transaction Document, any waiver of any provision of any Transaction Document and any consent to any departure by the Company or the Purchaser from the terms of any provision of any Transaction Document shall be effective only in the specific instance and for the specific purpose for which made or given. Except where notice is specifically required by this Agreement, no notice to or demand on the Company or the Purchaser in any case shall entitle the Company or the Purchaser to any other or further notice or demand in similar or other circumstances. Any investigation by or on behalf of any party shall not be deemed to constitute a waiver by the party taking such action of compliance with any representation, warranty, covenant or agreement contained herein.</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6"/>
          <w:szCs w:val="16"/>
          <w:b w:val="1"/>
          <w:bCs w:val="1"/>
          <w:u w:val="single" w:color="auto"/>
          <w:color w:val="auto"/>
        </w:rPr>
        <w:t>Binding Effect; Assignment</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63" w:lineRule="auto"/>
        <w:tabs>
          <w:tab w:leader="none" w:pos="8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be binding upon the Company, the Purchaser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83" w:lineRule="exact"/>
        <w:rPr>
          <w:rFonts w:ascii="Arial" w:cs="Arial" w:eastAsia="Arial" w:hAnsi="Arial"/>
          <w:sz w:val="18"/>
          <w:szCs w:val="18"/>
          <w:color w:val="auto"/>
        </w:rPr>
      </w:pPr>
    </w:p>
    <w:p>
      <w:pPr>
        <w:ind w:right="40" w:firstLine="436"/>
        <w:spacing w:after="0" w:line="273" w:lineRule="auto"/>
        <w:tabs>
          <w:tab w:leader="none" w:pos="83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Neither this Agreement nor any of the rights, interests or obligations hereunder shall be assigned, in whole or in part, by operation of Law or otherwise, by the Purchaser without the prior written consent of the Company (such consent not to be unreasonably withheld); </w:t>
      </w:r>
      <w:r>
        <w:rPr>
          <w:rFonts w:ascii="Arial" w:cs="Arial" w:eastAsia="Arial" w:hAnsi="Arial"/>
          <w:sz w:val="17"/>
          <w:szCs w:val="17"/>
          <w:i w:val="1"/>
          <w:iCs w:val="1"/>
          <w:color w:val="auto"/>
        </w:rPr>
        <w:t>provided</w:t>
      </w:r>
      <w:r>
        <w:rPr>
          <w:rFonts w:ascii="Arial" w:cs="Arial" w:eastAsia="Arial" w:hAnsi="Arial"/>
          <w:sz w:val="17"/>
          <w:szCs w:val="17"/>
          <w:color w:val="auto"/>
        </w:rPr>
        <w:t>, however, that a Purchaser may transfer or assign its rights hereunder in connection with the transfer of the Purchased Preferred Stock or the Warrants, each in accordance with the terms thereof, and subject to Purchaser providing written notice of any such assignment to the Company promptly after such assignment is effected and that the transferee agrees to assume all of the Purchaser’s rights and obligations in connection with such transfer and be bound by, and entitled to the benefits of, this Agreement as an original party hereto.</w:t>
      </w:r>
    </w:p>
    <w:p>
      <w:pPr>
        <w:spacing w:after="0" w:line="174"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 Except as set forth below, no public release or announcement concerning the transactions contemplated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by the Company or the Purchaser without the prior consent of the Company (in the case of a release or announcement by the Purchaser) or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Purchaser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Purchaser, as the case may be, shall allow the Purchaser or the Company, as applicable, to the extent reasonably practicable in the circumstances, reasonable time to comment on such release or announcement in advance of such issuance. The parties acknowledge that (i) as of 9:30 a.m. (New York time) on the trading day immediately following the date hereof, no Purchaser shall be in possession of any material, nonpublic information received from the Company or any of its respective officers, directors, employees or agents, with respect to the transactions contemplated hereby, and (ii) prior to such time the Company shall issue a press release or file a report on Form 8-K disclosing any material information required to comply with the preceding clause (i), and that, in addition, the Company will make such other filings and notices in the manner and time required by the Commission or Nasdaq with respect to such matters. The Company shall not, and shall cause each of its Subsidiaries and each of their respective officers, directors, employees and agents, not to, provide the Purchaser with any such material, nonpublic information regarding the Company or any of the Company Entities from and after the filing of the press release without the express written consent of the Purchaser. For the avoidance of doubt, following the issuance of such press release, this Agreement shall not prohibit the Purchaser from trading Common Stock as it sees fit.</w:t>
      </w:r>
    </w:p>
    <w:p>
      <w:pPr>
        <w:spacing w:after="0" w:line="164"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 xml:space="preserve">Section 8.07 </w:t>
      </w:r>
      <w:r>
        <w:rPr>
          <w:rFonts w:ascii="Arial" w:cs="Arial" w:eastAsia="Arial" w:hAnsi="Arial"/>
          <w:sz w:val="16"/>
          <w:szCs w:val="16"/>
          <w:b w:val="1"/>
          <w:bCs w:val="1"/>
          <w:u w:val="single" w:color="auto"/>
          <w:color w:val="auto"/>
        </w:rPr>
        <w:t>Communications</w:t>
      </w:r>
      <w:r>
        <w:rPr>
          <w:rFonts w:ascii="Arial" w:cs="Arial" w:eastAsia="Arial" w:hAnsi="Arial"/>
          <w:sz w:val="16"/>
          <w:szCs w:val="16"/>
          <w:color w:val="auto"/>
        </w:rPr>
        <w:t>. All notices and demands provided for hereunder shall be in writing and shall be given by registered or certified</w:t>
      </w:r>
      <w:r>
        <w:rPr>
          <w:rFonts w:ascii="Arial" w:cs="Arial" w:eastAsia="Arial" w:hAnsi="Arial"/>
          <w:sz w:val="16"/>
          <w:szCs w:val="16"/>
          <w:b w:val="1"/>
          <w:bCs w:val="1"/>
          <w:color w:val="auto"/>
        </w:rPr>
        <w:t xml:space="preserve"> </w:t>
      </w:r>
      <w:r>
        <w:rPr>
          <w:rFonts w:ascii="Arial" w:cs="Arial" w:eastAsia="Arial" w:hAnsi="Arial"/>
          <w:sz w:val="16"/>
          <w:szCs w:val="16"/>
          <w:color w:val="auto"/>
        </w:rPr>
        <w:t>mail, return receipt requested, telecopy, electronic mail, air courier guaranteeing overnight delivery or personal delivery to the following addresses</w:t>
      </w:r>
    </w:p>
    <w:p>
      <w:pPr>
        <w:spacing w:after="0" w:line="147"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to the Purchaser, to:</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Tia G. Lowe and Teddy Cummings</w:t>
      </w:r>
    </w:p>
    <w:p>
      <w:pPr>
        <w:spacing w:after="0" w:line="23" w:lineRule="exact"/>
        <w:rPr>
          <w:rFonts w:ascii="Arial" w:cs="Arial" w:eastAsia="Arial" w:hAnsi="Arial"/>
          <w:sz w:val="18"/>
          <w:szCs w:val="18"/>
          <w:color w:val="auto"/>
        </w:rPr>
      </w:pPr>
    </w:p>
    <w:p>
      <w:pPr>
        <w:ind w:left="980" w:right="7320"/>
        <w:spacing w:after="0" w:line="250" w:lineRule="auto"/>
        <w:rPr>
          <w:rFonts w:ascii="Arial" w:cs="Arial" w:eastAsia="Arial" w:hAnsi="Arial"/>
          <w:sz w:val="18"/>
          <w:szCs w:val="18"/>
          <w:color w:val="auto"/>
        </w:rPr>
      </w:pPr>
      <w:r>
        <w:rPr>
          <w:rFonts w:ascii="Arial" w:cs="Arial" w:eastAsia="Arial" w:hAnsi="Arial"/>
          <w:sz w:val="18"/>
          <w:szCs w:val="18"/>
          <w:color w:val="auto"/>
        </w:rPr>
        <w:t>Address: 1585 Broadway, 37th Floor New York, NY 10036</w:t>
      </w:r>
    </w:p>
    <w:p>
      <w:pPr>
        <w:ind w:left="980" w:right="4140"/>
        <w:spacing w:after="0" w:line="323" w:lineRule="auto"/>
        <w:rPr>
          <w:rFonts w:ascii="Arial" w:cs="Arial" w:eastAsia="Arial" w:hAnsi="Arial"/>
          <w:sz w:val="18"/>
          <w:szCs w:val="18"/>
          <w:color w:val="auto"/>
        </w:rPr>
      </w:pPr>
      <w:r>
        <w:rPr>
          <w:rFonts w:ascii="Arial" w:cs="Arial" w:eastAsia="Arial" w:hAnsi="Arial"/>
          <w:sz w:val="16"/>
          <w:szCs w:val="16"/>
          <w:color w:val="auto"/>
        </w:rPr>
        <w:t>Emails: Tia.Lowe@morganstanley.com; Teddy.Cummings@morganstanley.com; MSTacValueFundAdmin@sannegroup.com</w:t>
      </w:r>
    </w:p>
    <w:p>
      <w:pPr>
        <w:spacing w:after="0" w:line="13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Steven R. Shoemate</w:t>
      </w:r>
    </w:p>
    <w:p>
      <w:pPr>
        <w:spacing w:after="0" w:line="23" w:lineRule="exact"/>
        <w:rPr>
          <w:rFonts w:ascii="Arial" w:cs="Arial" w:eastAsia="Arial" w:hAnsi="Arial"/>
          <w:sz w:val="18"/>
          <w:szCs w:val="18"/>
          <w:color w:val="auto"/>
        </w:rPr>
      </w:pPr>
    </w:p>
    <w:p>
      <w:pPr>
        <w:ind w:left="980" w:right="7740"/>
        <w:spacing w:after="0" w:line="250" w:lineRule="auto"/>
        <w:rPr>
          <w:rFonts w:ascii="Arial" w:cs="Arial" w:eastAsia="Arial" w:hAnsi="Arial"/>
          <w:sz w:val="18"/>
          <w:szCs w:val="18"/>
          <w:color w:val="auto"/>
        </w:rPr>
      </w:pPr>
      <w:r>
        <w:rPr>
          <w:rFonts w:ascii="Arial" w:cs="Arial" w:eastAsia="Arial" w:hAnsi="Arial"/>
          <w:sz w:val="18"/>
          <w:szCs w:val="18"/>
          <w:color w:val="auto"/>
        </w:rPr>
        <w:t>Gibson, Dunn &amp; Crutcher LLP 200 Park Avenue</w:t>
      </w:r>
    </w:p>
    <w:p>
      <w:pPr>
        <w:ind w:left="980"/>
        <w:spacing w:after="0"/>
        <w:rPr>
          <w:rFonts w:ascii="Arial" w:cs="Arial" w:eastAsia="Arial" w:hAnsi="Arial"/>
          <w:sz w:val="18"/>
          <w:szCs w:val="18"/>
          <w:color w:val="auto"/>
        </w:rPr>
      </w:pPr>
      <w:r>
        <w:rPr>
          <w:rFonts w:ascii="Arial" w:cs="Arial" w:eastAsia="Arial" w:hAnsi="Arial"/>
          <w:sz w:val="18"/>
          <w:szCs w:val="18"/>
          <w:color w:val="auto"/>
        </w:rPr>
        <w:t>New York, NY 10166</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sshoemate@gibsondunn.com</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Matthew S. Heiter</w:t>
      </w:r>
    </w:p>
    <w:p>
      <w:pPr>
        <w:spacing w:after="0" w:line="23" w:lineRule="exact"/>
        <w:rPr>
          <w:rFonts w:ascii="Arial" w:cs="Arial" w:eastAsia="Arial" w:hAnsi="Arial"/>
          <w:sz w:val="18"/>
          <w:szCs w:val="18"/>
          <w:color w:val="auto"/>
        </w:rPr>
      </w:pPr>
    </w:p>
    <w:p>
      <w:pPr>
        <w:ind w:left="980" w:right="6100"/>
        <w:spacing w:after="0" w:line="250" w:lineRule="auto"/>
        <w:rPr>
          <w:rFonts w:ascii="Arial" w:cs="Arial" w:eastAsia="Arial" w:hAnsi="Arial"/>
          <w:sz w:val="18"/>
          <w:szCs w:val="18"/>
          <w:color w:val="auto"/>
        </w:rPr>
      </w:pPr>
      <w:r>
        <w:rPr>
          <w:rFonts w:ascii="Arial" w:cs="Arial" w:eastAsia="Arial" w:hAnsi="Arial"/>
          <w:sz w:val="18"/>
          <w:szCs w:val="18"/>
          <w:color w:val="auto"/>
        </w:rPr>
        <w:t>Senior Vice President, General Counsel and Secretary NN, Inc.</w:t>
      </w:r>
    </w:p>
    <w:p>
      <w:pPr>
        <w:ind w:left="980" w:right="7640"/>
        <w:spacing w:after="0" w:line="302" w:lineRule="auto"/>
        <w:rPr>
          <w:rFonts w:ascii="Arial" w:cs="Arial" w:eastAsia="Arial" w:hAnsi="Arial"/>
          <w:sz w:val="18"/>
          <w:szCs w:val="18"/>
          <w:color w:val="auto"/>
        </w:rPr>
      </w:pPr>
      <w:r>
        <w:rPr>
          <w:rFonts w:ascii="Arial" w:cs="Arial" w:eastAsia="Arial" w:hAnsi="Arial"/>
          <w:sz w:val="16"/>
          <w:szCs w:val="16"/>
          <w:color w:val="auto"/>
        </w:rPr>
        <w:t>6210 Ardrey Kell Road Charlotte, North Carolina 28277 Email: matt.heiter@nninc.com</w:t>
      </w:r>
    </w:p>
    <w:p>
      <w:pPr>
        <w:spacing w:after="0" w:line="15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Richard Mattern</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Bass, Berry &amp; Sims PLC</w:t>
      </w:r>
    </w:p>
    <w:p>
      <w:pPr>
        <w:spacing w:after="0" w:line="9" w:lineRule="exact"/>
        <w:rPr>
          <w:rFonts w:ascii="Arial" w:cs="Arial" w:eastAsia="Arial" w:hAnsi="Arial"/>
          <w:sz w:val="18"/>
          <w:szCs w:val="18"/>
          <w:color w:val="auto"/>
        </w:rPr>
      </w:pPr>
    </w:p>
    <w:p>
      <w:pPr>
        <w:ind w:left="980" w:right="7740"/>
        <w:spacing w:after="0" w:line="250" w:lineRule="auto"/>
        <w:rPr>
          <w:rFonts w:ascii="Arial" w:cs="Arial" w:eastAsia="Arial" w:hAnsi="Arial"/>
          <w:sz w:val="18"/>
          <w:szCs w:val="18"/>
          <w:color w:val="auto"/>
        </w:rPr>
      </w:pPr>
      <w:r>
        <w:rPr>
          <w:rFonts w:ascii="Arial" w:cs="Arial" w:eastAsia="Arial" w:hAnsi="Arial"/>
          <w:sz w:val="18"/>
          <w:szCs w:val="18"/>
          <w:color w:val="auto"/>
        </w:rPr>
        <w:t>100 Peabody Place, Suite 1300 Memphis, TN 38103</w:t>
      </w:r>
    </w:p>
    <w:p>
      <w:pPr>
        <w:ind w:left="980"/>
        <w:spacing w:after="0"/>
        <w:rPr>
          <w:rFonts w:ascii="Arial" w:cs="Arial" w:eastAsia="Arial" w:hAnsi="Arial"/>
          <w:sz w:val="18"/>
          <w:szCs w:val="18"/>
          <w:color w:val="auto"/>
        </w:rPr>
      </w:pPr>
      <w:r>
        <w:rPr>
          <w:rFonts w:ascii="Arial" w:cs="Arial" w:eastAsia="Arial" w:hAnsi="Arial"/>
          <w:sz w:val="18"/>
          <w:szCs w:val="18"/>
          <w:color w:val="auto"/>
        </w:rPr>
        <w:t>Email: rmattern@bassberry.com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72" w:name="page73"/>
    <w:bookmarkEnd w:id="72"/>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to such other address as the Company or the Purchaser may designate in writing. All notices and communications shall be deemed to have been duly given: at the time delivered by hand, if personally delivered; upon actual receipt if sent by certified or registered mail, return receipt requested, or regular mail, if mailed; upon actual receipt of the facsimile, if sent via facsimile; when sent, if sent by electronic mail prior to 5:00 pm New York time on a Business Day, or on the next succeeding Business Day, if not; and upon actual receipt when delivered to an air courier guaranteeing overnight delivery.</w:t>
      </w:r>
    </w:p>
    <w:p>
      <w:pPr>
        <w:spacing w:after="0" w:line="153"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Section 8.08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the other Transaction Documents and the other agreements and documents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in this Agreement or the other Transaction Documents with respect to the rights granted by the Company or any of its Affiliates or Subsidiaries or the Purchaser or any of their respective Affiliates. This Agreement, the other Transaction Documents and the other agreements and documents referred to herein or therein supersede all prior agreements and understandings among the parties with respect to such subject matter.</w:t>
      </w:r>
    </w:p>
    <w:p>
      <w:pPr>
        <w:spacing w:after="0" w:line="18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8.09 </w:t>
      </w: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color w:val="auto"/>
        </w:rPr>
        <w:t>. This Agreement, and all claims or causes of action (whether in contract or tort)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that would result in the application of the law of any other jurisdiction. Any action against any party relating to the foregoing shall be brought exclusively in the Delaware Court of Chancery (and if jurisdiction in the Delaware Court of Chancery shall be unavailable, in any federal or state court of competent jurisdiction located within the State of Delaware), and the parties hereto hereby irrevocably submit to the jurisdiction of such courts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2"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b w:val="1"/>
          <w:bCs w:val="1"/>
          <w:color w:val="auto"/>
        </w:rPr>
        <w:t xml:space="preserve">Section 8.10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THE PARTIES TO THIS AGREEMENT EACH HEREBY WAIVES, AND AGREES TO CAUSE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AND/OR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73" w:name="page74"/>
    <w:bookmarkEnd w:id="73"/>
    <w:p>
      <w:pPr>
        <w:ind w:left="440"/>
        <w:spacing w:after="0"/>
        <w:tabs>
          <w:tab w:leader="none" w:pos="1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8.11</w:t>
      </w:r>
      <w:r>
        <w:rPr>
          <w:sz w:val="20"/>
          <w:szCs w:val="20"/>
          <w:color w:val="auto"/>
        </w:rPr>
        <w:tab/>
      </w:r>
      <w:r>
        <w:rPr>
          <w:rFonts w:ascii="Arial" w:cs="Arial" w:eastAsia="Arial" w:hAnsi="Arial"/>
          <w:sz w:val="16"/>
          <w:szCs w:val="16"/>
          <w:b w:val="1"/>
          <w:bCs w:val="1"/>
          <w:u w:val="single" w:color="auto"/>
          <w:color w:val="auto"/>
        </w:rPr>
        <w:t>No Recourse Against Others</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89" w:lineRule="auto"/>
        <w:tabs>
          <w:tab w:leader="none" w:pos="8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Company and its Subsidiaries and the Purchaser. No Person other than the Company or the Purchaser, including no member, partner, stockholder, Affiliate, Subsidiary or Representative thereof, nor any member, partner, stockholder, Affiliate, Subsidiary or Representative of any of the foregoing,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of the Company and the Purchaser hereby waives and releases all such liabilities, claims, causes of action and obligations against any such third Person.</w:t>
      </w:r>
    </w:p>
    <w:p>
      <w:pPr>
        <w:spacing w:after="0" w:line="166" w:lineRule="exact"/>
        <w:rPr>
          <w:rFonts w:ascii="Arial" w:cs="Arial" w:eastAsia="Arial" w:hAnsi="Arial"/>
          <w:sz w:val="16"/>
          <w:szCs w:val="16"/>
          <w:color w:val="auto"/>
        </w:rPr>
      </w:pPr>
    </w:p>
    <w:p>
      <w:pPr>
        <w:ind w:right="40" w:firstLine="436"/>
        <w:spacing w:after="0" w:line="272" w:lineRule="auto"/>
        <w:tabs>
          <w:tab w:leader="none" w:pos="827"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Without limiting the foregoing, to the maximum extent permitted by Law, (i) each of the Company and its Subsidiaries on the one hand and the Purchaser on the other hereby waives and releases any and all rights, claims, demands or causes of action that may otherwise be available at law or in equity, or granted by statute, to avoid or disregard the entity form of the other or otherwise impose liability of the other on any third Person in respect of the transactions contemplated hereby, whether granted by statute or based on theories of equity, agency, control, instrumentality, alter ego, domination, sham, single business enterprise, piercing the veil, unfairness, undercapitalization or otherwise; and (ii) each of the Company and the Purchaser disclaims any reliance upon any third Person with respect to the performance of this Agreement or any representation or warranty made in, in connection with or as an inducement to this Agreement.</w:t>
      </w:r>
    </w:p>
    <w:p>
      <w:pPr>
        <w:spacing w:after="0" w:line="173"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color w:val="auto"/>
        </w:rPr>
        <w:t>. Nothing in this Agreement, express or implied, is intended to or shall confer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the Company and the Purchaser and their respective permitted assigns any rights or remedies hereunder. Notwithstanding the foregoing, the Agent is a third party beneficiary of, and may rely on, the representations and warranties of the Purchaser contained in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80"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8.13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counterparts, each of which counterparts, when so executed and delivered, shall be deemed to be an original and all of which counterparts, taken together, shall constitute but one and the same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0"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execute this Agreement, effective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NHTV Nevada Holdings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NHTV Nevada Holdings GP LLC, its general partner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North Haven Tactical Value Fund LP, its managing</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MS Tactical Value Fund GP LP, its general partner</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MS Tactical Value Fund GP Inc., its general partner</w:t>
      </w:r>
    </w:p>
    <w:p>
      <w:pPr>
        <w:spacing w:after="0" w:line="24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Teddy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Teddy Cummings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ectPr>
          <w:pgSz w:w="11900" w:h="16838" w:orient="portrait"/>
          <w:cols w:equalWidth="0" w:num="1">
            <w:col w:w="10320"/>
          </w:cols>
          <w:pgMar w:left="880" w:top="274" w:right="6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OBSERVER AGREEMENT</w:t>
      </w:r>
    </w:p>
    <w:p>
      <w:pPr>
        <w:spacing w:after="0" w:line="225"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BOARD OBSERVER AGREEMENT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22, 2021, by and among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NHTV Nevada Holdings LP LP (“</w:t>
      </w:r>
      <w:r>
        <w:rPr>
          <w:rFonts w:ascii="Arial" w:cs="Arial" w:eastAsia="Arial" w:hAnsi="Arial"/>
          <w:sz w:val="18"/>
          <w:szCs w:val="18"/>
          <w:u w:val="single" w:color="auto"/>
          <w:color w:val="auto"/>
        </w:rPr>
        <w:t>NHTV</w:t>
      </w:r>
      <w:r>
        <w:rPr>
          <w:rFonts w:ascii="Arial" w:cs="Arial" w:eastAsia="Arial" w:hAnsi="Arial"/>
          <w:sz w:val="18"/>
          <w:szCs w:val="18"/>
          <w:color w:val="auto"/>
        </w:rPr>
        <w:t>”).</w:t>
      </w:r>
    </w:p>
    <w:p>
      <w:pPr>
        <w:spacing w:after="0" w:line="162"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financing pursuant to that certain Securities Purchase Agreement, dated March 22, 2021, by and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NHTV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NHTV shall have the right to designate a non-voting board observer (an “</w:t>
      </w:r>
      <w:r>
        <w:rPr>
          <w:rFonts w:ascii="Arial" w:cs="Arial" w:eastAsia="Arial" w:hAnsi="Arial"/>
          <w:sz w:val="17"/>
          <w:szCs w:val="17"/>
          <w:u w:val="single" w:color="auto"/>
          <w:color w:val="auto"/>
        </w:rPr>
        <w:t>Observer</w:t>
      </w:r>
      <w:r>
        <w:rPr>
          <w:rFonts w:ascii="Arial" w:cs="Arial" w:eastAsia="Arial" w:hAnsi="Arial"/>
          <w:sz w:val="17"/>
          <w:szCs w:val="17"/>
          <w:color w:val="auto"/>
        </w:rPr>
        <w:t>”) to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any and all committees thereof (each a “</w:t>
      </w:r>
      <w:r>
        <w:rPr>
          <w:rFonts w:ascii="Arial" w:cs="Arial" w:eastAsia="Arial" w:hAnsi="Arial"/>
          <w:sz w:val="17"/>
          <w:szCs w:val="17"/>
          <w:u w:val="single" w:color="auto"/>
          <w:color w:val="auto"/>
        </w:rPr>
        <w:t>Committee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Committees</w:t>
      </w:r>
      <w:r>
        <w:rPr>
          <w:rFonts w:ascii="Arial" w:cs="Arial" w:eastAsia="Arial" w:hAnsi="Arial"/>
          <w:sz w:val="17"/>
          <w:szCs w:val="17"/>
          <w:color w:val="auto"/>
        </w:rPr>
        <w:t>”);</w:t>
      </w:r>
    </w:p>
    <w:p>
      <w:pPr>
        <w:spacing w:after="0" w:line="158"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Observer shall receive and be provided access to certain confidential and proprietary information, data and know-how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and prospective business of the Company and to existing or potential products, processes and services of the Company; and</w:t>
      </w:r>
    </w:p>
    <w:p>
      <w:pPr>
        <w:spacing w:after="0" w:line="11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maintain in confidence such information and NHTV recognizes the necessity of maintaining the strictest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with respect to the Company’s confidential information.</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and covenants herein, as well as other valuable consideration received,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274" w:lineRule="exact"/>
        <w:rPr>
          <w:sz w:val="20"/>
          <w:szCs w:val="20"/>
          <w:color w:val="auto"/>
        </w:rPr>
      </w:pPr>
    </w:p>
    <w:p>
      <w:pPr>
        <w:ind w:left="700" w:hanging="264"/>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Observer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287" w:lineRule="auto"/>
        <w:tabs>
          <w:tab w:leader="none" w:pos="1371" w:val="left"/>
        </w:tabs>
        <w:numPr>
          <w:ilvl w:val="1"/>
          <w:numId w:val="70"/>
        </w:numPr>
        <w:rPr>
          <w:rFonts w:ascii="Arial" w:cs="Arial" w:eastAsia="Arial" w:hAnsi="Arial"/>
          <w:sz w:val="16"/>
          <w:szCs w:val="16"/>
          <w:color w:val="auto"/>
        </w:rPr>
      </w:pPr>
      <w:r>
        <w:rPr>
          <w:rFonts w:ascii="Arial" w:cs="Arial" w:eastAsia="Arial" w:hAnsi="Arial"/>
          <w:sz w:val="16"/>
          <w:szCs w:val="16"/>
          <w:color w:val="auto"/>
        </w:rPr>
        <w:t>Beginning on the date hereof and ending on the date that NHTV no longer beneficially owns at least one third (1/3) of the outstanding shares of Series D Preferred Stock (as defined in the Purchase Agreement) (the “</w:t>
      </w:r>
      <w:r>
        <w:rPr>
          <w:rFonts w:ascii="Arial" w:cs="Arial" w:eastAsia="Arial" w:hAnsi="Arial"/>
          <w:sz w:val="16"/>
          <w:szCs w:val="16"/>
          <w:u w:val="single" w:color="auto"/>
          <w:color w:val="auto"/>
        </w:rPr>
        <w:t>Board Rights Termination Date</w:t>
      </w:r>
      <w:r>
        <w:rPr>
          <w:rFonts w:ascii="Arial" w:cs="Arial" w:eastAsia="Arial" w:hAnsi="Arial"/>
          <w:sz w:val="16"/>
          <w:szCs w:val="16"/>
          <w:color w:val="auto"/>
        </w:rPr>
        <w:t>” and such period from the date of this Agreement to the Board Rights Termination Date, the “</w:t>
      </w:r>
      <w:r>
        <w:rPr>
          <w:rFonts w:ascii="Arial" w:cs="Arial" w:eastAsia="Arial" w:hAnsi="Arial"/>
          <w:sz w:val="16"/>
          <w:szCs w:val="16"/>
          <w:u w:val="single" w:color="auto"/>
          <w:color w:val="auto"/>
        </w:rPr>
        <w:t>Observation Period</w:t>
      </w:r>
      <w:r>
        <w:rPr>
          <w:rFonts w:ascii="Arial" w:cs="Arial" w:eastAsia="Arial" w:hAnsi="Arial"/>
          <w:sz w:val="16"/>
          <w:szCs w:val="16"/>
          <w:color w:val="auto"/>
        </w:rPr>
        <w:t>”), NHTV shall have the right to designate, from time to time in its sole discretion, by written notice to the Board, an Observer to attend all meetings (including telephonic or videoconference meetings) of the Board and all Committees during the Observation Period in a non-voting, observer capacity. NHTV hereby designates Teddy Cummings to serve as the Observer until his/her successor shall have been designated by NHTV. The Observer may participate fully in discussions of all matters brought to the Board or Committee, as the case may be, for consideration, but in no event shall the Observer (i) be deemed to be a member of the Board or any Committee; (ii) have or be deemed to have, or otherwise be subject to, any duties (fiduciary or otherwise) to the Company or its stockholders; (iii) have the right to propose or offer any motions or resolutions to the Board or Committees; or (iv) have the right to vote on any matter under consideration by the Board or any Committee or otherwise have any power to cause the Company to take, or not to take, any action. The Company shall allow the Observer to attend Board or Committee meetings either in person or by telephone or electronic communication, as the Observer may elect in its sole discretion. The Observer’s presence shall not be required for purposes of establishing a quorum.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76" w:name="page77"/>
    <w:bookmarkEnd w:id="76"/>
    <w:p>
      <w:pPr>
        <w:ind w:left="4" w:firstLine="987"/>
        <w:spacing w:after="0" w:line="257" w:lineRule="auto"/>
        <w:tabs>
          <w:tab w:leader="none" w:pos="1382"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provide the Observer copies of all notices, minutes, consents and other materials that it provides to the members of the Board (or Committee, as applicable), except materials that relate to executive sessions of the Board (collectively, “</w:t>
      </w:r>
      <w:r>
        <w:rPr>
          <w:rFonts w:ascii="Arial" w:cs="Arial" w:eastAsia="Arial" w:hAnsi="Arial"/>
          <w:sz w:val="18"/>
          <w:szCs w:val="18"/>
          <w:u w:val="single" w:color="auto"/>
          <w:color w:val="auto"/>
        </w:rPr>
        <w:t>Board Materials</w:t>
      </w:r>
      <w:r>
        <w:rPr>
          <w:rFonts w:ascii="Arial" w:cs="Arial" w:eastAsia="Arial" w:hAnsi="Arial"/>
          <w:sz w:val="18"/>
          <w:szCs w:val="18"/>
          <w:color w:val="auto"/>
        </w:rPr>
        <w:t>”), including any draft versions, proposed written consents, and exhibits and annexes to any such materials, at the same time and in the same manner as such information is delivered to the Board members (or Committee members, as applicable), except to the extent the Observer has been excluded therefrom pursuant to clause (c) below.</w:t>
      </w:r>
    </w:p>
    <w:p>
      <w:pPr>
        <w:spacing w:after="0" w:line="187" w:lineRule="exact"/>
        <w:rPr>
          <w:rFonts w:ascii="Arial" w:cs="Arial" w:eastAsia="Arial" w:hAnsi="Arial"/>
          <w:sz w:val="18"/>
          <w:szCs w:val="18"/>
          <w:color w:val="auto"/>
        </w:rPr>
      </w:pPr>
    </w:p>
    <w:p>
      <w:pPr>
        <w:ind w:left="4" w:right="160" w:firstLine="987"/>
        <w:spacing w:after="0" w:line="285" w:lineRule="auto"/>
        <w:tabs>
          <w:tab w:leader="none" w:pos="1375"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Company may exclude the Observer from access to any Board Materials, meeting or portion thereof if the Board concludes, acting in good faith, upon advice of the Company’s counsel, that (i) such exclusion is reasonably necessary to preserve the attorney-client or work product privilege between the Company or its affiliates and its counsel;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exclusion shall only apply to such portion of such material or meeting which would be required to preserve such privilege; or (ii) such Board Materials or discussion relates to an existing or potential conflict of interest between the Company or any of its affiliates and NHTV affiliates; or</w:t>
      </w:r>
    </w:p>
    <w:p>
      <w:pPr>
        <w:spacing w:after="0" w:line="1" w:lineRule="exact"/>
        <w:rPr>
          <w:rFonts w:ascii="Arial" w:cs="Arial" w:eastAsia="Arial" w:hAnsi="Arial"/>
          <w:sz w:val="16"/>
          <w:szCs w:val="16"/>
          <w:color w:val="auto"/>
        </w:rPr>
      </w:pPr>
    </w:p>
    <w:p>
      <w:pPr>
        <w:ind w:left="4" w:right="180" w:hanging="4"/>
        <w:spacing w:after="0" w:line="302" w:lineRule="auto"/>
        <w:tabs>
          <w:tab w:leader="none" w:pos="3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such portion of a meeting is an executive session limited solely to independent director members of the Board, independent auditors and/or legal counsel, as the Board may designate, and the Observer (assuming such Observer were a member of the Board) would not meet the then-applicable standards for independence adopted by the Nasdaq Stock Market LLC, or such other exchange on which the Company’s securities are then traded.</w:t>
      </w:r>
    </w:p>
    <w:p>
      <w:pPr>
        <w:spacing w:after="0" w:line="155" w:lineRule="exact"/>
        <w:rPr>
          <w:rFonts w:ascii="Arial" w:cs="Arial" w:eastAsia="Arial" w:hAnsi="Arial"/>
          <w:sz w:val="16"/>
          <w:szCs w:val="16"/>
          <w:color w:val="auto"/>
        </w:rPr>
      </w:pPr>
    </w:p>
    <w:p>
      <w:pPr>
        <w:ind w:left="1384" w:hanging="393"/>
        <w:spacing w:after="0"/>
        <w:tabs>
          <w:tab w:leader="none" w:pos="1384"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From and after the Board Rights Termination Date, the rights of NHTV and its designated Observer provided in </w:t>
      </w:r>
      <w:r>
        <w:rPr>
          <w:rFonts w:ascii="Arial" w:cs="Arial" w:eastAsia="Arial" w:hAnsi="Arial"/>
          <w:sz w:val="16"/>
          <w:szCs w:val="16"/>
          <w:u w:val="single" w:color="auto"/>
          <w:color w:val="auto"/>
        </w:rPr>
        <w:t>Sections 1(a)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1(b)</w:t>
      </w:r>
      <w:r>
        <w:rPr>
          <w:rFonts w:ascii="Arial" w:cs="Arial" w:eastAsia="Arial" w:hAnsi="Arial"/>
          <w:sz w:val="18"/>
          <w:szCs w:val="18"/>
          <w:color w:val="auto"/>
        </w:rPr>
        <w:t xml:space="preserve"> shall cease.</w:t>
      </w:r>
    </w:p>
    <w:p>
      <w:pPr>
        <w:spacing w:after="0" w:line="319" w:lineRule="exact"/>
        <w:rPr>
          <w:sz w:val="20"/>
          <w:szCs w:val="20"/>
          <w:color w:val="auto"/>
        </w:rPr>
      </w:pPr>
    </w:p>
    <w:p>
      <w:pPr>
        <w:ind w:left="704" w:hanging="264"/>
        <w:spacing w:after="0"/>
        <w:tabs>
          <w:tab w:leader="none" w:pos="70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87"/>
        <w:spacing w:after="0" w:line="257" w:lineRule="auto"/>
        <w:tabs>
          <w:tab w:leader="none" w:pos="13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All information, including verbal information and written materials, provided to an Observer in accordance with </w:t>
      </w: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shall be treated as confidential and sensitive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and, prior to the Observer’s attendance at any Board or Committee meeting, the Board may elect to require the Observer to execute and deliver to the Company a confidentiality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NHTV shall be entitled to receive Confidential Information from the Observer and NHTV agrees not disclose any Confidential Information to any person, except that Confidential Information may be disclosed:</w:t>
      </w:r>
    </w:p>
    <w:p>
      <w:pPr>
        <w:spacing w:after="0" w:line="187" w:lineRule="exact"/>
        <w:rPr>
          <w:rFonts w:ascii="Arial" w:cs="Arial" w:eastAsia="Arial" w:hAnsi="Arial"/>
          <w:sz w:val="18"/>
          <w:szCs w:val="18"/>
          <w:color w:val="auto"/>
        </w:rPr>
      </w:pPr>
    </w:p>
    <w:p>
      <w:pPr>
        <w:ind w:left="4" w:right="20" w:firstLine="1428"/>
        <w:spacing w:after="0" w:line="279" w:lineRule="auto"/>
        <w:tabs>
          <w:tab w:leader="none" w:pos="1786" w:val="left"/>
        </w:tabs>
        <w:numPr>
          <w:ilvl w:val="2"/>
          <w:numId w:val="73"/>
        </w:numPr>
        <w:rPr>
          <w:rFonts w:ascii="Arial" w:cs="Arial" w:eastAsia="Arial" w:hAnsi="Arial"/>
          <w:sz w:val="17"/>
          <w:szCs w:val="17"/>
          <w:color w:val="auto"/>
        </w:rPr>
      </w:pPr>
      <w:r>
        <w:rPr>
          <w:rFonts w:ascii="Arial" w:cs="Arial" w:eastAsia="Arial" w:hAnsi="Arial"/>
          <w:sz w:val="17"/>
          <w:szCs w:val="17"/>
          <w:color w:val="auto"/>
        </w:rPr>
        <w:t>to NHTV’s partners, shareholders, members, directors, trustees, officers, employees, agents, counsel, accountants, consultants, investment advisers or other professionals or representatives, or its affiliates or wholly owned subsidiaries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in the normal course of the performance of their duties for NHTV (it being understood that such Representatives shall be informed by NHTV of the confidential nature of such information and shall be directed to treat such information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right="20" w:firstLine="1428"/>
        <w:spacing w:after="0" w:line="286" w:lineRule="auto"/>
        <w:tabs>
          <w:tab w:leader="none" w:pos="1836" w:val="left"/>
        </w:tabs>
        <w:numPr>
          <w:ilvl w:val="2"/>
          <w:numId w:val="73"/>
        </w:numPr>
        <w:rPr>
          <w:rFonts w:ascii="Arial" w:cs="Arial" w:eastAsia="Arial" w:hAnsi="Arial"/>
          <w:sz w:val="17"/>
          <w:szCs w:val="17"/>
          <w:color w:val="auto"/>
        </w:rPr>
      </w:pPr>
      <w:r>
        <w:rPr>
          <w:rFonts w:ascii="Arial" w:cs="Arial" w:eastAsia="Arial" w:hAnsi="Arial"/>
          <w:sz w:val="17"/>
          <w:szCs w:val="17"/>
          <w:color w:val="auto"/>
        </w:rPr>
        <w:t xml:space="preserve">to the extent requested or required by applicable law, rule or regulation; </w:t>
      </w:r>
      <w:r>
        <w:rPr>
          <w:rFonts w:ascii="Arial" w:cs="Arial" w:eastAsia="Arial" w:hAnsi="Arial"/>
          <w:sz w:val="17"/>
          <w:szCs w:val="17"/>
          <w:u w:val="single" w:color="auto"/>
          <w:color w:val="auto"/>
        </w:rPr>
        <w:t>provided</w:t>
      </w:r>
      <w:r>
        <w:rPr>
          <w:rFonts w:ascii="Arial" w:cs="Arial" w:eastAsia="Arial" w:hAnsi="Arial"/>
          <w:sz w:val="17"/>
          <w:szCs w:val="17"/>
          <w:color w:val="auto"/>
        </w:rPr>
        <w:t>, that NHTV shall give the Company prompt written notice of such request(s) (including if received by a Representative), to the extent permitted by applicable law, so that the Company may, at its sole expense, seek an appropriate protective order or similar relief (and NHTV or such Representative shall</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4"/>
          </w:cols>
          <w:pgMar w:left="436" w:top="274" w:right="559" w:bottom="1440" w:gutter="0" w:footer="0" w:header="0"/>
        </w:sectPr>
      </w:pPr>
    </w:p>
    <w:bookmarkStart w:id="77" w:name="page78"/>
    <w:bookmarkEnd w:id="77"/>
    <w:p>
      <w:pPr>
        <w:ind w:left="4"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cooperate with such efforts by the Company, and shall in any event make only the minimum disclosure required by such applicable law, rule or regulation and shall use commercially reasonable efforts to obtain an order or other reliable assurance that confidential treatment will be accorded to such information);</w:t>
      </w:r>
    </w:p>
    <w:p>
      <w:pPr>
        <w:spacing w:after="0" w:line="184" w:lineRule="exact"/>
        <w:rPr>
          <w:sz w:val="20"/>
          <w:szCs w:val="20"/>
          <w:color w:val="auto"/>
        </w:rPr>
      </w:pPr>
    </w:p>
    <w:p>
      <w:pPr>
        <w:ind w:left="4" w:right="100" w:firstLine="1428"/>
        <w:spacing w:after="0" w:line="301" w:lineRule="auto"/>
        <w:tabs>
          <w:tab w:leader="none" w:pos="1886" w:val="left"/>
        </w:tabs>
        <w:numPr>
          <w:ilvl w:val="2"/>
          <w:numId w:val="74"/>
        </w:numPr>
        <w:rPr>
          <w:rFonts w:ascii="Arial" w:cs="Arial" w:eastAsia="Arial" w:hAnsi="Arial"/>
          <w:sz w:val="16"/>
          <w:szCs w:val="16"/>
          <w:color w:val="auto"/>
        </w:rPr>
      </w:pPr>
      <w:r>
        <w:rPr>
          <w:rFonts w:ascii="Arial" w:cs="Arial" w:eastAsia="Arial" w:hAnsi="Arial"/>
          <w:sz w:val="16"/>
          <w:szCs w:val="16"/>
          <w:color w:val="auto"/>
        </w:rPr>
        <w:t xml:space="preserve">to any person to whom NHTV is contemplating a bona fide transfer of its equity securities of the Company permitted in accordance with the terms of the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is not prohibited from receiving such information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prior to such disclosure, such potential transferee is advised of the confidential nature of such information and executes a non-disclosure agreement in customary form (and otherwise containing confidentiality obligations no less restrictive than those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 w:right="80" w:firstLine="1428"/>
        <w:spacing w:after="0" w:line="263" w:lineRule="auto"/>
        <w:tabs>
          <w:tab w:leader="none" w:pos="1876"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any governmental, regulatory or self-regulatory authority or rating agency to which NHTV or any of its affiliates is subject or with which it has regular dealings in connection with any routine request of or any routine examination by such authority or agency, as long as such authority or agency is advised of the confidential nature of such information;</w:t>
      </w:r>
    </w:p>
    <w:p>
      <w:pPr>
        <w:spacing w:after="0" w:line="183" w:lineRule="exact"/>
        <w:rPr>
          <w:rFonts w:ascii="Arial" w:cs="Arial" w:eastAsia="Arial" w:hAnsi="Arial"/>
          <w:sz w:val="18"/>
          <w:szCs w:val="18"/>
          <w:color w:val="auto"/>
        </w:rPr>
      </w:pPr>
    </w:p>
    <w:p>
      <w:pPr>
        <w:ind w:left="4" w:right="60" w:firstLine="1428"/>
        <w:spacing w:after="0" w:line="296" w:lineRule="auto"/>
        <w:tabs>
          <w:tab w:leader="none" w:pos="1826" w:val="left"/>
        </w:tabs>
        <w:numPr>
          <w:ilvl w:val="2"/>
          <w:numId w:val="74"/>
        </w:numPr>
        <w:rPr>
          <w:rFonts w:ascii="Arial" w:cs="Arial" w:eastAsia="Arial" w:hAnsi="Arial"/>
          <w:sz w:val="16"/>
          <w:szCs w:val="16"/>
          <w:color w:val="auto"/>
        </w:rPr>
      </w:pPr>
      <w:r>
        <w:rPr>
          <w:rFonts w:ascii="Arial" w:cs="Arial" w:eastAsia="Arial" w:hAnsi="Arial"/>
          <w:sz w:val="16"/>
          <w:szCs w:val="16"/>
          <w:color w:val="auto"/>
        </w:rPr>
        <w:t xml:space="preserve">in connection with NHTV or NHTV’s affiliates’ normal fund raising, marketing, informational or reporting activities or to any bona fide prospective purchaser of the equity or assets of NHTV or NHTV’s affiliates, or prospective merger partner of NHTV or NHTV’s affiliates; </w:t>
      </w:r>
      <w:r>
        <w:rPr>
          <w:rFonts w:ascii="Arial" w:cs="Arial" w:eastAsia="Arial" w:hAnsi="Arial"/>
          <w:sz w:val="16"/>
          <w:szCs w:val="16"/>
          <w:i w:val="1"/>
          <w:iCs w:val="1"/>
          <w:color w:val="auto"/>
        </w:rPr>
        <w:t>provided</w:t>
      </w:r>
      <w:r>
        <w:rPr>
          <w:rFonts w:ascii="Arial" w:cs="Arial" w:eastAsia="Arial" w:hAnsi="Arial"/>
          <w:sz w:val="16"/>
          <w:szCs w:val="16"/>
          <w:color w:val="auto"/>
        </w:rPr>
        <w:t>, that prior to such disclosure the persons to whom such information is disclosed are advised of the confidential nature of such information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execute and deliver a non-disclosure agreement in customary form (and otherwise containing confidentiality obligations no less restrictive than those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or such person is otherwise bound by a legal or similar duty of confidentiality in respect of such information; or</w:t>
      </w:r>
    </w:p>
    <w:p>
      <w:pPr>
        <w:spacing w:after="0" w:line="161" w:lineRule="exact"/>
        <w:rPr>
          <w:rFonts w:ascii="Arial" w:cs="Arial" w:eastAsia="Arial" w:hAnsi="Arial"/>
          <w:sz w:val="16"/>
          <w:szCs w:val="16"/>
          <w:color w:val="auto"/>
        </w:rPr>
      </w:pPr>
    </w:p>
    <w:p>
      <w:pPr>
        <w:ind w:left="1864" w:hanging="432"/>
        <w:spacing w:after="0"/>
        <w:tabs>
          <w:tab w:leader="none" w:pos="1864" w:val="left"/>
        </w:tabs>
        <w:numPr>
          <w:ilvl w:val="2"/>
          <w:numId w:val="74"/>
        </w:numPr>
        <w:rPr>
          <w:rFonts w:ascii="Arial" w:cs="Arial" w:eastAsia="Arial" w:hAnsi="Arial"/>
          <w:sz w:val="18"/>
          <w:szCs w:val="18"/>
          <w:color w:val="auto"/>
        </w:rPr>
      </w:pPr>
      <w:r>
        <w:rPr>
          <w:rFonts w:ascii="Arial" w:cs="Arial" w:eastAsia="Arial" w:hAnsi="Arial"/>
          <w:sz w:val="18"/>
          <w:szCs w:val="18"/>
          <w:color w:val="auto"/>
        </w:rPr>
        <w:t>if the prior written consent of the Company shall have been obtained.</w:t>
      </w:r>
    </w:p>
    <w:p>
      <w:pPr>
        <w:spacing w:after="0" w:line="225" w:lineRule="exact"/>
        <w:rPr>
          <w:rFonts w:ascii="Arial" w:cs="Arial" w:eastAsia="Arial" w:hAnsi="Arial"/>
          <w:sz w:val="18"/>
          <w:szCs w:val="18"/>
          <w:color w:val="auto"/>
        </w:rPr>
      </w:pPr>
    </w:p>
    <w:p>
      <w:pPr>
        <w:ind w:left="4" w:firstLine="987"/>
        <w:spacing w:after="0" w:line="291" w:lineRule="auto"/>
        <w:tabs>
          <w:tab w:leader="none" w:pos="1385"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Nothing contained herein shall prevent the use (subject, to the extent possible, to a protective order) of Confidential Information in connection with the assertion or defense of any claim by or against the Company. The restrictions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terminate twenty-four</w:t>
      </w:r>
    </w:p>
    <w:p>
      <w:pPr>
        <w:ind w:left="4" w:hanging="4"/>
        <w:spacing w:after="0" w:line="260" w:lineRule="auto"/>
        <w:tabs>
          <w:tab w:leader="none" w:pos="3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months following the date on which NHTV ceases to own any shares of Common Stock (as defined in the Purchase Agreement) or any other shares of capital stock of the Company.</w:t>
      </w:r>
    </w:p>
    <w:p>
      <w:pPr>
        <w:spacing w:after="0" w:line="185" w:lineRule="exact"/>
        <w:rPr>
          <w:rFonts w:ascii="Arial" w:cs="Arial" w:eastAsia="Arial" w:hAnsi="Arial"/>
          <w:sz w:val="18"/>
          <w:szCs w:val="18"/>
          <w:color w:val="auto"/>
        </w:rPr>
      </w:pPr>
    </w:p>
    <w:p>
      <w:pPr>
        <w:ind w:left="4" w:right="40" w:firstLine="987"/>
        <w:spacing w:after="0" w:line="286" w:lineRule="auto"/>
        <w:tabs>
          <w:tab w:leader="none" w:pos="1375" w:val="left"/>
        </w:tabs>
        <w:numPr>
          <w:ilvl w:val="1"/>
          <w:numId w:val="76"/>
        </w:numPr>
        <w:rPr>
          <w:rFonts w:ascii="Arial" w:cs="Arial" w:eastAsia="Arial" w:hAnsi="Arial"/>
          <w:sz w:val="16"/>
          <w:szCs w:val="16"/>
          <w:color w:val="auto"/>
        </w:rPr>
      </w:pPr>
      <w:r>
        <w:rPr>
          <w:rFonts w:ascii="Arial" w:cs="Arial" w:eastAsia="Arial" w:hAnsi="Arial"/>
          <w:sz w:val="16"/>
          <w:szCs w:val="16"/>
          <w:color w:val="auto"/>
        </w:rPr>
        <w:t>Confidential Information, with respect to NHTV, does not include information that: (A) is or becomes generally available to the public (including as a result of any information filed or submitted by the Company with the Securities and Exchange Commission) other than as a result of a disclosure by NHTV or its Representatives in violation of any confidentiality provision of this Agreement or any other applicable agreement; (B) is or was available to NHTV or its Representatives on a non-confidential basis prior to its disclosure to NHTV or its Representatives by the Company; or</w:t>
      </w:r>
    </w:p>
    <w:p>
      <w:pPr>
        <w:spacing w:after="0" w:line="1" w:lineRule="exact"/>
        <w:rPr>
          <w:rFonts w:ascii="Arial" w:cs="Arial" w:eastAsia="Arial" w:hAnsi="Arial"/>
          <w:sz w:val="16"/>
          <w:szCs w:val="16"/>
          <w:color w:val="auto"/>
        </w:rPr>
      </w:pPr>
    </w:p>
    <w:p>
      <w:pPr>
        <w:jc w:val="both"/>
        <w:ind w:left="4" w:right="400"/>
        <w:spacing w:after="0" w:line="302" w:lineRule="auto"/>
        <w:rPr>
          <w:rFonts w:ascii="Arial" w:cs="Arial" w:eastAsia="Arial" w:hAnsi="Arial"/>
          <w:sz w:val="16"/>
          <w:szCs w:val="16"/>
          <w:color w:val="auto"/>
        </w:rPr>
      </w:pPr>
      <w:r>
        <w:rPr>
          <w:rFonts w:ascii="Arial" w:cs="Arial" w:eastAsia="Arial" w:hAnsi="Arial"/>
          <w:sz w:val="16"/>
          <w:szCs w:val="16"/>
          <w:color w:val="auto"/>
        </w:rPr>
        <w:t>(C) was or becomes available to NHTV or its Representatives on a non-confidential basis, in each case of (B) and (C), from a source other than the Company, which source is or was (at the time of receipt of the relevant information) not, to the best of NHTV’s or its Representatives’ knowledge, bound by a confidentiality agreement with (or other confidentiality obligation to) the Company or another person.</w:t>
      </w:r>
    </w:p>
    <w:p>
      <w:pPr>
        <w:spacing w:after="0" w:line="155" w:lineRule="exact"/>
        <w:rPr>
          <w:sz w:val="20"/>
          <w:szCs w:val="20"/>
          <w:color w:val="auto"/>
        </w:rPr>
      </w:pPr>
    </w:p>
    <w:p>
      <w:pPr>
        <w:ind w:left="4" w:right="100" w:firstLine="436"/>
        <w:spacing w:after="0" w:line="277" w:lineRule="auto"/>
        <w:tabs>
          <w:tab w:leader="none" w:pos="71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 responsible for any and all out-of-pocket expenses incurred in connection with the Observer’s attendance at Board and Committee meetings.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78" w:name="page79"/>
    <w:bookmarkEnd w:id="78"/>
    <w:p>
      <w:pPr>
        <w:ind w:left="700" w:hanging="26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259" w:lineRule="auto"/>
        <w:tabs>
          <w:tab w:leader="none" w:pos="1371"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provision of this Agreement shall be treated as a separate and independent clause, and the enforceability of any one clause shall in no way impair the enforceability of any other clauses herein. Moreover, if one or more of the provisions herein shall for any reason be held to be unenforceable, the appropriate judicial body shall construe such provision by limiting or reducing it or them, so as to be enforceable to the maximum extent compatible with the applicable law as it shall then appear.</w:t>
      </w:r>
    </w:p>
    <w:p>
      <w:pPr>
        <w:spacing w:after="0" w:line="186" w:lineRule="exact"/>
        <w:rPr>
          <w:rFonts w:ascii="Arial" w:cs="Arial" w:eastAsia="Arial" w:hAnsi="Arial"/>
          <w:sz w:val="18"/>
          <w:szCs w:val="18"/>
          <w:color w:val="auto"/>
        </w:rPr>
      </w:pPr>
    </w:p>
    <w:p>
      <w:pPr>
        <w:jc w:val="both"/>
        <w:ind w:right="20" w:firstLine="987"/>
        <w:spacing w:after="0" w:line="263" w:lineRule="auto"/>
        <w:tabs>
          <w:tab w:leader="none" w:pos="13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Agreement may not be amended, modified or waived except by a specific writing signed by both parties. Any waiver by NHTV or the Company of a breach of any provision of this Agreement shall not operate or be construed as a waiver of any subsequent breach of such provision or any other provision hereof.</w:t>
      </w:r>
    </w:p>
    <w:p>
      <w:pPr>
        <w:spacing w:after="0" w:line="183" w:lineRule="exact"/>
        <w:rPr>
          <w:rFonts w:ascii="Arial" w:cs="Arial" w:eastAsia="Arial" w:hAnsi="Arial"/>
          <w:sz w:val="18"/>
          <w:szCs w:val="18"/>
          <w:color w:val="auto"/>
        </w:rPr>
      </w:pPr>
    </w:p>
    <w:p>
      <w:pPr>
        <w:jc w:val="both"/>
        <w:ind w:right="60" w:firstLine="987"/>
        <w:spacing w:after="0" w:line="259" w:lineRule="auto"/>
        <w:tabs>
          <w:tab w:leader="none" w:pos="13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Agreement and all aspects of the relationship between the parties hereto shall be construed and enforced in accordance with and governed by the internal laws of the State of Delaware without regard to its conflict of laws provisions. Any claims or legal actions by one party against the other shall be commenced and maintained in any state or federal court located in the State of Delaware and both parties hereby submit to the exclusive jurisdiction and venue of any such court.</w:t>
      </w:r>
    </w:p>
    <w:p>
      <w:pPr>
        <w:spacing w:after="0" w:line="186" w:lineRule="exact"/>
        <w:rPr>
          <w:rFonts w:ascii="Arial" w:cs="Arial" w:eastAsia="Arial" w:hAnsi="Arial"/>
          <w:sz w:val="18"/>
          <w:szCs w:val="18"/>
          <w:color w:val="auto"/>
        </w:rPr>
      </w:pPr>
    </w:p>
    <w:p>
      <w:pPr>
        <w:ind w:firstLine="987"/>
        <w:spacing w:after="0" w:line="273" w:lineRule="auto"/>
        <w:tabs>
          <w:tab w:leader="none" w:pos="1378"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Company, on the one hand, and NHTV, on the other hand, each acknowledge and agree that monetary damages may not be a sufficient remedy for any breach (or threatened breach) of this Agreement by it and that, in the event of any breach or threatened breach hereof, (i) the non-breaching party shall have the right to seek immediate injunctive and other equitable relief, without proof of actual damages; (ii) the breaching party will not plead in defense thereto that there would be an adequate remedy at law; and (iii) the breaching party agrees to waive any applicable right or requirement that a bond be posted by the non-breaching party. Such remedies will not be the exclusive remedies for a breach of this Agreement, but will be in addition to all other remedies that may be available to the non-breaching party at law or in equity.</w:t>
      </w:r>
    </w:p>
    <w:p>
      <w:pPr>
        <w:spacing w:after="0" w:line="177" w:lineRule="exact"/>
        <w:rPr>
          <w:rFonts w:ascii="Arial" w:cs="Arial" w:eastAsia="Arial" w:hAnsi="Arial"/>
          <w:sz w:val="17"/>
          <w:szCs w:val="17"/>
          <w:color w:val="auto"/>
        </w:rPr>
      </w:pPr>
    </w:p>
    <w:p>
      <w:pPr>
        <w:ind w:firstLine="987"/>
        <w:spacing w:after="0" w:line="277" w:lineRule="auto"/>
        <w:tabs>
          <w:tab w:leader="none" w:pos="13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Agreement may be executed and delivered either originally or by facsimile and in counterparts, each of which shall constitute an original but taken together shall constitute one and the same instrument.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4(c)</w:t>
      </w:r>
      <w:r>
        <w:rPr>
          <w:rFonts w:ascii="Arial" w:cs="Arial" w:eastAsia="Arial" w:hAnsi="Arial"/>
          <w:sz w:val="18"/>
          <w:szCs w:val="18"/>
          <w:color w:val="auto"/>
        </w:rPr>
        <w:t xml:space="preserve">, </w:t>
      </w:r>
      <w:r>
        <w:rPr>
          <w:rFonts w:ascii="Arial" w:cs="Arial" w:eastAsia="Arial" w:hAnsi="Arial"/>
          <w:sz w:val="18"/>
          <w:szCs w:val="18"/>
          <w:u w:val="single" w:color="auto"/>
          <w:color w:val="auto"/>
        </w:rPr>
        <w:t>4(d)</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will survive termination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parties have executed this Board Observer Agreement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Secretary</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NHTV Nevada Holdings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NHTV Nevada Holdings GP LLC, its general partner</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North Haven Tactical Value Fund LP, its managing</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MS Tactical Value Fund GP LP, its general partner</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MS Tactical Value Fund GP Inc., its general partner</w:t>
      </w:r>
    </w:p>
    <w:p>
      <w:pPr>
        <w:spacing w:after="0" w:line="24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Teddy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Teddy Cummings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Signature Page to Board Observer Agreement</w:t>
      </w:r>
    </w:p>
    <w:p>
      <w:pPr>
        <w:sectPr>
          <w:pgSz w:w="11900" w:h="16838" w:orient="portrait"/>
          <w:cols w:equalWidth="0" w:num="1">
            <w:col w:w="10320"/>
          </w:cols>
          <w:pgMar w:left="880" w:top="270" w:right="699" w:bottom="1440" w:gutter="0" w:footer="0" w:header="0"/>
        </w:sectPr>
      </w:pPr>
    </w:p>
    <w:bookmarkStart w:id="80" w:name="page81"/>
    <w:bookmarkEnd w:id="80"/>
    <w:tbl>
      <w:tblPr>
        <w:tblLayout w:type="fixed"/>
        <w:tblInd w:w="4"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4"/>
              </w:rPr>
              <w:t>Exhibit A</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7420" w:type="dxa"/>
            <w:vAlign w:val="bottom"/>
            <w:gridSpan w:val="11"/>
          </w:tcPr>
          <w:p>
            <w:pPr>
              <w:jc w:val="center"/>
              <w:ind w:right="2400"/>
              <w:spacing w:after="0"/>
              <w:rPr>
                <w:sz w:val="20"/>
                <w:szCs w:val="20"/>
                <w:color w:val="auto"/>
              </w:rPr>
            </w:pPr>
            <w:r>
              <w:rPr>
                <w:rFonts w:ascii="Arial" w:cs="Arial" w:eastAsia="Arial" w:hAnsi="Arial"/>
                <w:sz w:val="18"/>
                <w:szCs w:val="18"/>
                <w:b w:val="1"/>
                <w:bCs w:val="1"/>
                <w:i w:val="1"/>
                <w:iCs w:val="1"/>
                <w:color w:val="auto"/>
                <w:w w:val="87"/>
              </w:rPr>
              <w:t>Form of Observer Confidentiality Agreement</w:t>
            </w:r>
          </w:p>
        </w:tc>
        <w:tc>
          <w:tcPr>
            <w:tcW w:w="54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5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rPr>
              <w:t>OBSERVER CONFIDENTIAL INFORMATION AGREEMENT</w:t>
            </w:r>
          </w:p>
        </w:tc>
        <w:tc>
          <w:tcPr>
            <w:tcW w:w="24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r>
      <w:tr>
        <w:trPr>
          <w:trHeight w:val="412"/>
        </w:trPr>
        <w:tc>
          <w:tcPr>
            <w:tcW w:w="10420" w:type="dxa"/>
            <w:vAlign w:val="bottom"/>
            <w:gridSpan w:val="12"/>
          </w:tcPr>
          <w:p>
            <w:pPr>
              <w:ind w:left="440"/>
              <w:spacing w:after="0"/>
              <w:rPr>
                <w:sz w:val="20"/>
                <w:szCs w:val="20"/>
                <w:color w:val="auto"/>
              </w:rPr>
            </w:pPr>
            <w:r>
              <w:rPr>
                <w:rFonts w:ascii="Arial" w:cs="Arial" w:eastAsia="Arial" w:hAnsi="Arial"/>
                <w:sz w:val="18"/>
                <w:szCs w:val="18"/>
                <w:color w:val="auto"/>
              </w:rPr>
              <w:t>THIS OBSERVER CONFIDENTIAL INFORMATION AGREEMENT (“Agreement”) is made and entered into as of the   day of</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 2021,</w:t>
            </w:r>
          </w:p>
        </w:tc>
      </w:tr>
      <w:tr>
        <w:trPr>
          <w:trHeight w:val="20"/>
        </w:trPr>
        <w:tc>
          <w:tcPr>
            <w:tcW w:w="4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800" w:type="dxa"/>
            <w:vAlign w:val="bottom"/>
            <w:gridSpan w:val="4"/>
          </w:tcPr>
          <w:p>
            <w:pPr>
              <w:spacing w:after="0" w:line="196" w:lineRule="exact"/>
              <w:rPr>
                <w:sz w:val="20"/>
                <w:szCs w:val="20"/>
                <w:color w:val="auto"/>
              </w:rPr>
            </w:pPr>
            <w:r>
              <w:rPr>
                <w:rFonts w:ascii="Arial" w:cs="Arial" w:eastAsia="Arial" w:hAnsi="Arial"/>
                <w:sz w:val="18"/>
                <w:szCs w:val="18"/>
                <w:color w:val="auto"/>
              </w:rPr>
              <w:t>by and between NN, Inc., a Delaware corporation (the “Company”) and</w:t>
            </w:r>
          </w:p>
        </w:tc>
        <w:tc>
          <w:tcPr>
            <w:tcW w:w="200" w:type="dxa"/>
            <w:vAlign w:val="bottom"/>
          </w:tcPr>
          <w:p>
            <w:pPr>
              <w:spacing w:after="0"/>
              <w:rPr>
                <w:sz w:val="17"/>
                <w:szCs w:val="17"/>
                <w:color w:val="auto"/>
              </w:rPr>
            </w:pPr>
          </w:p>
        </w:tc>
        <w:tc>
          <w:tcPr>
            <w:tcW w:w="4420" w:type="dxa"/>
            <w:vAlign w:val="bottom"/>
            <w:gridSpan w:val="7"/>
          </w:tcPr>
          <w:p>
            <w:pPr>
              <w:ind w:left="120"/>
              <w:spacing w:after="0" w:line="196" w:lineRule="exact"/>
              <w:rPr>
                <w:sz w:val="20"/>
                <w:szCs w:val="20"/>
                <w:color w:val="auto"/>
              </w:rPr>
            </w:pPr>
            <w:r>
              <w:rPr>
                <w:rFonts w:ascii="Arial" w:cs="Arial" w:eastAsia="Arial" w:hAnsi="Arial"/>
                <w:sz w:val="18"/>
                <w:szCs w:val="18"/>
                <w:color w:val="auto"/>
                <w:w w:val="93"/>
              </w:rPr>
              <w:t>(“Observer”; collectively with the Company, the “Parties”).</w:t>
            </w:r>
          </w:p>
        </w:tc>
        <w:tc>
          <w:tcPr>
            <w:tcW w:w="54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40" w:hanging="532"/>
        <w:spacing w:after="0" w:line="289" w:lineRule="auto"/>
        <w:tabs>
          <w:tab w:leader="none" w:pos="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The Observer hereby acknowledges and represents that he has had the opportunity to consult with independent legal counsel regarding his rights and obligations under this Agreement and that he fully understands the terms and conditions contained herein. The Observer agrees that he will not: (i) use, disclose, or reverse engineer the Confidential Information except as authorized by the Company Entities or as otherwise permitted herein or (ii) upon the Observer’s resignation or termination retain Confidential Information, including any copies existing in any form (including electronic form), that are in his possession or control (other than back-up copies of electronic files created in the ordinary course of business, which the Observer shall keep confidential in accordance with the terms of this Agreement for so long as they exist and remain Confidential Information, irrespective of the provisions of </w:t>
      </w:r>
      <w:r>
        <w:rPr>
          <w:rFonts w:ascii="Arial" w:cs="Arial" w:eastAsia="Arial" w:hAnsi="Arial"/>
          <w:sz w:val="16"/>
          <w:szCs w:val="16"/>
          <w:u w:val="single" w:color="auto"/>
          <w:color w:val="auto"/>
        </w:rPr>
        <w:t>Paragraph 5</w:t>
      </w:r>
      <w:r>
        <w:rPr>
          <w:rFonts w:ascii="Arial" w:cs="Arial" w:eastAsia="Arial" w:hAnsi="Arial"/>
          <w:sz w:val="16"/>
          <w:szCs w:val="16"/>
          <w:color w:val="auto"/>
        </w:rPr>
        <w:t>). Notwithstanding the foregoing, the Observer may use the Confidential Information in the course of performing his duties as Observer on behalf of NHTV Nevada Holdings LP (“</w:t>
      </w:r>
      <w:r>
        <w:rPr>
          <w:rFonts w:ascii="Arial" w:cs="Arial" w:eastAsia="Arial" w:hAnsi="Arial"/>
          <w:sz w:val="16"/>
          <w:szCs w:val="16"/>
          <w:u w:val="single" w:color="auto"/>
          <w:color w:val="auto"/>
        </w:rPr>
        <w:t>NHTV</w:t>
      </w:r>
      <w:r>
        <w:rPr>
          <w:rFonts w:ascii="Arial" w:cs="Arial" w:eastAsia="Arial" w:hAnsi="Arial"/>
          <w:sz w:val="16"/>
          <w:szCs w:val="16"/>
          <w:color w:val="auto"/>
        </w:rPr>
        <w:t>”) as described hereunder; provided, that such use is made in good faith.</w:t>
      </w:r>
    </w:p>
    <w:p>
      <w:pPr>
        <w:spacing w:after="0" w:line="71" w:lineRule="exact"/>
        <w:rPr>
          <w:rFonts w:ascii="Arial" w:cs="Arial" w:eastAsia="Arial" w:hAnsi="Arial"/>
          <w:sz w:val="16"/>
          <w:szCs w:val="16"/>
          <w:color w:val="auto"/>
        </w:rPr>
      </w:pPr>
    </w:p>
    <w:p>
      <w:pPr>
        <w:ind w:left="964" w:hanging="532"/>
        <w:spacing w:after="0" w:line="291" w:lineRule="auto"/>
        <w:tabs>
          <w:tab w:leader="none" w:pos="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the prior paragraph, the Parties acknowledge and agree that the Observer shall not be held criminally or civilly liable under trade secret law for the disclosure of a trade secret made in confidence to a government official, either directly or indirectly, or to an attorney solely for the purpose of reporting or investigating a suspected violation of law or made in a complaint or other document filed under seal in a lawsuit or other proceeding. Nothing in this Agreement prohibits the Observer from reporting possible violations of applicable laws or regulations to any applicable governmental agency or entity or from making other disclosures that are protected under the whistleblower provisions of federal law or regulation. The Observer does not need the prior authorization of the Company to make any such reports or disclosures, and the Observer is not required to notify the Company that the Observer has made such reports or disclosures.</w:t>
      </w:r>
    </w:p>
    <w:p>
      <w:pPr>
        <w:sectPr>
          <w:pgSz w:w="11900" w:h="16838" w:orient="portrait"/>
          <w:cols w:equalWidth="0" w:num="1">
            <w:col w:w="10964"/>
          </w:cols>
          <w:pgMar w:left="436" w:top="270" w:right="499" w:bottom="1440" w:gutter="0" w:footer="0" w:header="0"/>
        </w:sectPr>
      </w:pPr>
    </w:p>
    <w:bookmarkStart w:id="81" w:name="page82"/>
    <w:bookmarkEnd w:id="81"/>
    <w:p>
      <w:pPr>
        <w:ind w:left="532" w:right="120" w:hanging="532"/>
        <w:spacing w:after="0" w:line="273" w:lineRule="auto"/>
        <w:tabs>
          <w:tab w:leader="none" w:pos="532"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acknowledge and agree that the Company and NHTV are parties to that certain Board Observer Agreement, dated as of March 22, 2021 (the “</w:t>
      </w:r>
      <w:r>
        <w:rPr>
          <w:rFonts w:ascii="Arial" w:cs="Arial" w:eastAsia="Arial" w:hAnsi="Arial"/>
          <w:sz w:val="17"/>
          <w:szCs w:val="17"/>
          <w:u w:val="single" w:color="auto"/>
          <w:color w:val="auto"/>
        </w:rPr>
        <w:t>Observer Agreement</w:t>
      </w:r>
      <w:r>
        <w:rPr>
          <w:rFonts w:ascii="Arial" w:cs="Arial" w:eastAsia="Arial" w:hAnsi="Arial"/>
          <w:sz w:val="17"/>
          <w:szCs w:val="17"/>
          <w:color w:val="auto"/>
        </w:rPr>
        <w:t>”), pursuant to which “Confidential Information” (as defined in the Observer Agreement) may from time to time be provided or made available to NHTV on the terms and conditions of the Observer Agreement. Nothing contained in this Agreement shall be deemed to restrict or prohibit the disclosure or use by NHTV of any “Confidential Information” (as defined in the Observer Agreement) that has been provided or made available to NHTV pursuant to the Observer Agreement, provided that such disclosure or use is in accordance with the Observer Agreement.</w:t>
      </w:r>
    </w:p>
    <w:p>
      <w:pPr>
        <w:spacing w:after="0" w:line="83" w:lineRule="exact"/>
        <w:rPr>
          <w:rFonts w:ascii="Arial" w:cs="Arial" w:eastAsia="Arial" w:hAnsi="Arial"/>
          <w:sz w:val="17"/>
          <w:szCs w:val="17"/>
          <w:color w:val="auto"/>
        </w:rPr>
      </w:pPr>
    </w:p>
    <w:p>
      <w:pPr>
        <w:ind w:left="532" w:hanging="532"/>
        <w:spacing w:after="0"/>
        <w:tabs>
          <w:tab w:leader="none" w:pos="5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Entities</w:t>
      </w:r>
      <w:r>
        <w:rPr>
          <w:rFonts w:ascii="Arial" w:cs="Arial" w:eastAsia="Arial" w:hAnsi="Arial"/>
          <w:sz w:val="18"/>
          <w:szCs w:val="18"/>
          <w:color w:val="auto"/>
        </w:rPr>
        <w:t>” means the Company and its subsidiaries.</w:t>
      </w:r>
    </w:p>
    <w:p>
      <w:pPr>
        <w:spacing w:after="0" w:line="130" w:lineRule="exact"/>
        <w:rPr>
          <w:rFonts w:ascii="Arial" w:cs="Arial" w:eastAsia="Arial" w:hAnsi="Arial"/>
          <w:sz w:val="18"/>
          <w:szCs w:val="18"/>
          <w:color w:val="auto"/>
        </w:rPr>
      </w:pPr>
    </w:p>
    <w:p>
      <w:pPr>
        <w:ind w:left="532" w:hanging="532"/>
        <w:spacing w:after="0" w:line="285" w:lineRule="auto"/>
        <w:tabs>
          <w:tab w:leader="none" w:pos="532"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valuable and confidential materials and information (whether or not reduced to writing) that the Observer obtains or to which the Observer obtains access as a result of his activities as Observer, including, without limitation, the following: (a) any and all data, information, materials, systems, processes, procedures or intellectual property owned or used by the Company Entities (as defined in the Purchase Agreement) that is competitively sensitive and not generally known to the public, including, but not limited to, information relating to employees, customers, clients, vendors or suppliers; information provided to the Observer by any of the Company Entities’ employees, customers, vendors or suppliers; customer lists; any and all financial statements, budgets, projections and related data; information, processes, procedures or systems relating to research and development, engineering, legal matters, human resources, sourcing, operations, purchasing and manufacturing; business, marketing, advertising and sales plans or estimates; internal performance results; information relating to possible partnerships, joint ventures or acquisitions of a Party; contracts; business records, corporate books and other Company Entity-related records; (b) any creative, scientific or technical information, drawing, design, diagram, process, plan, method, or formula; and (c) all confidential or proprietary concepts (oral or written), documentation, reports, data, specifications, computer hardware or software, source code, object code, flow charts, databases, inventions, know-how, show how and trade secrets, which pertain to the Company Entities regardless of form and whether or not patented or patentable, copyrighted or able to be copyrighted or registered as a trademark or registrable as a trademark and all modifications, derivative works, enhancements and versions thereof. Confidential Information shall not include any information that (i) is or becomes generally available to the public other than as a result of a disclosure by the Observer, his agents or his representatives in violation of this Agreement, (ii) was available to the Observer on a non-confidential basis prior to its disclosure to the Observer by or on behalf of a Company Entity, (iii) is shown to have been</w:t>
      </w:r>
    </w:p>
    <w:p>
      <w:pPr>
        <w:sectPr>
          <w:pgSz w:w="11900" w:h="16838" w:orient="portrait"/>
          <w:cols w:equalWidth="0" w:num="1">
            <w:col w:w="10592"/>
          </w:cols>
          <w:pgMar w:left="868" w:top="274" w:right="439" w:bottom="1440" w:gutter="0" w:footer="0" w:header="0"/>
        </w:sectPr>
      </w:pPr>
    </w:p>
    <w:bookmarkStart w:id="82" w:name="page83"/>
    <w:bookmarkEnd w:id="82"/>
    <w:p>
      <w:pPr>
        <w:ind w:left="984"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independently developed and disclosed by the Observer or others without violating this Agreement or, to the best knowledge of the Observer after reasonable inquiry, the legal rights of a Company Entity or (iv) to the Observer’s actual knowledge otherwise enters the public domain not in violation of any duty or obligation of confidentiality in favor of a Company Entity.</w:t>
      </w:r>
    </w:p>
    <w:p>
      <w:pPr>
        <w:spacing w:after="0" w:line="67" w:lineRule="exact"/>
        <w:rPr>
          <w:sz w:val="20"/>
          <w:szCs w:val="20"/>
          <w:color w:val="auto"/>
        </w:rPr>
      </w:pPr>
    </w:p>
    <w:p>
      <w:pPr>
        <w:ind w:left="424" w:right="140" w:hanging="424"/>
        <w:spacing w:after="0" w:line="282"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shall be governed and construed in accordance with the laws of the State of Delaware applicable to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 not to be performed entirely within such state, without regard to conflicts of laws principles.</w:t>
      </w:r>
    </w:p>
    <w:p>
      <w:pPr>
        <w:spacing w:after="0" w:line="67"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JURY TRIAL WAIVER</w:t>
      </w:r>
      <w:r>
        <w:rPr>
          <w:rFonts w:ascii="Arial" w:cs="Arial" w:eastAsia="Arial" w:hAnsi="Arial"/>
          <w:sz w:val="18"/>
          <w:szCs w:val="18"/>
          <w:color w:val="auto"/>
        </w:rPr>
        <w:t>. THE OBSERVER HEREBY IRREVOCABLY WAIVES ALL RIGHT TO TRIAL BY JURY AND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OR COUNTERCLAIM (WHETHER BASED ON CONTRACT, TORT, OR OTHERWISE) ARISING OUT OF OR RELATING TO THIS AGREEMENT.</w:t>
      </w:r>
    </w:p>
    <w:p>
      <w:pPr>
        <w:spacing w:after="0" w:line="81" w:lineRule="exact"/>
        <w:rPr>
          <w:rFonts w:ascii="Arial" w:cs="Arial" w:eastAsia="Arial" w:hAnsi="Arial"/>
          <w:sz w:val="18"/>
          <w:szCs w:val="18"/>
          <w:color w:val="auto"/>
        </w:rPr>
      </w:pPr>
    </w:p>
    <w:p>
      <w:pPr>
        <w:ind w:left="424" w:right="20" w:hanging="424"/>
        <w:spacing w:after="0" w:line="266"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and supersede all previous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discussions, negotiations, and agreements, with respect to the subject matter herein. No other promises or inducements have been made or entered into by either Party.</w:t>
      </w:r>
    </w:p>
    <w:p>
      <w:pPr>
        <w:spacing w:after="0" w:line="81" w:lineRule="exact"/>
        <w:rPr>
          <w:rFonts w:ascii="Arial" w:cs="Arial" w:eastAsia="Arial" w:hAnsi="Arial"/>
          <w:sz w:val="18"/>
          <w:szCs w:val="18"/>
          <w:color w:val="auto"/>
        </w:rPr>
      </w:pPr>
    </w:p>
    <w:p>
      <w:pPr>
        <w:ind w:left="424" w:right="20" w:hanging="424"/>
        <w:spacing w:after="0" w:line="312"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provisions of this Agreement shall survive for a period of one (1) year following the termination of Observer’s service as Observer,</w:t>
      </w:r>
      <w:r>
        <w:rPr>
          <w:rFonts w:ascii="Arial" w:cs="Arial" w:eastAsia="Arial" w:hAnsi="Arial"/>
          <w:sz w:val="17"/>
          <w:szCs w:val="17"/>
          <w:b w:val="1"/>
          <w:bCs w:val="1"/>
          <w:color w:val="auto"/>
        </w:rPr>
        <w:t xml:space="preserve"> </w:t>
      </w:r>
      <w:r>
        <w:rPr>
          <w:rFonts w:ascii="Arial" w:cs="Arial" w:eastAsia="Arial" w:hAnsi="Arial"/>
          <w:sz w:val="17"/>
          <w:szCs w:val="17"/>
          <w:color w:val="auto"/>
        </w:rPr>
        <w:t>regardless of the reason, and the assignment of this Agreement by Company to any successor in interest or other assignee.</w:t>
      </w:r>
    </w:p>
    <w:p>
      <w:pPr>
        <w:sectPr>
          <w:pgSz w:w="11900" w:h="16838" w:orient="portrait"/>
          <w:cols w:equalWidth="0" w:num="1">
            <w:col w:w="10964"/>
          </w:cols>
          <w:pgMar w:left="436" w:top="274" w:right="499" w:bottom="1440" w:gutter="0" w:footer="0" w:header="0"/>
        </w:sectPr>
      </w:pPr>
    </w:p>
    <w:bookmarkStart w:id="83" w:name="page84"/>
    <w:bookmarkEnd w:id="8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296545</wp:posOffset>
            </wp:positionV>
            <wp:extent cx="27946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588010</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9019"/>
          </w:cols>
          <w:pgMar w:left="1440" w:top="274"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283210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March 22,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 and</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OAKTREE FUND ADMINISTRATION, LLC,</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245745</wp:posOffset>
            </wp:positionV>
            <wp:extent cx="699516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400" w:type="dxa"/>
            <w:vAlign w:val="bottom"/>
          </w:tcPr>
          <w:p>
            <w:pPr>
              <w:spacing w:after="0"/>
              <w:rPr>
                <w:sz w:val="24"/>
                <w:szCs w:val="24"/>
                <w:color w:val="auto"/>
              </w:rPr>
            </w:pPr>
          </w:p>
        </w:tc>
        <w:tc>
          <w:tcPr>
            <w:tcW w:w="8900" w:type="dxa"/>
            <w:vAlign w:val="bottom"/>
            <w:vMerge w:val="restart"/>
          </w:tcPr>
          <w:p>
            <w:pPr>
              <w:jc w:val="center"/>
              <w:ind w:left="1230"/>
              <w:spacing w:after="0"/>
              <w:rPr>
                <w:sz w:val="20"/>
                <w:szCs w:val="20"/>
                <w:color w:val="auto"/>
              </w:rPr>
            </w:pPr>
            <w:r>
              <w:rPr>
                <w:rFonts w:ascii="Arial" w:cs="Arial" w:eastAsia="Arial" w:hAnsi="Arial"/>
                <w:sz w:val="18"/>
                <w:szCs w:val="18"/>
                <w:color w:val="auto"/>
                <w:w w:val="99"/>
              </w:rPr>
              <w:t>ARTICLE I</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89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color w:val="auto"/>
                <w:w w:val="97"/>
              </w:rPr>
              <w:t>DEFINITIONS AND ACCOUNTING TERMS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jc w:val="right"/>
              <w:spacing w:after="0"/>
              <w:rPr>
                <w:sz w:val="20"/>
                <w:szCs w:val="20"/>
                <w:color w:val="auto"/>
              </w:rPr>
            </w:pPr>
            <w:r>
              <w:rPr>
                <w:rFonts w:ascii="Arial" w:cs="Arial" w:eastAsia="Arial" w:hAnsi="Arial"/>
                <w:sz w:val="18"/>
                <w:szCs w:val="18"/>
                <w:color w:val="auto"/>
                <w:w w:val="84"/>
              </w:rPr>
              <w:t>1.01.</w:t>
            </w:r>
          </w:p>
        </w:tc>
        <w:tc>
          <w:tcPr>
            <w:tcW w:w="890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1.02.</w:t>
            </w:r>
          </w:p>
        </w:tc>
        <w:tc>
          <w:tcPr>
            <w:tcW w:w="8900" w:type="dxa"/>
            <w:vAlign w:val="bottom"/>
          </w:tcPr>
          <w:p>
            <w:pPr>
              <w:ind w:left="60"/>
              <w:spacing w:after="0"/>
              <w:rPr>
                <w:sz w:val="20"/>
                <w:szCs w:val="20"/>
                <w:color w:val="auto"/>
              </w:rPr>
            </w:pPr>
            <w:r>
              <w:rPr>
                <w:rFonts w:ascii="Arial" w:cs="Arial" w:eastAsia="Arial" w:hAnsi="Arial"/>
                <w:sz w:val="18"/>
                <w:szCs w:val="18"/>
                <w:color w:val="auto"/>
              </w:rPr>
              <w:t>Other Interpretive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1.03.</w:t>
            </w:r>
          </w:p>
        </w:tc>
        <w:tc>
          <w:tcPr>
            <w:tcW w:w="890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1.04.</w:t>
            </w:r>
          </w:p>
        </w:tc>
        <w:tc>
          <w:tcPr>
            <w:tcW w:w="8900" w:type="dxa"/>
            <w:vAlign w:val="bottom"/>
          </w:tcPr>
          <w:p>
            <w:pPr>
              <w:ind w:left="60"/>
              <w:spacing w:after="0"/>
              <w:rPr>
                <w:sz w:val="20"/>
                <w:szCs w:val="20"/>
                <w:color w:val="auto"/>
              </w:rPr>
            </w:pPr>
            <w:r>
              <w:rPr>
                <w:rFonts w:ascii="Arial" w:cs="Arial" w:eastAsia="Arial" w:hAnsi="Arial"/>
                <w:sz w:val="18"/>
                <w:szCs w:val="18"/>
                <w:color w:val="auto"/>
              </w:rPr>
              <w:t>Rounding</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1.05.</w:t>
            </w:r>
          </w:p>
        </w:tc>
        <w:tc>
          <w:tcPr>
            <w:tcW w:w="8900" w:type="dxa"/>
            <w:vAlign w:val="bottom"/>
          </w:tcPr>
          <w:p>
            <w:pPr>
              <w:ind w:left="60"/>
              <w:spacing w:after="0"/>
              <w:rPr>
                <w:sz w:val="20"/>
                <w:szCs w:val="20"/>
                <w:color w:val="auto"/>
              </w:rPr>
            </w:pPr>
            <w:r>
              <w:rPr>
                <w:rFonts w:ascii="Arial" w:cs="Arial" w:eastAsia="Arial" w:hAnsi="Arial"/>
                <w:sz w:val="18"/>
                <w:szCs w:val="18"/>
                <w:color w:val="auto"/>
              </w:rPr>
              <w:t>Times of Day; Rates</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1.06.</w:t>
            </w:r>
          </w:p>
        </w:tc>
        <w:tc>
          <w:tcPr>
            <w:tcW w:w="8900" w:type="dxa"/>
            <w:vAlign w:val="bottom"/>
          </w:tcPr>
          <w:p>
            <w:pPr>
              <w:ind w:left="60"/>
              <w:spacing w:after="0"/>
              <w:rPr>
                <w:sz w:val="20"/>
                <w:szCs w:val="20"/>
                <w:color w:val="auto"/>
              </w:rPr>
            </w:pPr>
            <w:r>
              <w:rPr>
                <w:rFonts w:ascii="Arial" w:cs="Arial" w:eastAsia="Arial" w:hAnsi="Arial"/>
                <w:sz w:val="18"/>
                <w:szCs w:val="18"/>
                <w:color w:val="auto"/>
              </w:rPr>
              <w:t>Currency Equivalents Generally</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1.07.</w:t>
            </w:r>
          </w:p>
        </w:tc>
        <w:tc>
          <w:tcPr>
            <w:tcW w:w="8900" w:type="dxa"/>
            <w:vAlign w:val="bottom"/>
          </w:tcPr>
          <w:p>
            <w:pPr>
              <w:ind w:left="60"/>
              <w:spacing w:after="0"/>
              <w:rPr>
                <w:sz w:val="20"/>
                <w:szCs w:val="20"/>
                <w:color w:val="auto"/>
              </w:rPr>
            </w:pPr>
            <w:r>
              <w:rPr>
                <w:rFonts w:ascii="Arial" w:cs="Arial" w:eastAsia="Arial" w:hAnsi="Arial"/>
                <w:sz w:val="18"/>
                <w:szCs w:val="18"/>
                <w:color w:val="auto"/>
              </w:rPr>
              <w:t>Effect of Benchmark Transition Event</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1.08.</w:t>
            </w:r>
          </w:p>
        </w:tc>
        <w:tc>
          <w:tcPr>
            <w:tcW w:w="8900" w:type="dxa"/>
            <w:vAlign w:val="bottom"/>
          </w:tcPr>
          <w:p>
            <w:pPr>
              <w:ind w:left="60"/>
              <w:spacing w:after="0"/>
              <w:rPr>
                <w:sz w:val="20"/>
                <w:szCs w:val="20"/>
                <w:color w:val="auto"/>
              </w:rPr>
            </w:pPr>
            <w:r>
              <w:rPr>
                <w:rFonts w:ascii="Arial" w:cs="Arial" w:eastAsia="Arial" w:hAnsi="Arial"/>
                <w:sz w:val="18"/>
                <w:szCs w:val="18"/>
                <w:color w:val="auto"/>
              </w:rPr>
              <w:t>Divisions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color w:val="auto"/>
              </w:rPr>
              <w:t>ARTICLE II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color w:val="auto"/>
                <w:w w:val="97"/>
              </w:rPr>
              <w:t>THE COMMITMENTS AND BORROWINGS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w:t>
            </w:r>
          </w:p>
        </w:tc>
        <w:tc>
          <w:tcPr>
            <w:tcW w:w="8900" w:type="dxa"/>
            <w:vAlign w:val="bottom"/>
          </w:tcPr>
          <w:p>
            <w:pPr>
              <w:ind w:left="60"/>
              <w:spacing w:after="0"/>
              <w:rPr>
                <w:sz w:val="20"/>
                <w:szCs w:val="20"/>
                <w:color w:val="auto"/>
              </w:rPr>
            </w:pPr>
            <w:r>
              <w:rPr>
                <w:rFonts w:ascii="Arial" w:cs="Arial" w:eastAsia="Arial" w:hAnsi="Arial"/>
                <w:sz w:val="18"/>
                <w:szCs w:val="18"/>
                <w:color w:val="auto"/>
              </w:rPr>
              <w:t>The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2.02.</w:t>
            </w:r>
          </w:p>
        </w:tc>
        <w:tc>
          <w:tcPr>
            <w:tcW w:w="8900" w:type="dxa"/>
            <w:vAlign w:val="bottom"/>
          </w:tcPr>
          <w:p>
            <w:pPr>
              <w:ind w:left="60"/>
              <w:spacing w:after="0"/>
              <w:rPr>
                <w:sz w:val="20"/>
                <w:szCs w:val="20"/>
                <w:color w:val="auto"/>
              </w:rPr>
            </w:pPr>
            <w:r>
              <w:rPr>
                <w:rFonts w:ascii="Arial" w:cs="Arial" w:eastAsia="Arial" w:hAnsi="Arial"/>
                <w:sz w:val="18"/>
                <w:szCs w:val="18"/>
                <w:color w:val="auto"/>
              </w:rPr>
              <w:t>Borrowings, Conversions and Continuations of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2.03.</w:t>
            </w:r>
          </w:p>
        </w:tc>
        <w:tc>
          <w:tcPr>
            <w:tcW w:w="8900" w:type="dxa"/>
            <w:vAlign w:val="bottom"/>
          </w:tcPr>
          <w:p>
            <w:pPr>
              <w:ind w:left="60"/>
              <w:spacing w:after="0"/>
              <w:rPr>
                <w:sz w:val="20"/>
                <w:szCs w:val="20"/>
                <w:color w:val="auto"/>
              </w:rPr>
            </w:pPr>
            <w:r>
              <w:rPr>
                <w:rFonts w:ascii="Arial" w:cs="Arial" w:eastAsia="Arial" w:hAnsi="Arial"/>
                <w:sz w:val="18"/>
                <w:szCs w:val="18"/>
                <w:color w:val="auto"/>
              </w:rPr>
              <w:t>[Reserved]</w:t>
            </w:r>
          </w:p>
        </w:tc>
        <w:tc>
          <w:tcPr>
            <w:tcW w:w="1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2.04.</w:t>
            </w:r>
          </w:p>
        </w:tc>
        <w:tc>
          <w:tcPr>
            <w:tcW w:w="8900" w:type="dxa"/>
            <w:vAlign w:val="bottom"/>
          </w:tcPr>
          <w:p>
            <w:pPr>
              <w:ind w:left="60"/>
              <w:spacing w:after="0"/>
              <w:rPr>
                <w:sz w:val="20"/>
                <w:szCs w:val="20"/>
                <w:color w:val="auto"/>
              </w:rPr>
            </w:pPr>
            <w:r>
              <w:rPr>
                <w:rFonts w:ascii="Arial" w:cs="Arial" w:eastAsia="Arial" w:hAnsi="Arial"/>
                <w:sz w:val="18"/>
                <w:szCs w:val="18"/>
                <w:color w:val="auto"/>
              </w:rPr>
              <w:t>[Reserved]</w:t>
            </w:r>
          </w:p>
        </w:tc>
        <w:tc>
          <w:tcPr>
            <w:tcW w:w="1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2.05.</w:t>
            </w:r>
          </w:p>
        </w:tc>
        <w:tc>
          <w:tcPr>
            <w:tcW w:w="890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1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2.06.</w:t>
            </w:r>
          </w:p>
        </w:tc>
        <w:tc>
          <w:tcPr>
            <w:tcW w:w="8900" w:type="dxa"/>
            <w:vAlign w:val="bottom"/>
          </w:tcPr>
          <w:p>
            <w:pPr>
              <w:ind w:left="60"/>
              <w:spacing w:after="0"/>
              <w:rPr>
                <w:sz w:val="20"/>
                <w:szCs w:val="20"/>
                <w:color w:val="auto"/>
              </w:rPr>
            </w:pPr>
            <w:r>
              <w:rPr>
                <w:rFonts w:ascii="Arial" w:cs="Arial" w:eastAsia="Arial" w:hAnsi="Arial"/>
                <w:sz w:val="18"/>
                <w:szCs w:val="18"/>
                <w:color w:val="auto"/>
              </w:rPr>
              <w:t>[Reserved]</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2.07.</w:t>
            </w:r>
          </w:p>
        </w:tc>
        <w:tc>
          <w:tcPr>
            <w:tcW w:w="890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2.08.</w:t>
            </w:r>
          </w:p>
        </w:tc>
        <w:tc>
          <w:tcPr>
            <w:tcW w:w="8900" w:type="dxa"/>
            <w:vAlign w:val="bottom"/>
          </w:tcPr>
          <w:p>
            <w:pPr>
              <w:ind w:left="60"/>
              <w:spacing w:after="0"/>
              <w:rPr>
                <w:sz w:val="20"/>
                <w:szCs w:val="20"/>
                <w:color w:val="auto"/>
              </w:rPr>
            </w:pPr>
            <w:r>
              <w:rPr>
                <w:rFonts w:ascii="Arial" w:cs="Arial" w:eastAsia="Arial" w:hAnsi="Arial"/>
                <w:sz w:val="18"/>
                <w:szCs w:val="18"/>
                <w:color w:val="auto"/>
              </w:rPr>
              <w:t>Interest</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2.09.</w:t>
            </w:r>
          </w:p>
        </w:tc>
        <w:tc>
          <w:tcPr>
            <w:tcW w:w="8900" w:type="dxa"/>
            <w:vAlign w:val="bottom"/>
          </w:tcPr>
          <w:p>
            <w:pPr>
              <w:ind w:left="60"/>
              <w:spacing w:after="0"/>
              <w:rPr>
                <w:sz w:val="20"/>
                <w:szCs w:val="20"/>
                <w:color w:val="auto"/>
              </w:rPr>
            </w:pPr>
            <w:r>
              <w:rPr>
                <w:rFonts w:ascii="Arial" w:cs="Arial" w:eastAsia="Arial" w:hAnsi="Arial"/>
                <w:sz w:val="18"/>
                <w:szCs w:val="18"/>
                <w:color w:val="auto"/>
              </w:rPr>
              <w:t>Fees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2.10.</w:t>
            </w:r>
          </w:p>
        </w:tc>
        <w:tc>
          <w:tcPr>
            <w:tcW w:w="8900" w:type="dxa"/>
            <w:vAlign w:val="bottom"/>
          </w:tcPr>
          <w:p>
            <w:pPr>
              <w:ind w:left="6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79"/>
              </w:rPr>
              <w:t>2.11.</w:t>
            </w:r>
          </w:p>
        </w:tc>
        <w:tc>
          <w:tcPr>
            <w:tcW w:w="8900" w:type="dxa"/>
            <w:vAlign w:val="bottom"/>
          </w:tcPr>
          <w:p>
            <w:pPr>
              <w:ind w:left="60"/>
              <w:spacing w:after="0"/>
              <w:rPr>
                <w:sz w:val="20"/>
                <w:szCs w:val="20"/>
                <w:color w:val="auto"/>
              </w:rPr>
            </w:pPr>
            <w:r>
              <w:rPr>
                <w:rFonts w:ascii="Arial" w:cs="Arial" w:eastAsia="Arial" w:hAnsi="Arial"/>
                <w:sz w:val="18"/>
                <w:szCs w:val="18"/>
                <w:color w:val="auto"/>
              </w:rPr>
              <w:t>Evidence of Debt</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2.12.</w:t>
            </w:r>
          </w:p>
        </w:tc>
        <w:tc>
          <w:tcPr>
            <w:tcW w:w="8900" w:type="dxa"/>
            <w:vAlign w:val="bottom"/>
          </w:tcPr>
          <w:p>
            <w:pPr>
              <w:ind w:left="60"/>
              <w:spacing w:after="0"/>
              <w:rPr>
                <w:sz w:val="20"/>
                <w:szCs w:val="20"/>
                <w:color w:val="auto"/>
              </w:rPr>
            </w:pPr>
            <w:r>
              <w:rPr>
                <w:rFonts w:ascii="Arial" w:cs="Arial" w:eastAsia="Arial" w:hAnsi="Arial"/>
                <w:sz w:val="18"/>
                <w:szCs w:val="18"/>
                <w:color w:val="auto"/>
              </w:rPr>
              <w:t>Payments Generally; Administrative Agent’s Clawback</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2.13.</w:t>
            </w:r>
          </w:p>
        </w:tc>
        <w:tc>
          <w:tcPr>
            <w:tcW w:w="8900" w:type="dxa"/>
            <w:vAlign w:val="bottom"/>
          </w:tcPr>
          <w:p>
            <w:pPr>
              <w:ind w:left="60"/>
              <w:spacing w:after="0"/>
              <w:rPr>
                <w:sz w:val="20"/>
                <w:szCs w:val="20"/>
                <w:color w:val="auto"/>
              </w:rPr>
            </w:pPr>
            <w:r>
              <w:rPr>
                <w:rFonts w:ascii="Arial" w:cs="Arial" w:eastAsia="Arial" w:hAnsi="Arial"/>
                <w:sz w:val="18"/>
                <w:szCs w:val="18"/>
                <w:color w:val="auto"/>
              </w:rPr>
              <w:t>Sharing of Payments by Lenders</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2.14.</w:t>
            </w:r>
          </w:p>
        </w:tc>
        <w:tc>
          <w:tcPr>
            <w:tcW w:w="8900" w:type="dxa"/>
            <w:vAlign w:val="bottom"/>
          </w:tcPr>
          <w:p>
            <w:pPr>
              <w:ind w:left="60"/>
              <w:spacing w:after="0"/>
              <w:rPr>
                <w:sz w:val="20"/>
                <w:szCs w:val="20"/>
                <w:color w:val="auto"/>
              </w:rPr>
            </w:pPr>
            <w:r>
              <w:rPr>
                <w:rFonts w:ascii="Arial" w:cs="Arial" w:eastAsia="Arial" w:hAnsi="Arial"/>
                <w:sz w:val="18"/>
                <w:szCs w:val="18"/>
                <w:color w:val="auto"/>
              </w:rPr>
              <w:t>[Reserved]</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2.15.</w:t>
            </w:r>
          </w:p>
        </w:tc>
        <w:tc>
          <w:tcPr>
            <w:tcW w:w="890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2.16.</w:t>
            </w:r>
          </w:p>
        </w:tc>
        <w:tc>
          <w:tcPr>
            <w:tcW w:w="8900" w:type="dxa"/>
            <w:vAlign w:val="bottom"/>
          </w:tcPr>
          <w:p>
            <w:pPr>
              <w:ind w:left="60"/>
              <w:spacing w:after="0"/>
              <w:rPr>
                <w:sz w:val="20"/>
                <w:szCs w:val="20"/>
                <w:color w:val="auto"/>
              </w:rPr>
            </w:pPr>
            <w:r>
              <w:rPr>
                <w:rFonts w:ascii="Arial" w:cs="Arial" w:eastAsia="Arial" w:hAnsi="Arial"/>
                <w:sz w:val="18"/>
                <w:szCs w:val="18"/>
                <w:color w:val="auto"/>
              </w:rPr>
              <w:t>Incremental Credit Extensions</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8900" w:type="dxa"/>
            <w:vAlign w:val="bottom"/>
          </w:tcPr>
          <w:p>
            <w:pPr>
              <w:jc w:val="center"/>
              <w:ind w:left="1230"/>
              <w:spacing w:after="0"/>
              <w:rPr>
                <w:sz w:val="20"/>
                <w:szCs w:val="20"/>
                <w:color w:val="auto"/>
              </w:rPr>
            </w:pPr>
            <w:r>
              <w:rPr>
                <w:rFonts w:ascii="Arial" w:cs="Arial" w:eastAsia="Arial" w:hAnsi="Arial"/>
                <w:sz w:val="18"/>
                <w:szCs w:val="18"/>
                <w:color w:val="auto"/>
              </w:rPr>
              <w:t>ARTICLE III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900" w:type="dxa"/>
            <w:vAlign w:val="bottom"/>
          </w:tcPr>
          <w:p>
            <w:pPr>
              <w:jc w:val="center"/>
              <w:ind w:left="1230"/>
              <w:spacing w:after="0"/>
              <w:rPr>
                <w:sz w:val="20"/>
                <w:szCs w:val="20"/>
                <w:color w:val="auto"/>
              </w:rPr>
            </w:pPr>
            <w:r>
              <w:rPr>
                <w:rFonts w:ascii="Arial" w:cs="Arial" w:eastAsia="Arial" w:hAnsi="Arial"/>
                <w:sz w:val="18"/>
                <w:szCs w:val="18"/>
                <w:color w:val="auto"/>
                <w:w w:val="99"/>
              </w:rPr>
              <w:t>TAXES, YIELD PROTECTION AND ILLEGALITY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jc w:val="right"/>
              <w:spacing w:after="0"/>
              <w:rPr>
                <w:sz w:val="20"/>
                <w:szCs w:val="20"/>
                <w:color w:val="auto"/>
              </w:rPr>
            </w:pPr>
            <w:r>
              <w:rPr>
                <w:rFonts w:ascii="Arial" w:cs="Arial" w:eastAsia="Arial" w:hAnsi="Arial"/>
                <w:sz w:val="18"/>
                <w:szCs w:val="18"/>
                <w:color w:val="auto"/>
                <w:w w:val="84"/>
              </w:rPr>
              <w:t>3.01.</w:t>
            </w:r>
          </w:p>
        </w:tc>
        <w:tc>
          <w:tcPr>
            <w:tcW w:w="8900" w:type="dxa"/>
            <w:vAlign w:val="bottom"/>
          </w:tcPr>
          <w:p>
            <w:pPr>
              <w:ind w:left="60"/>
              <w:spacing w:after="0"/>
              <w:rPr>
                <w:sz w:val="20"/>
                <w:szCs w:val="20"/>
                <w:color w:val="auto"/>
              </w:rPr>
            </w:pPr>
            <w:r>
              <w:rPr>
                <w:rFonts w:ascii="Arial" w:cs="Arial" w:eastAsia="Arial" w:hAnsi="Arial"/>
                <w:sz w:val="18"/>
                <w:szCs w:val="18"/>
                <w:color w:val="auto"/>
              </w:rPr>
              <w:t>Taxes</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3.02.</w:t>
            </w:r>
          </w:p>
        </w:tc>
        <w:tc>
          <w:tcPr>
            <w:tcW w:w="890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3.03.</w:t>
            </w:r>
          </w:p>
        </w:tc>
        <w:tc>
          <w:tcPr>
            <w:tcW w:w="890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3.04.</w:t>
            </w:r>
          </w:p>
        </w:tc>
        <w:tc>
          <w:tcPr>
            <w:tcW w:w="8900" w:type="dxa"/>
            <w:vAlign w:val="bottom"/>
          </w:tcPr>
          <w:p>
            <w:pPr>
              <w:ind w:left="60"/>
              <w:spacing w:after="0"/>
              <w:rPr>
                <w:sz w:val="20"/>
                <w:szCs w:val="20"/>
                <w:color w:val="auto"/>
              </w:rPr>
            </w:pPr>
            <w:r>
              <w:rPr>
                <w:rFonts w:ascii="Arial" w:cs="Arial" w:eastAsia="Arial" w:hAnsi="Arial"/>
                <w:sz w:val="18"/>
                <w:szCs w:val="18"/>
                <w:color w:val="auto"/>
              </w:rPr>
              <w:t>Increased Costs; Reserves on Eurodollar Rate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3.05.</w:t>
            </w:r>
          </w:p>
        </w:tc>
        <w:tc>
          <w:tcPr>
            <w:tcW w:w="890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3.06.</w:t>
            </w:r>
          </w:p>
        </w:tc>
        <w:tc>
          <w:tcPr>
            <w:tcW w:w="8900" w:type="dxa"/>
            <w:vAlign w:val="bottom"/>
          </w:tcPr>
          <w:p>
            <w:pPr>
              <w:ind w:left="60"/>
              <w:spacing w:after="0"/>
              <w:rPr>
                <w:sz w:val="20"/>
                <w:szCs w:val="20"/>
                <w:color w:val="auto"/>
              </w:rPr>
            </w:pPr>
            <w:r>
              <w:rPr>
                <w:rFonts w:ascii="Arial" w:cs="Arial" w:eastAsia="Arial" w:hAnsi="Arial"/>
                <w:sz w:val="18"/>
                <w:szCs w:val="18"/>
                <w:color w:val="auto"/>
              </w:rPr>
              <w:t>Mitigation Obligations; Replacement of Lenders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3.07.</w:t>
            </w:r>
          </w:p>
        </w:tc>
        <w:tc>
          <w:tcPr>
            <w:tcW w:w="8900" w:type="dxa"/>
            <w:vAlign w:val="bottom"/>
          </w:tcPr>
          <w:p>
            <w:pPr>
              <w:ind w:left="60"/>
              <w:spacing w:after="0"/>
              <w:rPr>
                <w:sz w:val="20"/>
                <w:szCs w:val="20"/>
                <w:color w:val="auto"/>
              </w:rPr>
            </w:pPr>
            <w:r>
              <w:rPr>
                <w:rFonts w:ascii="Arial" w:cs="Arial" w:eastAsia="Arial" w:hAnsi="Arial"/>
                <w:sz w:val="18"/>
                <w:szCs w:val="18"/>
                <w:color w:val="auto"/>
              </w:rPr>
              <w:t>Survival</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8900" w:type="dxa"/>
            <w:vAlign w:val="bottom"/>
          </w:tcPr>
          <w:p>
            <w:pPr>
              <w:jc w:val="center"/>
              <w:ind w:left="1230"/>
              <w:spacing w:after="0"/>
              <w:rPr>
                <w:sz w:val="20"/>
                <w:szCs w:val="20"/>
                <w:color w:val="auto"/>
              </w:rPr>
            </w:pPr>
            <w:r>
              <w:rPr>
                <w:rFonts w:ascii="Arial" w:cs="Arial" w:eastAsia="Arial" w:hAnsi="Arial"/>
                <w:sz w:val="18"/>
                <w:szCs w:val="18"/>
                <w:color w:val="auto"/>
                <w:w w:val="99"/>
              </w:rPr>
              <w:t>ARTICLE IV</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color w:val="auto"/>
                <w:w w:val="96"/>
              </w:rPr>
              <w:t>CONDITIONS PRECEDENT TO CLOSING AND BORROWING</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jc w:val="right"/>
              <w:spacing w:after="0"/>
              <w:rPr>
                <w:sz w:val="20"/>
                <w:szCs w:val="20"/>
                <w:color w:val="auto"/>
              </w:rPr>
            </w:pPr>
            <w:r>
              <w:rPr>
                <w:rFonts w:ascii="Arial" w:cs="Arial" w:eastAsia="Arial" w:hAnsi="Arial"/>
                <w:sz w:val="18"/>
                <w:szCs w:val="18"/>
                <w:color w:val="auto"/>
                <w:w w:val="84"/>
              </w:rPr>
              <w:t>4.01.</w:t>
            </w:r>
          </w:p>
        </w:tc>
        <w:tc>
          <w:tcPr>
            <w:tcW w:w="8900" w:type="dxa"/>
            <w:vAlign w:val="bottom"/>
          </w:tcPr>
          <w:p>
            <w:pPr>
              <w:ind w:left="60"/>
              <w:spacing w:after="0"/>
              <w:rPr>
                <w:sz w:val="20"/>
                <w:szCs w:val="20"/>
                <w:color w:val="auto"/>
              </w:rPr>
            </w:pPr>
            <w:r>
              <w:rPr>
                <w:rFonts w:ascii="Arial" w:cs="Arial" w:eastAsia="Arial" w:hAnsi="Arial"/>
                <w:sz w:val="18"/>
                <w:szCs w:val="18"/>
                <w:color w:val="auto"/>
              </w:rPr>
              <w:t>Conditions of Closing and Initial Borrowing</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8900" w:type="dxa"/>
            <w:vAlign w:val="bottom"/>
          </w:tcPr>
          <w:p>
            <w:pPr>
              <w:jc w:val="center"/>
              <w:ind w:left="1210"/>
              <w:spacing w:after="0"/>
              <w:rPr>
                <w:sz w:val="20"/>
                <w:szCs w:val="20"/>
                <w:color w:val="auto"/>
              </w:rPr>
            </w:pPr>
            <w:r>
              <w:rPr>
                <w:rFonts w:ascii="Arial" w:cs="Arial" w:eastAsia="Arial" w:hAnsi="Arial"/>
                <w:sz w:val="18"/>
                <w:szCs w:val="18"/>
                <w:color w:val="auto"/>
                <w:w w:val="99"/>
              </w:rPr>
              <w:t>-i-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6" w:name="page87"/>
    <w:bookmarkEnd w:id="86"/>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400" w:type="dxa"/>
            <w:vAlign w:val="bottom"/>
          </w:tcPr>
          <w:p>
            <w:pPr>
              <w:spacing w:after="0"/>
              <w:rPr>
                <w:sz w:val="24"/>
                <w:szCs w:val="24"/>
                <w:color w:val="auto"/>
              </w:rPr>
            </w:pPr>
          </w:p>
        </w:tc>
        <w:tc>
          <w:tcPr>
            <w:tcW w:w="8500" w:type="dxa"/>
            <w:vAlign w:val="bottom"/>
          </w:tcPr>
          <w:p>
            <w:pPr>
              <w:jc w:val="center"/>
              <w:ind w:left="1610"/>
              <w:spacing w:after="0"/>
              <w:rPr>
                <w:sz w:val="20"/>
                <w:szCs w:val="20"/>
                <w:color w:val="auto"/>
              </w:rPr>
            </w:pPr>
            <w:r>
              <w:rPr>
                <w:rFonts w:ascii="Arial" w:cs="Arial" w:eastAsia="Arial" w:hAnsi="Arial"/>
                <w:sz w:val="18"/>
                <w:szCs w:val="18"/>
                <w:color w:val="auto"/>
                <w:w w:val="98"/>
              </w:rPr>
              <w:t>ARTICLE V</w:t>
            </w:r>
          </w:p>
        </w:tc>
        <w:tc>
          <w:tcPr>
            <w:tcW w:w="20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8500" w:type="dxa"/>
            <w:vAlign w:val="bottom"/>
          </w:tcPr>
          <w:p>
            <w:pPr>
              <w:jc w:val="center"/>
              <w:ind w:left="1610"/>
              <w:spacing w:after="0"/>
              <w:rPr>
                <w:sz w:val="20"/>
                <w:szCs w:val="20"/>
                <w:color w:val="auto"/>
              </w:rPr>
            </w:pPr>
            <w:r>
              <w:rPr>
                <w:rFonts w:ascii="Arial" w:cs="Arial" w:eastAsia="Arial" w:hAnsi="Arial"/>
                <w:sz w:val="18"/>
                <w:szCs w:val="18"/>
                <w:color w:val="auto"/>
                <w:w w:val="95"/>
              </w:rPr>
              <w:t>REPRESENTATIONS AND WARRANTIES</w:t>
            </w:r>
          </w:p>
        </w:tc>
        <w:tc>
          <w:tcPr>
            <w:tcW w:w="2060" w:type="dxa"/>
            <w:vAlign w:val="bottom"/>
          </w:tcPr>
          <w:p>
            <w:pPr>
              <w:spacing w:after="0"/>
              <w:rPr>
                <w:sz w:val="20"/>
                <w:szCs w:val="20"/>
                <w:color w:val="auto"/>
              </w:rPr>
            </w:pP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4"/>
              </w:rPr>
              <w:t>5.01.</w:t>
            </w:r>
          </w:p>
        </w:tc>
        <w:tc>
          <w:tcPr>
            <w:tcW w:w="8500" w:type="dxa"/>
            <w:vAlign w:val="bottom"/>
          </w:tcPr>
          <w:p>
            <w:pPr>
              <w:ind w:left="60"/>
              <w:spacing w:after="0"/>
              <w:rPr>
                <w:sz w:val="20"/>
                <w:szCs w:val="20"/>
                <w:color w:val="auto"/>
              </w:rPr>
            </w:pPr>
            <w:r>
              <w:rPr>
                <w:rFonts w:ascii="Arial" w:cs="Arial" w:eastAsia="Arial" w:hAnsi="Arial"/>
                <w:sz w:val="18"/>
                <w:szCs w:val="18"/>
                <w:color w:val="auto"/>
              </w:rPr>
              <w:t>Corporate Existence; Subsidiaries; Foreign Qualification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5.02.</w:t>
            </w:r>
          </w:p>
        </w:tc>
        <w:tc>
          <w:tcPr>
            <w:tcW w:w="8500" w:type="dxa"/>
            <w:vAlign w:val="bottom"/>
          </w:tcPr>
          <w:p>
            <w:pPr>
              <w:ind w:left="60"/>
              <w:spacing w:after="0"/>
              <w:rPr>
                <w:sz w:val="20"/>
                <w:szCs w:val="20"/>
                <w:color w:val="auto"/>
              </w:rPr>
            </w:pPr>
            <w:r>
              <w:rPr>
                <w:rFonts w:ascii="Arial" w:cs="Arial" w:eastAsia="Arial" w:hAnsi="Arial"/>
                <w:sz w:val="18"/>
                <w:szCs w:val="18"/>
                <w:color w:val="auto"/>
              </w:rPr>
              <w:t>Corporate Authority</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5.03.</w:t>
            </w:r>
          </w:p>
        </w:tc>
        <w:tc>
          <w:tcPr>
            <w:tcW w:w="8500" w:type="dxa"/>
            <w:vAlign w:val="bottom"/>
          </w:tcPr>
          <w:p>
            <w:pPr>
              <w:ind w:left="60"/>
              <w:spacing w:after="0"/>
              <w:rPr>
                <w:sz w:val="20"/>
                <w:szCs w:val="20"/>
                <w:color w:val="auto"/>
              </w:rPr>
            </w:pPr>
            <w:r>
              <w:rPr>
                <w:rFonts w:ascii="Arial" w:cs="Arial" w:eastAsia="Arial" w:hAnsi="Arial"/>
                <w:sz w:val="18"/>
                <w:szCs w:val="18"/>
                <w:color w:val="auto"/>
              </w:rPr>
              <w:t>Governmental Authorization; Other Consents</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5.04.</w:t>
            </w:r>
          </w:p>
        </w:tc>
        <w:tc>
          <w:tcPr>
            <w:tcW w:w="8500" w:type="dxa"/>
            <w:vAlign w:val="bottom"/>
          </w:tcPr>
          <w:p>
            <w:pPr>
              <w:ind w:left="60"/>
              <w:spacing w:after="0"/>
              <w:rPr>
                <w:sz w:val="20"/>
                <w:szCs w:val="20"/>
                <w:color w:val="auto"/>
              </w:rPr>
            </w:pPr>
            <w:r>
              <w:rPr>
                <w:rFonts w:ascii="Arial" w:cs="Arial" w:eastAsia="Arial" w:hAnsi="Arial"/>
                <w:sz w:val="18"/>
                <w:szCs w:val="18"/>
                <w:color w:val="auto"/>
              </w:rPr>
              <w:t>Litigation and Administrative Proceedings</w:t>
            </w: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5.05.</w:t>
            </w:r>
          </w:p>
        </w:tc>
        <w:tc>
          <w:tcPr>
            <w:tcW w:w="8500" w:type="dxa"/>
            <w:vAlign w:val="bottom"/>
          </w:tcPr>
          <w:p>
            <w:pPr>
              <w:ind w:left="60"/>
              <w:spacing w:after="0"/>
              <w:rPr>
                <w:sz w:val="20"/>
                <w:szCs w:val="20"/>
                <w:color w:val="auto"/>
              </w:rPr>
            </w:pPr>
            <w:r>
              <w:rPr>
                <w:rFonts w:ascii="Arial" w:cs="Arial" w:eastAsia="Arial" w:hAnsi="Arial"/>
                <w:sz w:val="18"/>
                <w:szCs w:val="18"/>
                <w:color w:val="auto"/>
              </w:rPr>
              <w:t>Title to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5.06.</w:t>
            </w:r>
          </w:p>
        </w:tc>
        <w:tc>
          <w:tcPr>
            <w:tcW w:w="8500" w:type="dxa"/>
            <w:vAlign w:val="bottom"/>
          </w:tcPr>
          <w:p>
            <w:pPr>
              <w:ind w:left="60"/>
              <w:spacing w:after="0"/>
              <w:rPr>
                <w:sz w:val="20"/>
                <w:szCs w:val="20"/>
                <w:color w:val="auto"/>
              </w:rPr>
            </w:pPr>
            <w:r>
              <w:rPr>
                <w:rFonts w:ascii="Arial" w:cs="Arial" w:eastAsia="Arial" w:hAnsi="Arial"/>
                <w:sz w:val="18"/>
                <w:szCs w:val="18"/>
                <w:color w:val="auto"/>
              </w:rPr>
              <w:t>Liens and Security Interests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5.07.</w:t>
            </w:r>
          </w:p>
        </w:tc>
        <w:tc>
          <w:tcPr>
            <w:tcW w:w="8500" w:type="dxa"/>
            <w:vAlign w:val="bottom"/>
          </w:tcPr>
          <w:p>
            <w:pPr>
              <w:ind w:left="60"/>
              <w:spacing w:after="0"/>
              <w:rPr>
                <w:sz w:val="20"/>
                <w:szCs w:val="20"/>
                <w:color w:val="auto"/>
              </w:rPr>
            </w:pPr>
            <w:r>
              <w:rPr>
                <w:rFonts w:ascii="Arial" w:cs="Arial" w:eastAsia="Arial" w:hAnsi="Arial"/>
                <w:sz w:val="18"/>
                <w:szCs w:val="18"/>
                <w:color w:val="auto"/>
              </w:rPr>
              <w:t>Tax Returns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5.08.</w:t>
            </w:r>
          </w:p>
        </w:tc>
        <w:tc>
          <w:tcPr>
            <w:tcW w:w="8500" w:type="dxa"/>
            <w:vAlign w:val="bottom"/>
          </w:tcPr>
          <w:p>
            <w:pPr>
              <w:ind w:left="60"/>
              <w:spacing w:after="0"/>
              <w:rPr>
                <w:sz w:val="20"/>
                <w:szCs w:val="20"/>
                <w:color w:val="auto"/>
              </w:rPr>
            </w:pPr>
            <w:r>
              <w:rPr>
                <w:rFonts w:ascii="Arial" w:cs="Arial" w:eastAsia="Arial" w:hAnsi="Arial"/>
                <w:sz w:val="18"/>
                <w:szCs w:val="18"/>
                <w:color w:val="auto"/>
              </w:rPr>
              <w:t>Environmental Laws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5.09.</w:t>
            </w:r>
          </w:p>
        </w:tc>
        <w:tc>
          <w:tcPr>
            <w:tcW w:w="8500" w:type="dxa"/>
            <w:vAlign w:val="bottom"/>
          </w:tcPr>
          <w:p>
            <w:pPr>
              <w:ind w:left="60"/>
              <w:spacing w:after="0"/>
              <w:rPr>
                <w:sz w:val="20"/>
                <w:szCs w:val="20"/>
                <w:color w:val="auto"/>
              </w:rPr>
            </w:pPr>
            <w:r>
              <w:rPr>
                <w:rFonts w:ascii="Arial" w:cs="Arial" w:eastAsia="Arial" w:hAnsi="Arial"/>
                <w:sz w:val="18"/>
                <w:szCs w:val="18"/>
                <w:color w:val="auto"/>
              </w:rPr>
              <w:t>Locations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5.10.</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79"/>
              </w:rPr>
              <w:t>5.11.</w:t>
            </w:r>
          </w:p>
        </w:tc>
        <w:tc>
          <w:tcPr>
            <w:tcW w:w="8500" w:type="dxa"/>
            <w:vAlign w:val="bottom"/>
          </w:tcPr>
          <w:p>
            <w:pPr>
              <w:ind w:left="60"/>
              <w:spacing w:after="0"/>
              <w:rPr>
                <w:sz w:val="20"/>
                <w:szCs w:val="20"/>
                <w:color w:val="auto"/>
              </w:rPr>
            </w:pPr>
            <w:r>
              <w:rPr>
                <w:rFonts w:ascii="Arial" w:cs="Arial" w:eastAsia="Arial" w:hAnsi="Arial"/>
                <w:sz w:val="18"/>
                <w:szCs w:val="18"/>
                <w:color w:val="auto"/>
              </w:rPr>
              <w:t>Employee Benefits Plans</w:t>
            </w:r>
          </w:p>
        </w:tc>
        <w:tc>
          <w:tcPr>
            <w:tcW w:w="2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5.12.</w:t>
            </w:r>
          </w:p>
        </w:tc>
        <w:tc>
          <w:tcPr>
            <w:tcW w:w="8500" w:type="dxa"/>
            <w:vAlign w:val="bottom"/>
          </w:tcPr>
          <w:p>
            <w:pPr>
              <w:ind w:left="60"/>
              <w:spacing w:after="0"/>
              <w:rPr>
                <w:sz w:val="20"/>
                <w:szCs w:val="20"/>
                <w:color w:val="auto"/>
              </w:rPr>
            </w:pPr>
            <w:r>
              <w:rPr>
                <w:rFonts w:ascii="Arial" w:cs="Arial" w:eastAsia="Arial" w:hAnsi="Arial"/>
                <w:sz w:val="18"/>
                <w:szCs w:val="18"/>
                <w:color w:val="auto"/>
              </w:rPr>
              <w:t>Consents or Approvals</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5.13.</w:t>
            </w:r>
          </w:p>
        </w:tc>
        <w:tc>
          <w:tcPr>
            <w:tcW w:w="8500" w:type="dxa"/>
            <w:vAlign w:val="bottom"/>
          </w:tcPr>
          <w:p>
            <w:pPr>
              <w:ind w:left="60"/>
              <w:spacing w:after="0"/>
              <w:rPr>
                <w:sz w:val="20"/>
                <w:szCs w:val="20"/>
                <w:color w:val="auto"/>
              </w:rPr>
            </w:pPr>
            <w:r>
              <w:rPr>
                <w:rFonts w:ascii="Arial" w:cs="Arial" w:eastAsia="Arial" w:hAnsi="Arial"/>
                <w:sz w:val="18"/>
                <w:szCs w:val="18"/>
                <w:color w:val="auto"/>
              </w:rPr>
              <w:t>Solvency</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5.14.</w:t>
            </w:r>
          </w:p>
        </w:tc>
        <w:tc>
          <w:tcPr>
            <w:tcW w:w="8500" w:type="dxa"/>
            <w:vAlign w:val="bottom"/>
          </w:tcPr>
          <w:p>
            <w:pPr>
              <w:ind w:left="60"/>
              <w:spacing w:after="0"/>
              <w:rPr>
                <w:sz w:val="20"/>
                <w:szCs w:val="20"/>
                <w:color w:val="auto"/>
              </w:rPr>
            </w:pPr>
            <w:r>
              <w:rPr>
                <w:rFonts w:ascii="Arial" w:cs="Arial" w:eastAsia="Arial" w:hAnsi="Arial"/>
                <w:sz w:val="18"/>
                <w:szCs w:val="18"/>
                <w:color w:val="auto"/>
              </w:rPr>
              <w:t>Financial Statements; No Material Adverse Effect</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5.15.</w:t>
            </w:r>
          </w:p>
        </w:tc>
        <w:tc>
          <w:tcPr>
            <w:tcW w:w="850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5.16.</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5.17.</w:t>
            </w:r>
          </w:p>
        </w:tc>
        <w:tc>
          <w:tcPr>
            <w:tcW w:w="850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5.18.</w:t>
            </w:r>
          </w:p>
        </w:tc>
        <w:tc>
          <w:tcPr>
            <w:tcW w:w="85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5.19.</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5.20.</w:t>
            </w:r>
          </w:p>
        </w:tc>
        <w:tc>
          <w:tcPr>
            <w:tcW w:w="850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5.21.</w:t>
            </w:r>
          </w:p>
        </w:tc>
        <w:tc>
          <w:tcPr>
            <w:tcW w:w="8500" w:type="dxa"/>
            <w:vAlign w:val="bottom"/>
          </w:tcPr>
          <w:p>
            <w:pPr>
              <w:ind w:left="60"/>
              <w:spacing w:after="0"/>
              <w:rPr>
                <w:sz w:val="20"/>
                <w:szCs w:val="20"/>
                <w:color w:val="auto"/>
              </w:rPr>
            </w:pPr>
            <w:r>
              <w:rPr>
                <w:rFonts w:ascii="Arial" w:cs="Arial" w:eastAsia="Arial" w:hAnsi="Arial"/>
                <w:sz w:val="18"/>
                <w:szCs w:val="18"/>
                <w:color w:val="auto"/>
              </w:rPr>
              <w:t>Sanctions; Anti-Money Laundering Laws; Anti-Corruption Laws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5.22.</w:t>
            </w:r>
          </w:p>
        </w:tc>
        <w:tc>
          <w:tcPr>
            <w:tcW w:w="8500" w:type="dxa"/>
            <w:vAlign w:val="bottom"/>
          </w:tcPr>
          <w:p>
            <w:pPr>
              <w:ind w:left="60"/>
              <w:spacing w:after="0"/>
              <w:rPr>
                <w:sz w:val="20"/>
                <w:szCs w:val="20"/>
                <w:color w:val="auto"/>
              </w:rPr>
            </w:pPr>
            <w:r>
              <w:rPr>
                <w:rFonts w:ascii="Arial" w:cs="Arial" w:eastAsia="Arial" w:hAnsi="Arial"/>
                <w:sz w:val="18"/>
                <w:szCs w:val="18"/>
                <w:color w:val="auto"/>
              </w:rPr>
              <w:t>Certain Treasury Regulation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5.23.</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5.24.</w:t>
            </w:r>
          </w:p>
        </w:tc>
        <w:tc>
          <w:tcPr>
            <w:tcW w:w="8500" w:type="dxa"/>
            <w:vAlign w:val="bottom"/>
          </w:tcPr>
          <w:p>
            <w:pPr>
              <w:ind w:left="60"/>
              <w:spacing w:after="0"/>
              <w:rPr>
                <w:sz w:val="20"/>
                <w:szCs w:val="20"/>
                <w:color w:val="auto"/>
              </w:rPr>
            </w:pPr>
            <w:r>
              <w:rPr>
                <w:rFonts w:ascii="Arial" w:cs="Arial" w:eastAsia="Arial" w:hAnsi="Arial"/>
                <w:sz w:val="18"/>
                <w:szCs w:val="18"/>
                <w:color w:val="auto"/>
              </w:rPr>
              <w:t>Accurate and Complete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5.25.</w:t>
            </w:r>
          </w:p>
        </w:tc>
        <w:tc>
          <w:tcPr>
            <w:tcW w:w="8500" w:type="dxa"/>
            <w:vAlign w:val="bottom"/>
          </w:tcPr>
          <w:p>
            <w:pPr>
              <w:ind w:left="60"/>
              <w:spacing w:after="0"/>
              <w:rPr>
                <w:sz w:val="20"/>
                <w:szCs w:val="20"/>
                <w:color w:val="auto"/>
              </w:rPr>
            </w:pPr>
            <w:r>
              <w:rPr>
                <w:rFonts w:ascii="Arial" w:cs="Arial" w:eastAsia="Arial" w:hAnsi="Arial"/>
                <w:sz w:val="18"/>
                <w:szCs w:val="18"/>
                <w:color w:val="auto"/>
              </w:rPr>
              <w:t>Investment Company</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5.26.</w:t>
            </w:r>
          </w:p>
        </w:tc>
        <w:tc>
          <w:tcPr>
            <w:tcW w:w="8500" w:type="dxa"/>
            <w:vAlign w:val="bottom"/>
          </w:tcPr>
          <w:p>
            <w:pPr>
              <w:ind w:left="60"/>
              <w:spacing w:after="0"/>
              <w:rPr>
                <w:sz w:val="20"/>
                <w:szCs w:val="20"/>
                <w:color w:val="auto"/>
              </w:rPr>
            </w:pPr>
            <w:r>
              <w:rPr>
                <w:rFonts w:ascii="Arial" w:cs="Arial" w:eastAsia="Arial" w:hAnsi="Arial"/>
                <w:sz w:val="18"/>
                <w:szCs w:val="18"/>
                <w:color w:val="auto"/>
              </w:rPr>
              <w:t>Defaults</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5.27.</w:t>
            </w:r>
          </w:p>
        </w:tc>
        <w:tc>
          <w:tcPr>
            <w:tcW w:w="8500" w:type="dxa"/>
            <w:vAlign w:val="bottom"/>
          </w:tcPr>
          <w:p>
            <w:pPr>
              <w:ind w:left="60"/>
              <w:spacing w:after="0"/>
              <w:rPr>
                <w:sz w:val="20"/>
                <w:szCs w:val="20"/>
                <w:color w:val="auto"/>
              </w:rPr>
            </w:pPr>
            <w:r>
              <w:rPr>
                <w:rFonts w:ascii="Arial" w:cs="Arial" w:eastAsia="Arial" w:hAnsi="Arial"/>
                <w:sz w:val="18"/>
                <w:szCs w:val="18"/>
                <w:color w:val="auto"/>
              </w:rPr>
              <w:t>Senior Debt Status</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400" w:type="dxa"/>
            <w:vAlign w:val="bottom"/>
          </w:tcPr>
          <w:p>
            <w:pPr>
              <w:spacing w:after="0"/>
              <w:rPr>
                <w:sz w:val="24"/>
                <w:szCs w:val="24"/>
                <w:color w:val="auto"/>
              </w:rPr>
            </w:pPr>
          </w:p>
        </w:tc>
        <w:tc>
          <w:tcPr>
            <w:tcW w:w="8500" w:type="dxa"/>
            <w:vAlign w:val="bottom"/>
          </w:tcPr>
          <w:p>
            <w:pPr>
              <w:jc w:val="center"/>
              <w:ind w:left="1630"/>
              <w:spacing w:after="0"/>
              <w:rPr>
                <w:sz w:val="20"/>
                <w:szCs w:val="20"/>
                <w:color w:val="auto"/>
              </w:rPr>
            </w:pPr>
            <w:r>
              <w:rPr>
                <w:rFonts w:ascii="Arial" w:cs="Arial" w:eastAsia="Arial" w:hAnsi="Arial"/>
                <w:sz w:val="18"/>
                <w:szCs w:val="18"/>
                <w:color w:val="auto"/>
                <w:w w:val="99"/>
              </w:rPr>
              <w:t>ARTICLE VI</w:t>
            </w:r>
          </w:p>
        </w:tc>
        <w:tc>
          <w:tcPr>
            <w:tcW w:w="20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8500" w:type="dxa"/>
            <w:vAlign w:val="bottom"/>
          </w:tcPr>
          <w:p>
            <w:pPr>
              <w:jc w:val="center"/>
              <w:ind w:left="1610"/>
              <w:spacing w:after="0"/>
              <w:rPr>
                <w:sz w:val="20"/>
                <w:szCs w:val="20"/>
                <w:color w:val="auto"/>
              </w:rPr>
            </w:pPr>
            <w:r>
              <w:rPr>
                <w:rFonts w:ascii="Arial" w:cs="Arial" w:eastAsia="Arial" w:hAnsi="Arial"/>
                <w:sz w:val="18"/>
                <w:szCs w:val="18"/>
                <w:color w:val="auto"/>
                <w:w w:val="98"/>
              </w:rPr>
              <w:t>AFFIRMATIVE COVENANTS</w:t>
            </w:r>
          </w:p>
        </w:tc>
        <w:tc>
          <w:tcPr>
            <w:tcW w:w="2060" w:type="dxa"/>
            <w:vAlign w:val="bottom"/>
          </w:tcPr>
          <w:p>
            <w:pPr>
              <w:spacing w:after="0"/>
              <w:rPr>
                <w:sz w:val="20"/>
                <w:szCs w:val="20"/>
                <w:color w:val="auto"/>
              </w:rPr>
            </w:pPr>
          </w:p>
        </w:tc>
      </w:tr>
      <w:tr>
        <w:trPr>
          <w:trHeight w:val="418"/>
        </w:trPr>
        <w:tc>
          <w:tcPr>
            <w:tcW w:w="400" w:type="dxa"/>
            <w:vAlign w:val="bottom"/>
          </w:tcPr>
          <w:p>
            <w:pPr>
              <w:jc w:val="right"/>
              <w:spacing w:after="0"/>
              <w:rPr>
                <w:sz w:val="20"/>
                <w:szCs w:val="20"/>
                <w:color w:val="auto"/>
              </w:rPr>
            </w:pPr>
            <w:r>
              <w:rPr>
                <w:rFonts w:ascii="Arial" w:cs="Arial" w:eastAsia="Arial" w:hAnsi="Arial"/>
                <w:sz w:val="18"/>
                <w:szCs w:val="18"/>
                <w:color w:val="auto"/>
                <w:w w:val="84"/>
              </w:rPr>
              <w:t>6.01.</w:t>
            </w:r>
          </w:p>
        </w:tc>
        <w:tc>
          <w:tcPr>
            <w:tcW w:w="85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6.02.</w:t>
            </w:r>
          </w:p>
        </w:tc>
        <w:tc>
          <w:tcPr>
            <w:tcW w:w="850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6.03.</w:t>
            </w:r>
          </w:p>
        </w:tc>
        <w:tc>
          <w:tcPr>
            <w:tcW w:w="8500" w:type="dxa"/>
            <w:vAlign w:val="bottom"/>
          </w:tcPr>
          <w:p>
            <w:pPr>
              <w:ind w:left="60"/>
              <w:spacing w:after="0"/>
              <w:rPr>
                <w:sz w:val="20"/>
                <w:szCs w:val="20"/>
                <w:color w:val="auto"/>
              </w:rPr>
            </w:pPr>
            <w:r>
              <w:rPr>
                <w:rFonts w:ascii="Arial" w:cs="Arial" w:eastAsia="Arial" w:hAnsi="Arial"/>
                <w:sz w:val="18"/>
                <w:szCs w:val="18"/>
                <w:color w:val="auto"/>
              </w:rPr>
              <w:t>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6.04.</w:t>
            </w:r>
          </w:p>
        </w:tc>
        <w:tc>
          <w:tcPr>
            <w:tcW w:w="8500" w:type="dxa"/>
            <w:vAlign w:val="bottom"/>
          </w:tcPr>
          <w:p>
            <w:pPr>
              <w:ind w:left="60"/>
              <w:spacing w:after="0"/>
              <w:rPr>
                <w:sz w:val="20"/>
                <w:szCs w:val="20"/>
                <w:color w:val="auto"/>
              </w:rPr>
            </w:pPr>
            <w:r>
              <w:rPr>
                <w:rFonts w:ascii="Arial" w:cs="Arial" w:eastAsia="Arial" w:hAnsi="Arial"/>
                <w:sz w:val="18"/>
                <w:szCs w:val="18"/>
                <w:color w:val="auto"/>
              </w:rPr>
              <w:t>Payment of Taxes and Other Obligations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6.05.</w:t>
            </w:r>
          </w:p>
        </w:tc>
        <w:tc>
          <w:tcPr>
            <w:tcW w:w="8500" w:type="dxa"/>
            <w:vAlign w:val="bottom"/>
          </w:tcPr>
          <w:p>
            <w:pPr>
              <w:ind w:left="60"/>
              <w:spacing w:after="0"/>
              <w:rPr>
                <w:sz w:val="20"/>
                <w:szCs w:val="20"/>
                <w:color w:val="auto"/>
              </w:rPr>
            </w:pPr>
            <w:r>
              <w:rPr>
                <w:rFonts w:ascii="Arial" w:cs="Arial" w:eastAsia="Arial" w:hAnsi="Arial"/>
                <w:sz w:val="18"/>
                <w:szCs w:val="18"/>
                <w:color w:val="auto"/>
              </w:rPr>
              <w:t>Preservation of Existence, Etc.</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6.06.</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6.07.</w:t>
            </w:r>
          </w:p>
        </w:tc>
        <w:tc>
          <w:tcPr>
            <w:tcW w:w="8500" w:type="dxa"/>
            <w:vAlign w:val="bottom"/>
          </w:tcPr>
          <w:p>
            <w:pPr>
              <w:ind w:left="60"/>
              <w:spacing w:after="0"/>
              <w:rPr>
                <w:sz w:val="20"/>
                <w:szCs w:val="20"/>
                <w:color w:val="auto"/>
              </w:rPr>
            </w:pPr>
            <w:r>
              <w:rPr>
                <w:rFonts w:ascii="Arial" w:cs="Arial" w:eastAsia="Arial" w:hAnsi="Arial"/>
                <w:sz w:val="18"/>
                <w:szCs w:val="18"/>
                <w:color w:val="auto"/>
              </w:rPr>
              <w:t>Maintenance of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6.08.</w:t>
            </w:r>
          </w:p>
        </w:tc>
        <w:tc>
          <w:tcPr>
            <w:tcW w:w="850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6.09.</w:t>
            </w:r>
          </w:p>
        </w:tc>
        <w:tc>
          <w:tcPr>
            <w:tcW w:w="850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6.10.</w:t>
            </w:r>
          </w:p>
        </w:tc>
        <w:tc>
          <w:tcPr>
            <w:tcW w:w="8500" w:type="dxa"/>
            <w:vAlign w:val="bottom"/>
          </w:tcPr>
          <w:p>
            <w:pPr>
              <w:ind w:left="60"/>
              <w:spacing w:after="0"/>
              <w:rPr>
                <w:sz w:val="20"/>
                <w:szCs w:val="20"/>
                <w:color w:val="auto"/>
              </w:rPr>
            </w:pPr>
            <w:r>
              <w:rPr>
                <w:rFonts w:ascii="Arial" w:cs="Arial" w:eastAsia="Arial" w:hAnsi="Arial"/>
                <w:sz w:val="18"/>
                <w:szCs w:val="18"/>
                <w:color w:val="auto"/>
              </w:rPr>
              <w:t>Inspection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79"/>
              </w:rPr>
              <w:t>6.11.</w:t>
            </w:r>
          </w:p>
        </w:tc>
        <w:tc>
          <w:tcPr>
            <w:tcW w:w="850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6.12.</w:t>
            </w:r>
          </w:p>
        </w:tc>
        <w:tc>
          <w:tcPr>
            <w:tcW w:w="8500" w:type="dxa"/>
            <w:vAlign w:val="bottom"/>
          </w:tcPr>
          <w:p>
            <w:pPr>
              <w:ind w:left="60"/>
              <w:spacing w:after="0"/>
              <w:rPr>
                <w:sz w:val="20"/>
                <w:szCs w:val="20"/>
                <w:color w:val="auto"/>
              </w:rPr>
            </w:pPr>
            <w:r>
              <w:rPr>
                <w:rFonts w:ascii="Arial" w:cs="Arial" w:eastAsia="Arial" w:hAnsi="Arial"/>
                <w:sz w:val="18"/>
                <w:szCs w:val="18"/>
                <w:color w:val="auto"/>
              </w:rPr>
              <w:t>Covenant to Guarantee Obligations and Give Security</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6.13.</w:t>
            </w:r>
          </w:p>
        </w:tc>
        <w:tc>
          <w:tcPr>
            <w:tcW w:w="8500" w:type="dxa"/>
            <w:vAlign w:val="bottom"/>
          </w:tcPr>
          <w:p>
            <w:pPr>
              <w:ind w:left="60"/>
              <w:spacing w:after="0"/>
              <w:rPr>
                <w:sz w:val="20"/>
                <w:szCs w:val="20"/>
                <w:color w:val="auto"/>
              </w:rPr>
            </w:pPr>
            <w:r>
              <w:rPr>
                <w:rFonts w:ascii="Arial" w:cs="Arial" w:eastAsia="Arial" w:hAnsi="Arial"/>
                <w:sz w:val="18"/>
                <w:szCs w:val="18"/>
                <w:color w:val="auto"/>
              </w:rPr>
              <w:t>Compliance with Environmental Laws</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6.14.</w:t>
            </w:r>
          </w:p>
        </w:tc>
        <w:tc>
          <w:tcPr>
            <w:tcW w:w="8500" w:type="dxa"/>
            <w:vAlign w:val="bottom"/>
          </w:tcPr>
          <w:p>
            <w:pPr>
              <w:ind w:left="60"/>
              <w:spacing w:after="0"/>
              <w:rPr>
                <w:sz w:val="20"/>
                <w:szCs w:val="20"/>
                <w:color w:val="auto"/>
              </w:rPr>
            </w:pPr>
            <w:r>
              <w:rPr>
                <w:rFonts w:ascii="Arial" w:cs="Arial" w:eastAsia="Arial" w:hAnsi="Arial"/>
                <w:sz w:val="18"/>
                <w:szCs w:val="18"/>
                <w:color w:val="auto"/>
              </w:rPr>
              <w:t>Regarding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6.15.</w:t>
            </w:r>
          </w:p>
        </w:tc>
        <w:tc>
          <w:tcPr>
            <w:tcW w:w="8500" w:type="dxa"/>
            <w:vAlign w:val="bottom"/>
          </w:tcPr>
          <w:p>
            <w:pPr>
              <w:ind w:left="6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4"/>
              </w:rPr>
              <w:t>6.16.</w:t>
            </w:r>
          </w:p>
        </w:tc>
        <w:tc>
          <w:tcPr>
            <w:tcW w:w="85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6.17.</w:t>
            </w:r>
          </w:p>
        </w:tc>
        <w:tc>
          <w:tcPr>
            <w:tcW w:w="8500" w:type="dxa"/>
            <w:vAlign w:val="bottom"/>
          </w:tcPr>
          <w:p>
            <w:pPr>
              <w:ind w:left="60"/>
              <w:spacing w:after="0"/>
              <w:rPr>
                <w:sz w:val="20"/>
                <w:szCs w:val="20"/>
                <w:color w:val="auto"/>
              </w:rPr>
            </w:pPr>
            <w:r>
              <w:rPr>
                <w:rFonts w:ascii="Arial" w:cs="Arial" w:eastAsia="Arial" w:hAnsi="Arial"/>
                <w:sz w:val="18"/>
                <w:szCs w:val="18"/>
                <w:color w:val="auto"/>
              </w:rPr>
              <w:t>Post-Closing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400" w:type="dxa"/>
            <w:vAlign w:val="bottom"/>
          </w:tcPr>
          <w:p>
            <w:pPr>
              <w:spacing w:after="0"/>
              <w:rPr>
                <w:sz w:val="24"/>
                <w:szCs w:val="24"/>
                <w:color w:val="auto"/>
              </w:rPr>
            </w:pPr>
          </w:p>
        </w:tc>
        <w:tc>
          <w:tcPr>
            <w:tcW w:w="8500" w:type="dxa"/>
            <w:vAlign w:val="bottom"/>
          </w:tcPr>
          <w:p>
            <w:pPr>
              <w:jc w:val="center"/>
              <w:ind w:left="1610"/>
              <w:spacing w:after="0"/>
              <w:rPr>
                <w:sz w:val="20"/>
                <w:szCs w:val="20"/>
                <w:color w:val="auto"/>
              </w:rPr>
            </w:pPr>
            <w:r>
              <w:rPr>
                <w:rFonts w:ascii="Arial" w:cs="Arial" w:eastAsia="Arial" w:hAnsi="Arial"/>
                <w:sz w:val="18"/>
                <w:szCs w:val="18"/>
                <w:color w:val="auto"/>
              </w:rPr>
              <w:t>ARTICLE VII</w:t>
            </w:r>
          </w:p>
        </w:tc>
        <w:tc>
          <w:tcPr>
            <w:tcW w:w="20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8500" w:type="dxa"/>
            <w:vAlign w:val="bottom"/>
          </w:tcPr>
          <w:p>
            <w:pPr>
              <w:jc w:val="center"/>
              <w:ind w:left="1630"/>
              <w:spacing w:after="0"/>
              <w:rPr>
                <w:sz w:val="20"/>
                <w:szCs w:val="20"/>
                <w:color w:val="auto"/>
              </w:rPr>
            </w:pPr>
            <w:r>
              <w:rPr>
                <w:rFonts w:ascii="Arial" w:cs="Arial" w:eastAsia="Arial" w:hAnsi="Arial"/>
                <w:sz w:val="18"/>
                <w:szCs w:val="18"/>
                <w:color w:val="auto"/>
                <w:w w:val="97"/>
              </w:rPr>
              <w:t>NEGATIVE COVENANTS</w:t>
            </w:r>
          </w:p>
        </w:tc>
        <w:tc>
          <w:tcPr>
            <w:tcW w:w="2060" w:type="dxa"/>
            <w:vAlign w:val="bottom"/>
          </w:tcPr>
          <w:p>
            <w:pPr>
              <w:spacing w:after="0"/>
              <w:rPr>
                <w:sz w:val="20"/>
                <w:szCs w:val="20"/>
                <w:color w:val="auto"/>
              </w:rPr>
            </w:pPr>
          </w:p>
        </w:tc>
      </w:tr>
      <w:tr>
        <w:trPr>
          <w:trHeight w:val="418"/>
        </w:trPr>
        <w:tc>
          <w:tcPr>
            <w:tcW w:w="400" w:type="dxa"/>
            <w:vAlign w:val="bottom"/>
          </w:tcPr>
          <w:p>
            <w:pPr>
              <w:jc w:val="right"/>
              <w:spacing w:after="0"/>
              <w:rPr>
                <w:sz w:val="20"/>
                <w:szCs w:val="20"/>
                <w:color w:val="auto"/>
              </w:rPr>
            </w:pPr>
            <w:r>
              <w:rPr>
                <w:rFonts w:ascii="Arial" w:cs="Arial" w:eastAsia="Arial" w:hAnsi="Arial"/>
                <w:sz w:val="18"/>
                <w:szCs w:val="18"/>
                <w:color w:val="auto"/>
                <w:w w:val="84"/>
              </w:rPr>
              <w:t>7.01.</w:t>
            </w:r>
          </w:p>
        </w:tc>
        <w:tc>
          <w:tcPr>
            <w:tcW w:w="8500" w:type="dxa"/>
            <w:vAlign w:val="bottom"/>
          </w:tcPr>
          <w:p>
            <w:pPr>
              <w:ind w:left="60"/>
              <w:spacing w:after="0"/>
              <w:rPr>
                <w:sz w:val="20"/>
                <w:szCs w:val="20"/>
                <w:color w:val="auto"/>
              </w:rPr>
            </w:pPr>
            <w:r>
              <w:rPr>
                <w:rFonts w:ascii="Arial" w:cs="Arial" w:eastAsia="Arial" w:hAnsi="Arial"/>
                <w:sz w:val="18"/>
                <w:szCs w:val="18"/>
                <w:color w:val="auto"/>
              </w:rPr>
              <w:t>Liens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7.02.</w:t>
            </w:r>
          </w:p>
        </w:tc>
        <w:tc>
          <w:tcPr>
            <w:tcW w:w="850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5" w:right="4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500" w:type="dxa"/>
            <w:vAlign w:val="bottom"/>
          </w:tcPr>
          <w:p>
            <w:pPr>
              <w:spacing w:after="0"/>
              <w:rPr>
                <w:sz w:val="20"/>
                <w:szCs w:val="20"/>
                <w:color w:val="auto"/>
              </w:rPr>
            </w:pPr>
            <w:r>
              <w:rPr>
                <w:rFonts w:ascii="Arial" w:cs="Arial" w:eastAsia="Arial" w:hAnsi="Arial"/>
                <w:sz w:val="18"/>
                <w:szCs w:val="18"/>
                <w:color w:val="auto"/>
              </w:rPr>
              <w:t>7.03.</w:t>
            </w:r>
          </w:p>
        </w:tc>
        <w:tc>
          <w:tcPr>
            <w:tcW w:w="8400" w:type="dxa"/>
            <w:vAlign w:val="bottom"/>
          </w:tcPr>
          <w:p>
            <w:pPr>
              <w:ind w:left="40"/>
              <w:spacing w:after="0"/>
              <w:rPr>
                <w:sz w:val="20"/>
                <w:szCs w:val="20"/>
                <w:color w:val="auto"/>
              </w:rPr>
            </w:pPr>
            <w:r>
              <w:rPr>
                <w:rFonts w:ascii="Arial" w:cs="Arial" w:eastAsia="Arial" w:hAnsi="Arial"/>
                <w:sz w:val="18"/>
                <w:szCs w:val="18"/>
                <w:color w:val="auto"/>
              </w:rPr>
              <w:t>Investments and Acquisitions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7.04.</w:t>
            </w:r>
          </w:p>
        </w:tc>
        <w:tc>
          <w:tcPr>
            <w:tcW w:w="8400" w:type="dxa"/>
            <w:vAlign w:val="bottom"/>
          </w:tcPr>
          <w:p>
            <w:pPr>
              <w:ind w:left="40"/>
              <w:spacing w:after="0"/>
              <w:rPr>
                <w:sz w:val="20"/>
                <w:szCs w:val="20"/>
                <w:color w:val="auto"/>
              </w:rPr>
            </w:pPr>
            <w:r>
              <w:rPr>
                <w:rFonts w:ascii="Arial" w:cs="Arial" w:eastAsia="Arial" w:hAnsi="Arial"/>
                <w:sz w:val="18"/>
                <w:szCs w:val="18"/>
                <w:color w:val="auto"/>
              </w:rPr>
              <w:t>Fundamental Changes</w:t>
            </w:r>
          </w:p>
        </w:tc>
        <w:tc>
          <w:tcPr>
            <w:tcW w:w="2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7.05.</w:t>
            </w:r>
          </w:p>
        </w:tc>
        <w:tc>
          <w:tcPr>
            <w:tcW w:w="840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7.06.</w:t>
            </w:r>
          </w:p>
        </w:tc>
        <w:tc>
          <w:tcPr>
            <w:tcW w:w="8400" w:type="dxa"/>
            <w:vAlign w:val="bottom"/>
          </w:tcPr>
          <w:p>
            <w:pPr>
              <w:ind w:left="40"/>
              <w:spacing w:after="0"/>
              <w:rPr>
                <w:sz w:val="20"/>
                <w:szCs w:val="20"/>
                <w:color w:val="auto"/>
              </w:rPr>
            </w:pPr>
            <w:r>
              <w:rPr>
                <w:rFonts w:ascii="Arial" w:cs="Arial" w:eastAsia="Arial" w:hAnsi="Arial"/>
                <w:sz w:val="18"/>
                <w:szCs w:val="18"/>
                <w:color w:val="auto"/>
              </w:rPr>
              <w:t>Restricted Payments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7.07.</w:t>
            </w:r>
          </w:p>
        </w:tc>
        <w:tc>
          <w:tcPr>
            <w:tcW w:w="8400" w:type="dxa"/>
            <w:vAlign w:val="bottom"/>
          </w:tcPr>
          <w:p>
            <w:pPr>
              <w:ind w:left="40"/>
              <w:spacing w:after="0"/>
              <w:rPr>
                <w:sz w:val="20"/>
                <w:szCs w:val="20"/>
                <w:color w:val="auto"/>
              </w:rPr>
            </w:pPr>
            <w:r>
              <w:rPr>
                <w:rFonts w:ascii="Arial" w:cs="Arial" w:eastAsia="Arial" w:hAnsi="Arial"/>
                <w:sz w:val="18"/>
                <w:szCs w:val="18"/>
                <w:color w:val="auto"/>
              </w:rPr>
              <w:t>Changes in the Nature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7.08.</w:t>
            </w:r>
          </w:p>
        </w:tc>
        <w:tc>
          <w:tcPr>
            <w:tcW w:w="840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7.09.</w:t>
            </w:r>
          </w:p>
        </w:tc>
        <w:tc>
          <w:tcPr>
            <w:tcW w:w="8400" w:type="dxa"/>
            <w:vAlign w:val="bottom"/>
          </w:tcPr>
          <w:p>
            <w:pPr>
              <w:ind w:left="40"/>
              <w:spacing w:after="0"/>
              <w:rPr>
                <w:sz w:val="20"/>
                <w:szCs w:val="20"/>
                <w:color w:val="auto"/>
              </w:rPr>
            </w:pPr>
            <w:r>
              <w:rPr>
                <w:rFonts w:ascii="Arial" w:cs="Arial" w:eastAsia="Arial" w:hAnsi="Arial"/>
                <w:sz w:val="18"/>
                <w:szCs w:val="18"/>
                <w:color w:val="auto"/>
              </w:rPr>
              <w:t>Burdensome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840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8400" w:type="dxa"/>
            <w:vAlign w:val="bottom"/>
          </w:tcPr>
          <w:p>
            <w:pPr>
              <w:ind w:left="40"/>
              <w:spacing w:after="0"/>
              <w:rPr>
                <w:sz w:val="20"/>
                <w:szCs w:val="20"/>
                <w:color w:val="auto"/>
              </w:rPr>
            </w:pPr>
            <w:r>
              <w:rPr>
                <w:rFonts w:ascii="Arial" w:cs="Arial" w:eastAsia="Arial" w:hAnsi="Arial"/>
                <w:sz w:val="18"/>
                <w:szCs w:val="18"/>
                <w:color w:val="auto"/>
              </w:rPr>
              <w:t>Amendments to Organization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7.12.</w:t>
            </w:r>
          </w:p>
        </w:tc>
        <w:tc>
          <w:tcPr>
            <w:tcW w:w="8400" w:type="dxa"/>
            <w:vAlign w:val="bottom"/>
          </w:tcPr>
          <w:p>
            <w:pPr>
              <w:ind w:left="40"/>
              <w:spacing w:after="0"/>
              <w:rPr>
                <w:sz w:val="20"/>
                <w:szCs w:val="20"/>
                <w:color w:val="auto"/>
              </w:rPr>
            </w:pPr>
            <w:r>
              <w:rPr>
                <w:rFonts w:ascii="Arial" w:cs="Arial" w:eastAsia="Arial" w:hAnsi="Arial"/>
                <w:sz w:val="18"/>
                <w:szCs w:val="18"/>
                <w:color w:val="auto"/>
              </w:rPr>
              <w:t>Accounting Changes</w:t>
            </w: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7.13.</w:t>
            </w:r>
          </w:p>
        </w:tc>
        <w:tc>
          <w:tcPr>
            <w:tcW w:w="8400" w:type="dxa"/>
            <w:vAlign w:val="bottom"/>
          </w:tcPr>
          <w:p>
            <w:pPr>
              <w:ind w:left="40"/>
              <w:spacing w:after="0"/>
              <w:rPr>
                <w:sz w:val="20"/>
                <w:szCs w:val="20"/>
                <w:color w:val="auto"/>
              </w:rPr>
            </w:pPr>
            <w:r>
              <w:rPr>
                <w:rFonts w:ascii="Arial" w:cs="Arial" w:eastAsia="Arial" w:hAnsi="Arial"/>
                <w:sz w:val="18"/>
                <w:szCs w:val="18"/>
                <w:color w:val="auto"/>
              </w:rPr>
              <w:t>Sanctions; Anti-Corruption Laws</w:t>
            </w: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7.14.</w:t>
            </w:r>
          </w:p>
        </w:tc>
        <w:tc>
          <w:tcPr>
            <w:tcW w:w="8400" w:type="dxa"/>
            <w:vAlign w:val="bottom"/>
          </w:tcPr>
          <w:p>
            <w:pPr>
              <w:ind w:left="40"/>
              <w:spacing w:after="0"/>
              <w:rPr>
                <w:sz w:val="20"/>
                <w:szCs w:val="20"/>
                <w:color w:val="auto"/>
              </w:rPr>
            </w:pPr>
            <w:r>
              <w:rPr>
                <w:rFonts w:ascii="Arial" w:cs="Arial" w:eastAsia="Arial" w:hAnsi="Arial"/>
                <w:sz w:val="18"/>
                <w:szCs w:val="18"/>
                <w:color w:val="auto"/>
              </w:rPr>
              <w:t>Financial Covenant</w:t>
            </w: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7.15.</w:t>
            </w:r>
          </w:p>
        </w:tc>
        <w:tc>
          <w:tcPr>
            <w:tcW w:w="8400" w:type="dxa"/>
            <w:vAlign w:val="bottom"/>
          </w:tcPr>
          <w:p>
            <w:pPr>
              <w:ind w:left="40"/>
              <w:spacing w:after="0"/>
              <w:rPr>
                <w:sz w:val="20"/>
                <w:szCs w:val="20"/>
                <w:color w:val="auto"/>
              </w:rPr>
            </w:pPr>
            <w:r>
              <w:rPr>
                <w:rFonts w:ascii="Arial" w:cs="Arial" w:eastAsia="Arial" w:hAnsi="Arial"/>
                <w:sz w:val="18"/>
                <w:szCs w:val="18"/>
                <w:color w:val="auto"/>
              </w:rPr>
              <w:t>Restrictions Pertaining to Certain Indebtedness</w:t>
            </w:r>
          </w:p>
        </w:tc>
        <w:tc>
          <w:tcPr>
            <w:tcW w:w="2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8"/>
        </w:trPr>
        <w:tc>
          <w:tcPr>
            <w:tcW w:w="500" w:type="dxa"/>
            <w:vAlign w:val="bottom"/>
          </w:tcPr>
          <w:p>
            <w:pPr>
              <w:spacing w:after="0"/>
              <w:rPr>
                <w:sz w:val="24"/>
                <w:szCs w:val="24"/>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rPr>
              <w:t>ARTICLE VIII</w:t>
            </w:r>
          </w:p>
        </w:tc>
        <w:tc>
          <w:tcPr>
            <w:tcW w:w="20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w w:val="96"/>
              </w:rPr>
              <w:t>EVENTS OF DEFAULT AND REMEDIES</w:t>
            </w:r>
          </w:p>
        </w:tc>
        <w:tc>
          <w:tcPr>
            <w:tcW w:w="206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8.01.</w:t>
            </w:r>
          </w:p>
        </w:tc>
        <w:tc>
          <w:tcPr>
            <w:tcW w:w="840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2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8.02.</w:t>
            </w:r>
          </w:p>
        </w:tc>
        <w:tc>
          <w:tcPr>
            <w:tcW w:w="840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2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8.03.</w:t>
            </w:r>
          </w:p>
        </w:tc>
        <w:tc>
          <w:tcPr>
            <w:tcW w:w="8400" w:type="dxa"/>
            <w:vAlign w:val="bottom"/>
          </w:tcPr>
          <w:p>
            <w:pPr>
              <w:ind w:left="40"/>
              <w:spacing w:after="0"/>
              <w:rPr>
                <w:sz w:val="20"/>
                <w:szCs w:val="20"/>
                <w:color w:val="auto"/>
              </w:rPr>
            </w:pPr>
            <w:r>
              <w:rPr>
                <w:rFonts w:ascii="Arial" w:cs="Arial" w:eastAsia="Arial" w:hAnsi="Arial"/>
                <w:sz w:val="18"/>
                <w:szCs w:val="18"/>
                <w:color w:val="auto"/>
              </w:rPr>
              <w:t>Application of Funds</w:t>
            </w:r>
          </w:p>
        </w:tc>
        <w:tc>
          <w:tcPr>
            <w:tcW w:w="2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8.04.</w:t>
            </w:r>
          </w:p>
        </w:tc>
        <w:tc>
          <w:tcPr>
            <w:tcW w:w="8400" w:type="dxa"/>
            <w:vAlign w:val="bottom"/>
          </w:tcPr>
          <w:p>
            <w:pPr>
              <w:ind w:left="40"/>
              <w:spacing w:after="0"/>
              <w:rPr>
                <w:sz w:val="20"/>
                <w:szCs w:val="20"/>
                <w:color w:val="auto"/>
              </w:rPr>
            </w:pPr>
            <w:r>
              <w:rPr>
                <w:rFonts w:ascii="Arial" w:cs="Arial" w:eastAsia="Arial" w:hAnsi="Arial"/>
                <w:sz w:val="18"/>
                <w:szCs w:val="18"/>
                <w:color w:val="auto"/>
              </w:rPr>
              <w:t>Cure Right</w:t>
            </w:r>
          </w:p>
        </w:tc>
        <w:tc>
          <w:tcPr>
            <w:tcW w:w="20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500" w:type="dxa"/>
            <w:vAlign w:val="bottom"/>
          </w:tcPr>
          <w:p>
            <w:pPr>
              <w:spacing w:after="0"/>
              <w:rPr>
                <w:sz w:val="24"/>
                <w:szCs w:val="24"/>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w w:val="99"/>
              </w:rPr>
              <w:t>ARTICLE IX</w:t>
            </w:r>
          </w:p>
        </w:tc>
        <w:tc>
          <w:tcPr>
            <w:tcW w:w="20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w w:val="99"/>
              </w:rPr>
              <w:t>ADMINISTRATIVE AGENT</w:t>
            </w:r>
          </w:p>
        </w:tc>
        <w:tc>
          <w:tcPr>
            <w:tcW w:w="206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9.01.</w:t>
            </w:r>
          </w:p>
        </w:tc>
        <w:tc>
          <w:tcPr>
            <w:tcW w:w="8400" w:type="dxa"/>
            <w:vAlign w:val="bottom"/>
          </w:tcPr>
          <w:p>
            <w:pPr>
              <w:ind w:left="40"/>
              <w:spacing w:after="0"/>
              <w:rPr>
                <w:sz w:val="20"/>
                <w:szCs w:val="20"/>
                <w:color w:val="auto"/>
              </w:rPr>
            </w:pPr>
            <w:r>
              <w:rPr>
                <w:rFonts w:ascii="Arial" w:cs="Arial" w:eastAsia="Arial" w:hAnsi="Arial"/>
                <w:sz w:val="18"/>
                <w:szCs w:val="18"/>
                <w:color w:val="auto"/>
              </w:rPr>
              <w:t>Appointment of the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9.02.</w:t>
            </w:r>
          </w:p>
        </w:tc>
        <w:tc>
          <w:tcPr>
            <w:tcW w:w="8400" w:type="dxa"/>
            <w:vAlign w:val="bottom"/>
          </w:tcPr>
          <w:p>
            <w:pPr>
              <w:ind w:left="40"/>
              <w:spacing w:after="0"/>
              <w:rPr>
                <w:sz w:val="20"/>
                <w:szCs w:val="20"/>
                <w:color w:val="auto"/>
              </w:rPr>
            </w:pPr>
            <w:r>
              <w:rPr>
                <w:rFonts w:ascii="Arial" w:cs="Arial" w:eastAsia="Arial" w:hAnsi="Arial"/>
                <w:sz w:val="18"/>
                <w:szCs w:val="18"/>
                <w:color w:val="auto"/>
              </w:rPr>
              <w:t>Nature of Duties of the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9.03.</w:t>
            </w:r>
          </w:p>
        </w:tc>
        <w:tc>
          <w:tcPr>
            <w:tcW w:w="8400" w:type="dxa"/>
            <w:vAlign w:val="bottom"/>
          </w:tcPr>
          <w:p>
            <w:pPr>
              <w:ind w:left="40"/>
              <w:spacing w:after="0"/>
              <w:rPr>
                <w:sz w:val="20"/>
                <w:szCs w:val="20"/>
                <w:color w:val="auto"/>
              </w:rPr>
            </w:pPr>
            <w:r>
              <w:rPr>
                <w:rFonts w:ascii="Arial" w:cs="Arial" w:eastAsia="Arial" w:hAnsi="Arial"/>
                <w:sz w:val="18"/>
                <w:szCs w:val="18"/>
                <w:color w:val="auto"/>
              </w:rPr>
              <w:t>Lack of Reliance on the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9.04.</w:t>
            </w:r>
          </w:p>
        </w:tc>
        <w:tc>
          <w:tcPr>
            <w:tcW w:w="8400" w:type="dxa"/>
            <w:vAlign w:val="bottom"/>
          </w:tcPr>
          <w:p>
            <w:pPr>
              <w:ind w:left="40"/>
              <w:spacing w:after="0"/>
              <w:rPr>
                <w:sz w:val="20"/>
                <w:szCs w:val="20"/>
                <w:color w:val="auto"/>
              </w:rPr>
            </w:pPr>
            <w:r>
              <w:rPr>
                <w:rFonts w:ascii="Arial" w:cs="Arial" w:eastAsia="Arial" w:hAnsi="Arial"/>
                <w:sz w:val="18"/>
                <w:szCs w:val="18"/>
                <w:color w:val="auto"/>
              </w:rPr>
              <w:t>Certain Rights of the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9.05.</w:t>
            </w:r>
          </w:p>
        </w:tc>
        <w:tc>
          <w:tcPr>
            <w:tcW w:w="8400" w:type="dxa"/>
            <w:vAlign w:val="bottom"/>
          </w:tcPr>
          <w:p>
            <w:pPr>
              <w:ind w:left="40"/>
              <w:spacing w:after="0"/>
              <w:rPr>
                <w:sz w:val="20"/>
                <w:szCs w:val="20"/>
                <w:color w:val="auto"/>
              </w:rPr>
            </w:pPr>
            <w:r>
              <w:rPr>
                <w:rFonts w:ascii="Arial" w:cs="Arial" w:eastAsia="Arial" w:hAnsi="Arial"/>
                <w:sz w:val="18"/>
                <w:szCs w:val="18"/>
                <w:color w:val="auto"/>
              </w:rPr>
              <w:t>Reliance by the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9.06.</w:t>
            </w:r>
          </w:p>
        </w:tc>
        <w:tc>
          <w:tcPr>
            <w:tcW w:w="8400" w:type="dxa"/>
            <w:vAlign w:val="bottom"/>
          </w:tcPr>
          <w:p>
            <w:pPr>
              <w:ind w:left="40"/>
              <w:spacing w:after="0"/>
              <w:rPr>
                <w:sz w:val="20"/>
                <w:szCs w:val="20"/>
                <w:color w:val="auto"/>
              </w:rPr>
            </w:pPr>
            <w:r>
              <w:rPr>
                <w:rFonts w:ascii="Arial" w:cs="Arial" w:eastAsia="Arial" w:hAnsi="Arial"/>
                <w:sz w:val="18"/>
                <w:szCs w:val="18"/>
                <w:color w:val="auto"/>
              </w:rPr>
              <w:t>The Administrative Agent in its Individual Capacity</w:t>
            </w:r>
          </w:p>
        </w:tc>
        <w:tc>
          <w:tcPr>
            <w:tcW w:w="2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9.07.</w:t>
            </w:r>
          </w:p>
        </w:tc>
        <w:tc>
          <w:tcPr>
            <w:tcW w:w="8400" w:type="dxa"/>
            <w:vAlign w:val="bottom"/>
          </w:tcPr>
          <w:p>
            <w:pPr>
              <w:ind w:left="40"/>
              <w:spacing w:after="0"/>
              <w:rPr>
                <w:sz w:val="20"/>
                <w:szCs w:val="20"/>
                <w:color w:val="auto"/>
              </w:rPr>
            </w:pPr>
            <w:r>
              <w:rPr>
                <w:rFonts w:ascii="Arial" w:cs="Arial" w:eastAsia="Arial" w:hAnsi="Arial"/>
                <w:sz w:val="18"/>
                <w:szCs w:val="18"/>
                <w:color w:val="auto"/>
              </w:rPr>
              <w:t>Successor Administrative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9.08.</w:t>
            </w:r>
          </w:p>
        </w:tc>
        <w:tc>
          <w:tcPr>
            <w:tcW w:w="8400" w:type="dxa"/>
            <w:vAlign w:val="bottom"/>
          </w:tcPr>
          <w:p>
            <w:pPr>
              <w:ind w:left="40"/>
              <w:spacing w:after="0"/>
              <w:rPr>
                <w:sz w:val="20"/>
                <w:szCs w:val="20"/>
                <w:color w:val="auto"/>
              </w:rPr>
            </w:pPr>
            <w:r>
              <w:rPr>
                <w:rFonts w:ascii="Arial" w:cs="Arial" w:eastAsia="Arial" w:hAnsi="Arial"/>
                <w:sz w:val="18"/>
                <w:szCs w:val="18"/>
                <w:color w:val="auto"/>
              </w:rPr>
              <w:t>Withholding Tax</w:t>
            </w:r>
          </w:p>
        </w:tc>
        <w:tc>
          <w:tcPr>
            <w:tcW w:w="2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9.09.</w:t>
            </w:r>
          </w:p>
        </w:tc>
        <w:tc>
          <w:tcPr>
            <w:tcW w:w="8400" w:type="dxa"/>
            <w:vAlign w:val="bottom"/>
          </w:tcPr>
          <w:p>
            <w:pPr>
              <w:ind w:left="40"/>
              <w:spacing w:after="0"/>
              <w:rPr>
                <w:sz w:val="20"/>
                <w:szCs w:val="20"/>
                <w:color w:val="auto"/>
              </w:rPr>
            </w:pPr>
            <w:r>
              <w:rPr>
                <w:rFonts w:ascii="Arial" w:cs="Arial" w:eastAsia="Arial" w:hAnsi="Arial"/>
                <w:sz w:val="18"/>
                <w:szCs w:val="18"/>
                <w:color w:val="auto"/>
              </w:rPr>
              <w:t>The Administrative Agent May File Proofs of Claim; Credit Bidding</w:t>
            </w:r>
          </w:p>
        </w:tc>
        <w:tc>
          <w:tcPr>
            <w:tcW w:w="2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9.10.</w:t>
            </w:r>
          </w:p>
        </w:tc>
        <w:tc>
          <w:tcPr>
            <w:tcW w:w="8400" w:type="dxa"/>
            <w:vAlign w:val="bottom"/>
          </w:tcPr>
          <w:p>
            <w:pPr>
              <w:ind w:left="40"/>
              <w:spacing w:after="0"/>
              <w:rPr>
                <w:sz w:val="20"/>
                <w:szCs w:val="20"/>
                <w:color w:val="auto"/>
              </w:rPr>
            </w:pPr>
            <w:r>
              <w:rPr>
                <w:rFonts w:ascii="Arial" w:cs="Arial" w:eastAsia="Arial" w:hAnsi="Arial"/>
                <w:sz w:val="18"/>
                <w:szCs w:val="18"/>
                <w:color w:val="auto"/>
              </w:rPr>
              <w:t>Authorization to Execute Other Loan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9.11.</w:t>
            </w:r>
          </w:p>
        </w:tc>
        <w:tc>
          <w:tcPr>
            <w:tcW w:w="8400" w:type="dxa"/>
            <w:vAlign w:val="bottom"/>
          </w:tcPr>
          <w:p>
            <w:pPr>
              <w:ind w:left="40"/>
              <w:spacing w:after="0"/>
              <w:rPr>
                <w:sz w:val="20"/>
                <w:szCs w:val="20"/>
                <w:color w:val="auto"/>
              </w:rPr>
            </w:pPr>
            <w:r>
              <w:rPr>
                <w:rFonts w:ascii="Arial" w:cs="Arial" w:eastAsia="Arial" w:hAnsi="Arial"/>
                <w:sz w:val="18"/>
                <w:szCs w:val="18"/>
                <w:color w:val="auto"/>
              </w:rPr>
              <w:t>Collateral and Guaranty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9.12.</w:t>
            </w:r>
          </w:p>
        </w:tc>
        <w:tc>
          <w:tcPr>
            <w:tcW w:w="8400" w:type="dxa"/>
            <w:vAlign w:val="bottom"/>
          </w:tcPr>
          <w:p>
            <w:pPr>
              <w:ind w:left="4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9.13.</w:t>
            </w:r>
          </w:p>
        </w:tc>
        <w:tc>
          <w:tcPr>
            <w:tcW w:w="8400" w:type="dxa"/>
            <w:vAlign w:val="bottom"/>
          </w:tcPr>
          <w:p>
            <w:pPr>
              <w:ind w:left="40"/>
              <w:spacing w:after="0"/>
              <w:rPr>
                <w:sz w:val="20"/>
                <w:szCs w:val="20"/>
                <w:color w:val="auto"/>
              </w:rPr>
            </w:pPr>
            <w:r>
              <w:rPr>
                <w:rFonts w:ascii="Arial" w:cs="Arial" w:eastAsia="Arial" w:hAnsi="Arial"/>
                <w:sz w:val="18"/>
                <w:szCs w:val="18"/>
                <w:color w:val="auto"/>
              </w:rPr>
              <w:t>Right to Realize on Collateral and Enforce Guarantee</w:t>
            </w:r>
          </w:p>
        </w:tc>
        <w:tc>
          <w:tcPr>
            <w:tcW w:w="2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500" w:type="dxa"/>
            <w:vAlign w:val="bottom"/>
          </w:tcPr>
          <w:p>
            <w:pPr>
              <w:spacing w:after="0"/>
              <w:rPr>
                <w:sz w:val="24"/>
                <w:szCs w:val="24"/>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rPr>
              <w:t>ARTICLE X</w:t>
            </w:r>
          </w:p>
        </w:tc>
        <w:tc>
          <w:tcPr>
            <w:tcW w:w="20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400" w:type="dxa"/>
            <w:vAlign w:val="bottom"/>
          </w:tcPr>
          <w:p>
            <w:pPr>
              <w:jc w:val="center"/>
              <w:ind w:left="1610"/>
              <w:spacing w:after="0"/>
              <w:rPr>
                <w:sz w:val="20"/>
                <w:szCs w:val="20"/>
                <w:color w:val="auto"/>
              </w:rPr>
            </w:pPr>
            <w:r>
              <w:rPr>
                <w:rFonts w:ascii="Arial" w:cs="Arial" w:eastAsia="Arial" w:hAnsi="Arial"/>
                <w:sz w:val="18"/>
                <w:szCs w:val="18"/>
                <w:color w:val="auto"/>
                <w:w w:val="97"/>
              </w:rPr>
              <w:t>MISCELLANEOUS</w:t>
            </w:r>
          </w:p>
        </w:tc>
        <w:tc>
          <w:tcPr>
            <w:tcW w:w="2060" w:type="dxa"/>
            <w:vAlign w:val="bottom"/>
          </w:tcPr>
          <w:p>
            <w:pPr>
              <w:spacing w:after="0"/>
              <w:rPr>
                <w:sz w:val="20"/>
                <w:szCs w:val="20"/>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w w:val="95"/>
              </w:rPr>
              <w:t>10.01.</w:t>
            </w:r>
          </w:p>
        </w:tc>
        <w:tc>
          <w:tcPr>
            <w:tcW w:w="8400" w:type="dxa"/>
            <w:vAlign w:val="bottom"/>
          </w:tcPr>
          <w:p>
            <w:pPr>
              <w:ind w:left="40"/>
              <w:spacing w:after="0"/>
              <w:rPr>
                <w:sz w:val="20"/>
                <w:szCs w:val="20"/>
                <w:color w:val="auto"/>
              </w:rPr>
            </w:pPr>
            <w:r>
              <w:rPr>
                <w:rFonts w:ascii="Arial" w:cs="Arial" w:eastAsia="Arial" w:hAnsi="Arial"/>
                <w:sz w:val="18"/>
                <w:szCs w:val="18"/>
                <w:color w:val="auto"/>
              </w:rPr>
              <w:t>Amendments, Etc.</w:t>
            </w:r>
          </w:p>
        </w:tc>
        <w:tc>
          <w:tcPr>
            <w:tcW w:w="2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10.02.</w:t>
            </w:r>
          </w:p>
        </w:tc>
        <w:tc>
          <w:tcPr>
            <w:tcW w:w="8400" w:type="dxa"/>
            <w:vAlign w:val="bottom"/>
          </w:tcPr>
          <w:p>
            <w:pPr>
              <w:ind w:left="40"/>
              <w:spacing w:after="0"/>
              <w:rPr>
                <w:sz w:val="20"/>
                <w:szCs w:val="20"/>
                <w:color w:val="auto"/>
              </w:rPr>
            </w:pPr>
            <w:r>
              <w:rPr>
                <w:rFonts w:ascii="Arial" w:cs="Arial" w:eastAsia="Arial" w:hAnsi="Arial"/>
                <w:sz w:val="18"/>
                <w:szCs w:val="18"/>
                <w:color w:val="auto"/>
              </w:rPr>
              <w:t>Notices; Effectiveness; Electronic Communications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10.03.</w:t>
            </w:r>
          </w:p>
        </w:tc>
        <w:tc>
          <w:tcPr>
            <w:tcW w:w="8400" w:type="dxa"/>
            <w:vAlign w:val="bottom"/>
          </w:tcPr>
          <w:p>
            <w:pPr>
              <w:ind w:left="40"/>
              <w:spacing w:after="0"/>
              <w:rPr>
                <w:sz w:val="20"/>
                <w:szCs w:val="20"/>
                <w:color w:val="auto"/>
              </w:rPr>
            </w:pPr>
            <w:r>
              <w:rPr>
                <w:rFonts w:ascii="Arial" w:cs="Arial" w:eastAsia="Arial" w:hAnsi="Arial"/>
                <w:sz w:val="18"/>
                <w:szCs w:val="18"/>
                <w:color w:val="auto"/>
              </w:rPr>
              <w:t>No Waiver; Cumulative Remedies; Enforcement</w:t>
            </w:r>
          </w:p>
        </w:tc>
        <w:tc>
          <w:tcPr>
            <w:tcW w:w="20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10.04.</w:t>
            </w:r>
          </w:p>
        </w:tc>
        <w:tc>
          <w:tcPr>
            <w:tcW w:w="8400" w:type="dxa"/>
            <w:vAlign w:val="bottom"/>
          </w:tcPr>
          <w:p>
            <w:pPr>
              <w:ind w:left="40"/>
              <w:spacing w:after="0"/>
              <w:rPr>
                <w:sz w:val="20"/>
                <w:szCs w:val="20"/>
                <w:color w:val="auto"/>
              </w:rPr>
            </w:pPr>
            <w:r>
              <w:rPr>
                <w:rFonts w:ascii="Arial" w:cs="Arial" w:eastAsia="Arial" w:hAnsi="Arial"/>
                <w:sz w:val="18"/>
                <w:szCs w:val="18"/>
                <w:color w:val="auto"/>
              </w:rPr>
              <w:t>Expenses; Indemnity; Damage Waiver</w:t>
            </w:r>
          </w:p>
        </w:tc>
        <w:tc>
          <w:tcPr>
            <w:tcW w:w="20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10.05.</w:t>
            </w:r>
          </w:p>
        </w:tc>
        <w:tc>
          <w:tcPr>
            <w:tcW w:w="8400" w:type="dxa"/>
            <w:vAlign w:val="bottom"/>
          </w:tcPr>
          <w:p>
            <w:pPr>
              <w:ind w:left="40"/>
              <w:spacing w:after="0"/>
              <w:rPr>
                <w:sz w:val="20"/>
                <w:szCs w:val="20"/>
                <w:color w:val="auto"/>
              </w:rPr>
            </w:pPr>
            <w:r>
              <w:rPr>
                <w:rFonts w:ascii="Arial" w:cs="Arial" w:eastAsia="Arial" w:hAnsi="Arial"/>
                <w:sz w:val="18"/>
                <w:szCs w:val="18"/>
                <w:color w:val="auto"/>
              </w:rPr>
              <w:t>Payments Set Aside</w:t>
            </w:r>
          </w:p>
        </w:tc>
        <w:tc>
          <w:tcPr>
            <w:tcW w:w="2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10.06.</w:t>
            </w:r>
          </w:p>
        </w:tc>
        <w:tc>
          <w:tcPr>
            <w:tcW w:w="840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2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10.07.</w:t>
            </w:r>
          </w:p>
        </w:tc>
        <w:tc>
          <w:tcPr>
            <w:tcW w:w="8400" w:type="dxa"/>
            <w:vAlign w:val="bottom"/>
          </w:tcPr>
          <w:p>
            <w:pPr>
              <w:ind w:left="40"/>
              <w:spacing w:after="0"/>
              <w:rPr>
                <w:sz w:val="20"/>
                <w:szCs w:val="20"/>
                <w:color w:val="auto"/>
              </w:rPr>
            </w:pPr>
            <w:r>
              <w:rPr>
                <w:rFonts w:ascii="Arial" w:cs="Arial" w:eastAsia="Arial" w:hAnsi="Arial"/>
                <w:sz w:val="18"/>
                <w:szCs w:val="18"/>
                <w:color w:val="auto"/>
              </w:rPr>
              <w:t>Treatment of Certain Information; Confidentiality</w:t>
            </w:r>
          </w:p>
        </w:tc>
        <w:tc>
          <w:tcPr>
            <w:tcW w:w="20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10.08.</w:t>
            </w:r>
          </w:p>
        </w:tc>
        <w:tc>
          <w:tcPr>
            <w:tcW w:w="840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10.09.</w:t>
            </w:r>
          </w:p>
        </w:tc>
        <w:tc>
          <w:tcPr>
            <w:tcW w:w="840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10.10.</w:t>
            </w:r>
          </w:p>
        </w:tc>
        <w:tc>
          <w:tcPr>
            <w:tcW w:w="840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10.11.</w:t>
            </w:r>
          </w:p>
        </w:tc>
        <w:tc>
          <w:tcPr>
            <w:tcW w:w="8400" w:type="dxa"/>
            <w:vAlign w:val="bottom"/>
          </w:tcPr>
          <w:p>
            <w:pPr>
              <w:ind w:left="40"/>
              <w:spacing w:after="0"/>
              <w:rPr>
                <w:sz w:val="20"/>
                <w:szCs w:val="20"/>
                <w:color w:val="auto"/>
              </w:rPr>
            </w:pPr>
            <w:r>
              <w:rPr>
                <w:rFonts w:ascii="Arial" w:cs="Arial" w:eastAsia="Arial" w:hAnsi="Arial"/>
                <w:sz w:val="18"/>
                <w:szCs w:val="18"/>
                <w:color w:val="auto"/>
              </w:rPr>
              <w:t>Survival of Representations and Warranties</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10.12.</w:t>
            </w:r>
          </w:p>
        </w:tc>
        <w:tc>
          <w:tcPr>
            <w:tcW w:w="84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5"/>
              </w:rPr>
              <w:t>10.13.</w:t>
            </w:r>
          </w:p>
        </w:tc>
        <w:tc>
          <w:tcPr>
            <w:tcW w:w="8400" w:type="dxa"/>
            <w:vAlign w:val="bottom"/>
          </w:tcPr>
          <w:p>
            <w:pPr>
              <w:ind w:left="40"/>
              <w:spacing w:after="0"/>
              <w:rPr>
                <w:sz w:val="20"/>
                <w:szCs w:val="20"/>
                <w:color w:val="auto"/>
              </w:rPr>
            </w:pPr>
            <w:r>
              <w:rPr>
                <w:rFonts w:ascii="Arial" w:cs="Arial" w:eastAsia="Arial" w:hAnsi="Arial"/>
                <w:sz w:val="18"/>
                <w:szCs w:val="18"/>
                <w:color w:val="auto"/>
              </w:rPr>
              <w:t>Replacement of Lenders</w:t>
            </w: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5"/>
              </w:rPr>
              <w:t>10.14.</w:t>
            </w:r>
          </w:p>
        </w:tc>
        <w:tc>
          <w:tcPr>
            <w:tcW w:w="8400" w:type="dxa"/>
            <w:vAlign w:val="bottom"/>
          </w:tcPr>
          <w:p>
            <w:pPr>
              <w:ind w:left="40"/>
              <w:spacing w:after="0"/>
              <w:rPr>
                <w:sz w:val="20"/>
                <w:szCs w:val="20"/>
                <w:color w:val="auto"/>
              </w:rPr>
            </w:pPr>
            <w:r>
              <w:rPr>
                <w:rFonts w:ascii="Arial" w:cs="Arial" w:eastAsia="Arial" w:hAnsi="Arial"/>
                <w:sz w:val="18"/>
                <w:szCs w:val="18"/>
                <w:color w:val="auto"/>
              </w:rPr>
              <w:t>Governing Law; Jurisdiction; Etc.</w:t>
            </w:r>
          </w:p>
        </w:tc>
        <w:tc>
          <w:tcPr>
            <w:tcW w:w="206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5" w:right="4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1"/>
        </w:trPr>
        <w:tc>
          <w:tcPr>
            <w:tcW w:w="460" w:type="dxa"/>
            <w:vAlign w:val="bottom"/>
            <w:vMerge w:val="restart"/>
          </w:tcPr>
          <w:p>
            <w:pPr>
              <w:spacing w:after="0"/>
              <w:rPr>
                <w:sz w:val="20"/>
                <w:szCs w:val="20"/>
                <w:color w:val="auto"/>
              </w:rPr>
            </w:pPr>
            <w:r>
              <w:rPr>
                <w:rFonts w:ascii="Arial" w:cs="Arial" w:eastAsia="Arial" w:hAnsi="Arial"/>
                <w:sz w:val="18"/>
                <w:szCs w:val="18"/>
                <w:color w:val="auto"/>
                <w:w w:val="87"/>
              </w:rPr>
              <w:t>10.15.</w:t>
            </w:r>
          </w:p>
        </w:tc>
        <w:tc>
          <w:tcPr>
            <w:tcW w:w="10180" w:type="dxa"/>
            <w:vAlign w:val="bottom"/>
            <w:gridSpan w:val="2"/>
            <w:vMerge w:val="restart"/>
          </w:tcPr>
          <w:p>
            <w:pPr>
              <w:ind w:left="80"/>
              <w:spacing w:after="0"/>
              <w:rPr>
                <w:sz w:val="20"/>
                <w:szCs w:val="20"/>
                <w:color w:val="auto"/>
              </w:rPr>
            </w:pPr>
            <w:r>
              <w:rPr>
                <w:rFonts w:ascii="Arial" w:cs="Arial" w:eastAsia="Arial" w:hAnsi="Arial"/>
                <w:sz w:val="18"/>
                <w:szCs w:val="18"/>
                <w:color w:val="auto"/>
              </w:rPr>
              <w:t>WAIVER OF JURY TRIAL</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10180" w:type="dxa"/>
            <w:vAlign w:val="bottom"/>
            <w:gridSpan w:val="2"/>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10.16.</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No Advisory or Fiduciary Responsibility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10.17.</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Electronic Execution of Assignments and Certain Other Documents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10.18.</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USA PATRIOT Act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10.19.</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Inconsistencies with Other Documents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10.20.</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Acknowledgment and Consent to Bail-In of Affected Financial Institutions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87"/>
              </w:rPr>
              <w:t>10.21.</w:t>
            </w:r>
          </w:p>
        </w:tc>
        <w:tc>
          <w:tcPr>
            <w:tcW w:w="10180" w:type="dxa"/>
            <w:vAlign w:val="bottom"/>
            <w:gridSpan w:val="2"/>
          </w:tcPr>
          <w:p>
            <w:pPr>
              <w:ind w:left="80"/>
              <w:spacing w:after="0"/>
              <w:rPr>
                <w:sz w:val="20"/>
                <w:szCs w:val="20"/>
                <w:color w:val="auto"/>
              </w:rPr>
            </w:pPr>
            <w:r>
              <w:rPr>
                <w:rFonts w:ascii="Arial" w:cs="Arial" w:eastAsia="Arial" w:hAnsi="Arial"/>
                <w:sz w:val="18"/>
                <w:szCs w:val="18"/>
                <w:color w:val="auto"/>
              </w:rPr>
              <w:t>Acknowledgement Regarding Any Supported QFCs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w w:val="99"/>
              </w:rPr>
              <w:t>SCHEDULES</w:t>
            </w:r>
          </w:p>
        </w:tc>
        <w:tc>
          <w:tcPr>
            <w:tcW w:w="9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9520" w:type="dxa"/>
            <w:vAlign w:val="bottom"/>
          </w:tcPr>
          <w:p>
            <w:pPr>
              <w:ind w:left="80"/>
              <w:spacing w:after="0"/>
              <w:rPr>
                <w:sz w:val="20"/>
                <w:szCs w:val="20"/>
                <w:color w:val="auto"/>
              </w:rPr>
            </w:pPr>
            <w:r>
              <w:rPr>
                <w:rFonts w:ascii="Arial" w:cs="Arial" w:eastAsia="Arial" w:hAnsi="Arial"/>
                <w:sz w:val="18"/>
                <w:szCs w:val="18"/>
                <w:color w:val="auto"/>
              </w:rPr>
              <w:t>Material Real Property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9520" w:type="dxa"/>
            <w:vAlign w:val="bottom"/>
          </w:tcPr>
          <w:p>
            <w:pPr>
              <w:ind w:left="80"/>
              <w:spacing w:after="0"/>
              <w:rPr>
                <w:sz w:val="20"/>
                <w:szCs w:val="20"/>
                <w:color w:val="auto"/>
              </w:rPr>
            </w:pPr>
            <w:r>
              <w:rPr>
                <w:rFonts w:ascii="Arial" w:cs="Arial" w:eastAsia="Arial" w:hAnsi="Arial"/>
                <w:sz w:val="18"/>
                <w:szCs w:val="18"/>
                <w:color w:val="auto"/>
              </w:rPr>
              <w:t>Series D Preferred Stock</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w:t>
            </w:r>
          </w:p>
        </w:tc>
        <w:tc>
          <w:tcPr>
            <w:tcW w:w="9520" w:type="dxa"/>
            <w:vAlign w:val="bottom"/>
          </w:tcPr>
          <w:p>
            <w:pPr>
              <w:ind w:left="80"/>
              <w:spacing w:after="0"/>
              <w:rPr>
                <w:sz w:val="20"/>
                <w:szCs w:val="20"/>
                <w:color w:val="auto"/>
              </w:rPr>
            </w:pPr>
            <w:r>
              <w:rPr>
                <w:rFonts w:ascii="Arial" w:cs="Arial" w:eastAsia="Arial" w:hAnsi="Arial"/>
                <w:sz w:val="18"/>
                <w:szCs w:val="18"/>
                <w:color w:val="auto"/>
              </w:rPr>
              <w:t>Commitments and Applicable Percentages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5.01</w:t>
            </w:r>
          </w:p>
        </w:tc>
        <w:tc>
          <w:tcPr>
            <w:tcW w:w="9520" w:type="dxa"/>
            <w:vAlign w:val="bottom"/>
          </w:tcPr>
          <w:p>
            <w:pPr>
              <w:ind w:left="80"/>
              <w:spacing w:after="0"/>
              <w:rPr>
                <w:sz w:val="20"/>
                <w:szCs w:val="20"/>
                <w:color w:val="auto"/>
              </w:rPr>
            </w:pPr>
            <w:r>
              <w:rPr>
                <w:rFonts w:ascii="Arial" w:cs="Arial" w:eastAsia="Arial" w:hAnsi="Arial"/>
                <w:sz w:val="18"/>
                <w:szCs w:val="18"/>
                <w:color w:val="auto"/>
              </w:rPr>
              <w:t>Corporate Existence; Subsidiaries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5.04</w:t>
            </w:r>
          </w:p>
        </w:tc>
        <w:tc>
          <w:tcPr>
            <w:tcW w:w="9520" w:type="dxa"/>
            <w:vAlign w:val="bottom"/>
          </w:tcPr>
          <w:p>
            <w:pPr>
              <w:ind w:left="80"/>
              <w:spacing w:after="0"/>
              <w:rPr>
                <w:sz w:val="20"/>
                <w:szCs w:val="20"/>
                <w:color w:val="auto"/>
              </w:rPr>
            </w:pPr>
            <w:r>
              <w:rPr>
                <w:rFonts w:ascii="Arial" w:cs="Arial" w:eastAsia="Arial" w:hAnsi="Arial"/>
                <w:sz w:val="18"/>
                <w:szCs w:val="18"/>
                <w:color w:val="auto"/>
              </w:rPr>
              <w:t>Litigation and Administrative Procedures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5.05</w:t>
            </w:r>
          </w:p>
        </w:tc>
        <w:tc>
          <w:tcPr>
            <w:tcW w:w="9520" w:type="dxa"/>
            <w:vAlign w:val="bottom"/>
          </w:tcPr>
          <w:p>
            <w:pPr>
              <w:ind w:left="80"/>
              <w:spacing w:after="0"/>
              <w:rPr>
                <w:sz w:val="20"/>
                <w:szCs w:val="20"/>
                <w:color w:val="auto"/>
              </w:rPr>
            </w:pPr>
            <w:r>
              <w:rPr>
                <w:rFonts w:ascii="Arial" w:cs="Arial" w:eastAsia="Arial" w:hAnsi="Arial"/>
                <w:sz w:val="18"/>
                <w:szCs w:val="18"/>
                <w:color w:val="auto"/>
              </w:rPr>
              <w:t>Real Property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5.09</w:t>
            </w:r>
          </w:p>
        </w:tc>
        <w:tc>
          <w:tcPr>
            <w:tcW w:w="9520" w:type="dxa"/>
            <w:vAlign w:val="bottom"/>
          </w:tcPr>
          <w:p>
            <w:pPr>
              <w:ind w:left="80"/>
              <w:spacing w:after="0"/>
              <w:rPr>
                <w:sz w:val="20"/>
                <w:szCs w:val="20"/>
                <w:color w:val="auto"/>
              </w:rPr>
            </w:pPr>
            <w:r>
              <w:rPr>
                <w:rFonts w:ascii="Arial" w:cs="Arial" w:eastAsia="Arial" w:hAnsi="Arial"/>
                <w:sz w:val="18"/>
                <w:szCs w:val="18"/>
                <w:color w:val="auto"/>
              </w:rPr>
              <w:t>Locations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5.17</w:t>
            </w:r>
          </w:p>
        </w:tc>
        <w:tc>
          <w:tcPr>
            <w:tcW w:w="952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5.18</w:t>
            </w:r>
          </w:p>
        </w:tc>
        <w:tc>
          <w:tcPr>
            <w:tcW w:w="9520" w:type="dxa"/>
            <w:vAlign w:val="bottom"/>
          </w:tcPr>
          <w:p>
            <w:pPr>
              <w:ind w:left="80"/>
              <w:spacing w:after="0"/>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5.23</w:t>
            </w:r>
          </w:p>
        </w:tc>
        <w:tc>
          <w:tcPr>
            <w:tcW w:w="9520" w:type="dxa"/>
            <w:vAlign w:val="bottom"/>
          </w:tcPr>
          <w:p>
            <w:pPr>
              <w:ind w:left="80"/>
              <w:spacing w:after="0"/>
              <w:rPr>
                <w:sz w:val="20"/>
                <w:szCs w:val="20"/>
                <w:color w:val="auto"/>
              </w:rPr>
            </w:pPr>
            <w:r>
              <w:rPr>
                <w:rFonts w:ascii="Arial" w:cs="Arial" w:eastAsia="Arial" w:hAnsi="Arial"/>
                <w:sz w:val="18"/>
                <w:szCs w:val="18"/>
                <w:color w:val="auto"/>
              </w:rPr>
              <w:t>Deposit Accounts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6.17</w:t>
            </w:r>
          </w:p>
        </w:tc>
        <w:tc>
          <w:tcPr>
            <w:tcW w:w="9520" w:type="dxa"/>
            <w:vAlign w:val="bottom"/>
          </w:tcPr>
          <w:p>
            <w:pPr>
              <w:ind w:left="80"/>
              <w:spacing w:after="0"/>
              <w:rPr>
                <w:sz w:val="20"/>
                <w:szCs w:val="20"/>
                <w:color w:val="auto"/>
              </w:rPr>
            </w:pPr>
            <w:r>
              <w:rPr>
                <w:rFonts w:ascii="Arial" w:cs="Arial" w:eastAsia="Arial" w:hAnsi="Arial"/>
                <w:sz w:val="18"/>
                <w:szCs w:val="18"/>
                <w:color w:val="auto"/>
              </w:rPr>
              <w:t>Post-Closing Matters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7.01</w:t>
            </w:r>
          </w:p>
        </w:tc>
        <w:tc>
          <w:tcPr>
            <w:tcW w:w="9520" w:type="dxa"/>
            <w:vAlign w:val="bottom"/>
          </w:tcPr>
          <w:p>
            <w:pPr>
              <w:ind w:left="80"/>
              <w:spacing w:after="0"/>
              <w:rPr>
                <w:sz w:val="20"/>
                <w:szCs w:val="20"/>
                <w:color w:val="auto"/>
              </w:rPr>
            </w:pPr>
            <w:r>
              <w:rPr>
                <w:rFonts w:ascii="Arial" w:cs="Arial" w:eastAsia="Arial" w:hAnsi="Arial"/>
                <w:sz w:val="18"/>
                <w:szCs w:val="18"/>
                <w:color w:val="auto"/>
              </w:rPr>
              <w:t>Existing Liens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7.02</w:t>
            </w:r>
          </w:p>
        </w:tc>
        <w:tc>
          <w:tcPr>
            <w:tcW w:w="9520" w:type="dxa"/>
            <w:vAlign w:val="bottom"/>
          </w:tcPr>
          <w:p>
            <w:pPr>
              <w:ind w:left="80"/>
              <w:spacing w:after="0"/>
              <w:rPr>
                <w:sz w:val="20"/>
                <w:szCs w:val="20"/>
                <w:color w:val="auto"/>
              </w:rPr>
            </w:pPr>
            <w:r>
              <w:rPr>
                <w:rFonts w:ascii="Arial" w:cs="Arial" w:eastAsia="Arial" w:hAnsi="Arial"/>
                <w:sz w:val="18"/>
                <w:szCs w:val="18"/>
                <w:color w:val="auto"/>
              </w:rPr>
              <w:t>Existing Indebtedness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7.03</w:t>
            </w:r>
          </w:p>
        </w:tc>
        <w:tc>
          <w:tcPr>
            <w:tcW w:w="9520" w:type="dxa"/>
            <w:vAlign w:val="bottom"/>
          </w:tcPr>
          <w:p>
            <w:pPr>
              <w:ind w:left="80"/>
              <w:spacing w:after="0"/>
              <w:rPr>
                <w:sz w:val="20"/>
                <w:szCs w:val="20"/>
                <w:color w:val="auto"/>
              </w:rPr>
            </w:pPr>
            <w:r>
              <w:rPr>
                <w:rFonts w:ascii="Arial" w:cs="Arial" w:eastAsia="Arial" w:hAnsi="Arial"/>
                <w:sz w:val="18"/>
                <w:szCs w:val="18"/>
                <w:color w:val="auto"/>
              </w:rPr>
              <w:t>Existing Investments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10.02</w:t>
            </w:r>
          </w:p>
        </w:tc>
        <w:tc>
          <w:tcPr>
            <w:tcW w:w="9520" w:type="dxa"/>
            <w:vAlign w:val="bottom"/>
          </w:tcPr>
          <w:p>
            <w:pPr>
              <w:ind w:left="80"/>
              <w:spacing w:after="0"/>
              <w:rPr>
                <w:sz w:val="20"/>
                <w:szCs w:val="20"/>
                <w:color w:val="auto"/>
              </w:rPr>
            </w:pPr>
            <w:r>
              <w:rPr>
                <w:rFonts w:ascii="Arial" w:cs="Arial" w:eastAsia="Arial" w:hAnsi="Arial"/>
                <w:sz w:val="18"/>
                <w:szCs w:val="18"/>
                <w:color w:val="auto"/>
              </w:rPr>
              <w:t>Administrative Agent’s Office, Certain Addresses for Notices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960" w:hanging="395"/>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560" w:right="7920" w:firstLine="5"/>
        <w:spacing w:after="0" w:line="250" w:lineRule="auto"/>
        <w:tabs>
          <w:tab w:leader="none" w:pos="9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Assignment and Assumption C Term Note</w:t>
      </w:r>
    </w:p>
    <w:p>
      <w:pPr>
        <w:ind w:left="560"/>
        <w:spacing w:after="0"/>
        <w:rPr>
          <w:rFonts w:ascii="Arial" w:cs="Arial" w:eastAsia="Arial" w:hAnsi="Arial"/>
          <w:sz w:val="18"/>
          <w:szCs w:val="18"/>
          <w:color w:val="auto"/>
        </w:rPr>
      </w:pPr>
      <w:r>
        <w:rPr>
          <w:rFonts w:ascii="Arial" w:cs="Arial" w:eastAsia="Arial" w:hAnsi="Arial"/>
          <w:sz w:val="18"/>
          <w:szCs w:val="18"/>
          <w:color w:val="auto"/>
        </w:rPr>
        <w:t>D   Compliance Certificate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E   ABL Intercreditor Agreement</w:t>
      </w:r>
    </w:p>
    <w:p>
      <w:pPr>
        <w:spacing w:after="0" w:line="9" w:lineRule="exact"/>
        <w:rPr>
          <w:rFonts w:ascii="Arial" w:cs="Arial" w:eastAsia="Arial" w:hAnsi="Arial"/>
          <w:sz w:val="18"/>
          <w:szCs w:val="18"/>
          <w:color w:val="auto"/>
        </w:rPr>
      </w:pPr>
    </w:p>
    <w:p>
      <w:pPr>
        <w:ind w:left="560" w:right="4780"/>
        <w:spacing w:after="0" w:line="265" w:lineRule="auto"/>
        <w:rPr>
          <w:rFonts w:ascii="Arial" w:cs="Arial" w:eastAsia="Arial" w:hAnsi="Arial"/>
          <w:sz w:val="18"/>
          <w:szCs w:val="18"/>
          <w:color w:val="auto"/>
        </w:rPr>
      </w:pPr>
      <w:r>
        <w:rPr>
          <w:rFonts w:ascii="Arial" w:cs="Arial" w:eastAsia="Arial" w:hAnsi="Arial"/>
          <w:sz w:val="17"/>
          <w:szCs w:val="17"/>
          <w:color w:val="auto"/>
        </w:rPr>
        <w:t>F-1 U.S. Tax Compliance Certificate (Non-Partnership Foreign Lenders) F-2 U.S. Tax Compliance Certificate (Non-Partnership Foreign Participants) F-3 U.S. Tax Compliance Certificate (Foreign Participant Partnerships)</w:t>
      </w:r>
    </w:p>
    <w:p>
      <w:pPr>
        <w:ind w:left="560"/>
        <w:spacing w:after="0"/>
        <w:rPr>
          <w:rFonts w:ascii="Arial" w:cs="Arial" w:eastAsia="Arial" w:hAnsi="Arial"/>
          <w:sz w:val="18"/>
          <w:szCs w:val="18"/>
          <w:color w:val="auto"/>
        </w:rPr>
      </w:pPr>
      <w:r>
        <w:rPr>
          <w:rFonts w:ascii="Arial" w:cs="Arial" w:eastAsia="Arial" w:hAnsi="Arial"/>
          <w:sz w:val="18"/>
          <w:szCs w:val="18"/>
          <w:color w:val="auto"/>
        </w:rPr>
        <w:t>F-4  U.S. Tax Compliance Certificate (Foreign Lender Partnerships)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65" w:right="49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TERM LOAN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22, 2021,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OAKTREE FUND ADMINISTRATION, LLC,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WHEREAS, the Borrower has request that, upon the satisfaction in full of the applicable conditions precedent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below, the applicable Lenders make term loans to the Borrower in an aggregate principal amount of $150,000,000 on the Closing Date (as hereinafter defined), the proceeds of which shall be used to repay, redeem, defease, discharge or terminate the Borrower’s outstanding obligations under the Existing Credit Agreement (as hereinafter defined);</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each Loan Party (as hereinafter defined) desires to secure all of the Obligations (as hereinafter defined) under the Loan Documents (as hereinafter defined) by granting to the Administrative Agent, for the benefit of the Lenders, a security interest in certain property of such Loan Party, subject to the limitations described herein and in the Collateral Documents (as hereinafter defined);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Lenders are willing to extend such credit to the Borrower on the terms and subject to the conditions set forth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1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Administrative Agent</w:t>
      </w:r>
      <w:r>
        <w:rPr>
          <w:rFonts w:ascii="Arial" w:cs="Arial" w:eastAsia="Arial" w:hAnsi="Arial"/>
          <w:sz w:val="18"/>
          <w:szCs w:val="18"/>
          <w:color w:val="auto"/>
        </w:rPr>
        <w:t>” means JPMorgan Chase Bank, N.A., in its capacity as administrative agent under the ABL Credit Agreement, and any applicable successors or assigns in such capacity.</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means the Credit Agreement dated as of the Closing Date, by and among the Borrower, the ABL Lenders and the ABL Administrative Agent, as the same may be amended, restated, supplemented, refinanced, replaced or otherwise modified from time to time in accordance with the ABL Intercreditor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w:t>
      </w:r>
      <w:r>
        <w:rPr>
          <w:rFonts w:ascii="Arial" w:cs="Arial" w:eastAsia="Arial" w:hAnsi="Arial"/>
          <w:sz w:val="18"/>
          <w:szCs w:val="18"/>
          <w:color w:val="auto"/>
        </w:rPr>
        <w:t>” means any “ABL Facility” under and as defined in the ABL Intercreditor Agreement.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xml:space="preserve">” means the intercreditor agreement dated as of the date hereof, between the Administrative Agent and the ABL Administrative Agent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Lenders</w:t>
      </w:r>
      <w:r>
        <w:rPr>
          <w:rFonts w:ascii="Arial" w:cs="Arial" w:eastAsia="Arial" w:hAnsi="Arial"/>
          <w:sz w:val="18"/>
          <w:szCs w:val="18"/>
          <w:color w:val="auto"/>
        </w:rPr>
        <w:t>” means the “Lenders” under and as defined in the ABL Credit Agreement.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Loan Documents</w:t>
      </w:r>
      <w:r>
        <w:rPr>
          <w:rFonts w:ascii="Arial" w:cs="Arial" w:eastAsia="Arial" w:hAnsi="Arial"/>
          <w:sz w:val="18"/>
          <w:szCs w:val="18"/>
          <w:color w:val="auto"/>
        </w:rPr>
        <w:t>” means the ABL Credit Agreement and all security and other collateral or other documents related thereto or entered into in connection therewith that are deemed to be “Loan Documents” under the ABL Credit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Obligations</w:t>
      </w:r>
      <w:r>
        <w:rPr>
          <w:rFonts w:ascii="Arial" w:cs="Arial" w:eastAsia="Arial" w:hAnsi="Arial"/>
          <w:sz w:val="18"/>
          <w:szCs w:val="18"/>
          <w:color w:val="auto"/>
        </w:rPr>
        <w:t>” means the Obligations, under and as defined in the ABL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specified in the ABL Intercreditor Agreement.</w:t>
      </w:r>
    </w:p>
    <w:p>
      <w:pPr>
        <w:sectPr>
          <w:pgSz w:w="11900" w:h="16838" w:orient="portrait"/>
          <w:cols w:equalWidth="0" w:num="1">
            <w:col w:w="10980"/>
          </w:cols>
          <w:pgMar w:left="440" w:top="274" w:right="47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ABL Revolving Credit Commitments</w:t>
      </w:r>
      <w:r>
        <w:rPr>
          <w:rFonts w:ascii="Arial" w:cs="Arial" w:eastAsia="Arial" w:hAnsi="Arial"/>
          <w:sz w:val="18"/>
          <w:szCs w:val="18"/>
          <w:color w:val="auto"/>
        </w:rPr>
        <w:t>” means the Commitments, under and as defined in the ABL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Revolving Loans</w:t>
      </w:r>
      <w:r>
        <w:rPr>
          <w:rFonts w:ascii="Arial" w:cs="Arial" w:eastAsia="Arial" w:hAnsi="Arial"/>
          <w:sz w:val="18"/>
          <w:szCs w:val="18"/>
          <w:color w:val="auto"/>
        </w:rPr>
        <w:t>” means the Loans, under and as defined in the ABL Credit Agreement.</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4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at any time, any bank, financial institution or other institutional lender or investor that, in any case, is not an existing Lender and that agrees to provide any portion of any Incremental Facility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Oaktree Fund Administration, LLC in its capacity as administrative agent under any of the Loan Documents, or any successor administrative agent.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Catch-up Payment</w:t>
      </w:r>
      <w:r>
        <w:rPr>
          <w:rFonts w:ascii="Arial" w:cs="Arial" w:eastAsia="Arial" w:hAnsi="Arial"/>
          <w:sz w:val="18"/>
          <w:szCs w:val="18"/>
          <w:color w:val="auto"/>
        </w:rPr>
        <w:t>”: with respect to Indebtedness that would constitute an applicable high yield debt obligation pursuant to</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163(i) of the Code but for such AHYDO Catch-Up Payment and solely with respect to any associated interest payment date occurring on or after the fifth anniversary of the issuance of such Indebtedness, and each interest payment date thereafter, excluding the interest payment date that falls on the maturity date of such Indebtedness, the amount of payment required for such Indebtedness not to be treated as having a “significant original issue discount” within the meaning of Section 163(i)(2) of the Code.</w:t>
      </w:r>
    </w:p>
    <w:p>
      <w:pPr>
        <w:spacing w:after="0" w:line="193"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U.S. Foreign Corrupt Practices Act of 1977, the UK Bribery Act 2010, and any other laws or regulations concerning or relating to bribery or corruption.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the Bank Secrecy Act, as amended by the PATRIOT Act, and any other laws or regulations concerning or relating to money laundering or terrorism financing.</w:t>
      </w:r>
    </w:p>
    <w:p>
      <w:pPr>
        <w:spacing w:after="0" w:line="170"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such Term Lender’s Term Loans at such time. If the commitment of each Lender to make Loans has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Term Commitments have expired, then the Applicable Percentage of each Lender in respect of the Term Facility shall be determined based on the Applicable Percentage of such Lender in respect of the Term Facility most recently in effect, giving effect to any subsequent assignments. The initial Applicable Percentage of each Lender in respect of the Term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1" w:name="page92"/>
    <w:bookmarkEnd w:id="91"/>
    <w:p>
      <w:pPr>
        <w:ind w:left="4"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at any time, in respect of the Term Loans (A) 5.875% per annum for Base Rate Loans and (B) 6.875% per annum for Eurodollar Rate Loans.</w:t>
      </w:r>
    </w:p>
    <w:p>
      <w:pPr>
        <w:spacing w:after="0" w:line="17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with respect to the Term Facility, a Lender that has a Commitment with respect to the Term Facility or holds a Loan under the Term Facility at such time.</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(a) in respect of any Financing Lease Obligations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Financing Lease Obligations and (c) all Synthetic Debt of such Person.</w:t>
      </w:r>
    </w:p>
    <w:p>
      <w:pPr>
        <w:spacing w:after="0" w:line="176"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auto"/>
        </w:rPr>
        <w:t>Section 1.07(d)</w:t>
      </w:r>
      <w:r>
        <w:rPr>
          <w:rFonts w:ascii="Arial" w:cs="Arial" w:eastAsia="Arial" w:hAnsi="Arial"/>
          <w:sz w:val="18"/>
          <w:szCs w:val="18"/>
          <w:color w:val="auto"/>
        </w:rPr>
        <w:t>.</w:t>
      </w:r>
    </w:p>
    <w:p>
      <w:pPr>
        <w:spacing w:after="0" w:line="18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Agent</w:t>
      </w:r>
      <w:r>
        <w:rPr>
          <w:rFonts w:ascii="Arial" w:cs="Arial" w:eastAsia="Arial" w:hAnsi="Arial"/>
          <w:sz w:val="18"/>
          <w:szCs w:val="18"/>
          <w:color w:val="auto"/>
        </w:rPr>
        <w:t xml:space="preserve">” means (a) the Administrative Agent or (b) any other financial institution or advisor employed by the Borrower (whether or not an Affiliate of the Administrative Agent) to act as an arranger in connection with any Dutch Auction;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neither the Borrower nor any of its Affiliates may act as the Auction Agent.</w:t>
      </w:r>
    </w:p>
    <w:p>
      <w:pPr>
        <w:spacing w:after="0" w:line="188"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years ended December 31, 2018, December 31, 2019 and December 31, 2020, and the related consolidated statements of income or operations, shareholders’ equity and cash flows for such fiscal year of the Borrower and its Subsidiaries, including the notes thereto.</w:t>
      </w:r>
    </w:p>
    <w:p>
      <w:pPr>
        <w:spacing w:after="0" w:line="18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 w:right="4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shall mean the highest of (i) the prime commercial lending rate published by the Wall Street Journal as the “</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(ii) the Federal Funds Rate, as in effect from time to time (which in no event shall be less than zero),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one-half of one percent (0.50%)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w:t>
      </w:r>
    </w:p>
    <w:p>
      <w:pPr>
        <w:jc w:val="both"/>
        <w:ind w:left="4" w:right="160" w:hanging="4"/>
        <w:spacing w:after="0" w:line="255"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Eurodollar Rate determined on a daily basis for an Interest Period of one (1)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percent (1.00%)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(any changes in such rates to be effective as of the date of any change in such rate). The Administrative Agent may make commercial loans or other loans at rates of interest at, above, or below the Administrative Agent’s prime lending rate.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USD LIBOR;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Arial" w:cs="Arial" w:eastAsia="Arial" w:hAnsi="Arial"/>
          <w:sz w:val="16"/>
          <w:szCs w:val="16"/>
          <w:u w:val="single" w:color="auto"/>
          <w:color w:val="auto"/>
        </w:rPr>
        <w:t>Section 1.07(a)</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03" w:lineRule="exact"/>
        <w:rPr>
          <w:sz w:val="20"/>
          <w:szCs w:val="20"/>
          <w:color w:val="auto"/>
        </w:rPr>
      </w:pPr>
    </w:p>
    <w:p>
      <w:pPr>
        <w:ind w:left="700" w:hanging="264"/>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17" w:lineRule="exact"/>
        <w:rPr>
          <w:rFonts w:ascii="Arial" w:cs="Arial" w:eastAsia="Arial" w:hAnsi="Arial"/>
          <w:sz w:val="18"/>
          <w:szCs w:val="18"/>
          <w:color w:val="auto"/>
        </w:rPr>
      </w:pPr>
    </w:p>
    <w:p>
      <w:pPr>
        <w:ind w:left="440" w:right="100" w:hanging="4"/>
        <w:spacing w:after="0" w:line="275" w:lineRule="auto"/>
        <w:tabs>
          <w:tab w:leader="none" w:pos="69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w:t>
      </w:r>
    </w:p>
    <w:p>
      <w:pPr>
        <w:spacing w:after="0" w:line="68"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18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38" w:lineRule="exact"/>
        <w:rPr>
          <w:sz w:val="20"/>
          <w:szCs w:val="20"/>
          <w:color w:val="auto"/>
        </w:rPr>
      </w:pPr>
    </w:p>
    <w:p>
      <w:pPr>
        <w:ind w:right="160" w:firstLine="436"/>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sz w:val="20"/>
          <w:szCs w:val="20"/>
          <w:color w:val="auto"/>
        </w:rPr>
      </w:pPr>
    </w:p>
    <w:p>
      <w:pPr>
        <w:ind w:left="440" w:right="20" w:hanging="4"/>
        <w:spacing w:after="0" w:line="259"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8" w:lineRule="exact"/>
        <w:rPr>
          <w:rFonts w:ascii="Arial" w:cs="Arial" w:eastAsia="Arial" w:hAnsi="Arial"/>
          <w:sz w:val="18"/>
          <w:szCs w:val="18"/>
          <w:color w:val="auto"/>
        </w:rPr>
      </w:pPr>
    </w:p>
    <w:p>
      <w:pPr>
        <w:jc w:val="both"/>
        <w:ind w:left="440" w:right="120" w:hanging="4"/>
        <w:spacing w:after="0" w:line="286"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65" w:lineRule="exact"/>
        <w:rPr>
          <w:sz w:val="20"/>
          <w:szCs w:val="20"/>
          <w:color w:val="auto"/>
        </w:rPr>
      </w:pPr>
    </w:p>
    <w:p>
      <w:pPr>
        <w:ind w:firstLine="436"/>
        <w:spacing w:after="0" w:line="25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3" w:name="page94"/>
    <w:bookmarkEnd w:id="93"/>
    <w:p>
      <w:pPr>
        <w:ind w:left="4" w:right="40" w:hanging="4"/>
        <w:spacing w:after="0" w:line="263" w:lineRule="auto"/>
        <w:tabs>
          <w:tab w:leader="none" w:pos="269"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w:t>
      </w:r>
    </w:p>
    <w:p>
      <w:pPr>
        <w:spacing w:after="0" w:line="184" w:lineRule="exact"/>
        <w:rPr>
          <w:sz w:val="20"/>
          <w:szCs w:val="20"/>
          <w:color w:val="auto"/>
        </w:rPr>
      </w:pPr>
    </w:p>
    <w:p>
      <w:pPr>
        <w:ind w:left="4" w:right="840" w:firstLine="44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24"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17" w:lineRule="exact"/>
        <w:rPr>
          <w:sz w:val="20"/>
          <w:szCs w:val="20"/>
          <w:color w:val="auto"/>
        </w:rPr>
      </w:pPr>
    </w:p>
    <w:p>
      <w:pPr>
        <w:ind w:left="4" w:firstLine="436"/>
        <w:spacing w:after="0" w:line="286" w:lineRule="auto"/>
        <w:tabs>
          <w:tab w:leader="none" w:pos="699"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ind w:left="4" w:right="440" w:firstLine="436"/>
        <w:spacing w:after="0" w:line="277" w:lineRule="auto"/>
        <w:tabs>
          <w:tab w:leader="none" w:pos="6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 or</w:t>
      </w:r>
    </w:p>
    <w:p>
      <w:pPr>
        <w:spacing w:after="0" w:line="170" w:lineRule="exact"/>
        <w:rPr>
          <w:rFonts w:ascii="Arial" w:cs="Arial" w:eastAsia="Arial" w:hAnsi="Arial"/>
          <w:sz w:val="18"/>
          <w:szCs w:val="18"/>
          <w:color w:val="auto"/>
        </w:rPr>
      </w:pPr>
    </w:p>
    <w:p>
      <w:pPr>
        <w:ind w:left="4" w:right="140" w:firstLine="436"/>
        <w:spacing w:after="0" w:line="259" w:lineRule="auto"/>
        <w:tabs>
          <w:tab w:leader="none" w:pos="6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129" w:lineRule="exact"/>
        <w:rPr>
          <w:sz w:val="20"/>
          <w:szCs w:val="20"/>
          <w:color w:val="auto"/>
        </w:rPr>
      </w:pPr>
    </w:p>
    <w:p>
      <w:pPr>
        <w:ind w:left="4" w:right="60" w:firstLine="436"/>
        <w:spacing w:after="0" w:line="259" w:lineRule="auto"/>
        <w:tabs>
          <w:tab w:leader="none" w:pos="6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94" w:name="page95"/>
    <w:bookmarkEnd w:id="94"/>
    <w:p>
      <w:pPr>
        <w:ind w:left="4" w:right="80" w:firstLine="436"/>
        <w:spacing w:after="0" w:line="272" w:lineRule="auto"/>
        <w:tabs>
          <w:tab w:leader="none" w:pos="699"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7" w:lineRule="exact"/>
        <w:rPr>
          <w:rFonts w:ascii="Arial" w:cs="Arial" w:eastAsia="Arial" w:hAnsi="Arial"/>
          <w:sz w:val="17"/>
          <w:szCs w:val="17"/>
          <w:color w:val="auto"/>
        </w:rPr>
      </w:pPr>
    </w:p>
    <w:p>
      <w:pPr>
        <w:ind w:left="4" w:right="560" w:firstLine="436"/>
        <w:spacing w:after="0" w:line="263" w:lineRule="auto"/>
        <w:tabs>
          <w:tab w:leader="none" w:pos="6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w:t>
      </w:r>
    </w:p>
    <w:p>
      <w:pPr>
        <w:spacing w:after="0" w:line="46" w:lineRule="exact"/>
        <w:rPr>
          <w:sz w:val="20"/>
          <w:szCs w:val="20"/>
          <w:color w:val="auto"/>
        </w:rPr>
      </w:pPr>
    </w:p>
    <w:p>
      <w:pPr>
        <w:ind w:left="4" w:right="260" w:hanging="4"/>
        <w:spacing w:after="0" w:line="277" w:lineRule="auto"/>
        <w:tabs>
          <w:tab w:leader="none" w:pos="259" w:val="left"/>
        </w:tabs>
        <w:numPr>
          <w:ilvl w:val="0"/>
          <w:numId w:val="93"/>
        </w:numPr>
        <w:rPr>
          <w:rFonts w:ascii="Arial" w:cs="Arial" w:eastAsia="Arial" w:hAnsi="Arial"/>
          <w:sz w:val="17"/>
          <w:szCs w:val="17"/>
          <w:color w:val="auto"/>
        </w:rPr>
      </w:pPr>
      <w:r>
        <w:rPr>
          <w:rFonts w:ascii="Arial" w:cs="Arial" w:eastAsia="Arial" w:hAnsi="Arial"/>
          <w:sz w:val="17"/>
          <w:szCs w:val="17"/>
          <w:color w:val="auto"/>
        </w:rPr>
        <w:t>or (2) of that definition has occurred if, at such time, no Benchmark Replacement has replaced the then-current Benchmark for all purposes hereunder and under any Loan Document in accordance with Section 1.07 and (y) ending at the time that a Benchmark Replacement has replaced the then-current Benchmark for all purposes hereunder and under any Loan Document in accordance with Section 1.07.</w:t>
      </w:r>
    </w:p>
    <w:p>
      <w:pPr>
        <w:spacing w:after="0" w:line="173"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shall mean an “affiliate” (as such term is defined under, and interpreted in accordance with, 12 U.S.C. 1841(k)) of such party.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means materials and/or information provided by or on behalf of the Borrower to the Administrative Agent and the Lenders in connection with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Term Borrowing.</w:t>
      </w:r>
    </w:p>
    <w:p>
      <w:pPr>
        <w:spacing w:after="0" w:line="225"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of New York and, if such day relates to any Eurodollar Rate Loan, means any such day that is also a London Banking Day.</w:t>
      </w:r>
    </w:p>
    <w:p>
      <w:pPr>
        <w:spacing w:after="0" w:line="184"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Distribution</w:t>
      </w:r>
      <w:r>
        <w:rPr>
          <w:rFonts w:ascii="Arial" w:cs="Arial" w:eastAsia="Arial" w:hAnsi="Arial"/>
          <w:sz w:val="17"/>
          <w:szCs w:val="17"/>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176"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 respect to any Person for any period, any expenditure in respect of the purchase or other acquisition of any fixed or capital asset (excluding normal replacements and maintenance that are properly charged to current operations).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type of Investment permitted pursuant to </w:t>
      </w:r>
      <w:r>
        <w:rPr>
          <w:rFonts w:ascii="Arial" w:cs="Arial" w:eastAsia="Arial" w:hAnsi="Arial"/>
          <w:sz w:val="18"/>
          <w:szCs w:val="18"/>
          <w:u w:val="single" w:color="auto"/>
          <w:color w:val="auto"/>
        </w:rPr>
        <w:t>Section 7.03(a)(ii)</w:t>
      </w:r>
      <w:r>
        <w:rPr>
          <w:rFonts w:ascii="Arial" w:cs="Arial" w:eastAsia="Arial" w:hAnsi="Arial"/>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5" w:name="page96"/>
    <w:bookmarkEnd w:id="95"/>
    <w:p>
      <w:pPr>
        <w:ind w:right="4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left="440" w:right="120" w:firstLine="419"/>
        <w:spacing w:after="0" w:line="279" w:lineRule="auto"/>
        <w:tabs>
          <w:tab w:leader="none" w:pos="110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63" w:lineRule="exact"/>
        <w:rPr>
          <w:rFonts w:ascii="Arial" w:cs="Arial" w:eastAsia="Arial" w:hAnsi="Arial"/>
          <w:sz w:val="17"/>
          <w:szCs w:val="17"/>
          <w:color w:val="auto"/>
        </w:rPr>
      </w:pPr>
    </w:p>
    <w:p>
      <w:pPr>
        <w:ind w:left="440" w:right="160" w:firstLine="419"/>
        <w:spacing w:after="0" w:line="273" w:lineRule="auto"/>
        <w:tabs>
          <w:tab w:leader="none" w:pos="11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69" w:lineRule="exact"/>
        <w:rPr>
          <w:rFonts w:ascii="Arial" w:cs="Arial" w:eastAsia="Arial" w:hAnsi="Arial"/>
          <w:sz w:val="17"/>
          <w:szCs w:val="17"/>
          <w:color w:val="auto"/>
        </w:rPr>
      </w:pPr>
    </w:p>
    <w:p>
      <w:pPr>
        <w:ind w:left="440" w:right="80" w:firstLine="419"/>
        <w:spacing w:after="0" w:line="277" w:lineRule="auto"/>
        <w:tabs>
          <w:tab w:leader="none" w:pos="11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 shall cease to own, directly or indirectly, one hundred percent (100%) of the record and beneficial ownership of each other Loan Party;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occurrence of a change in control, or other similar provision, as defined in the ABL Credit Agreement.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as amended</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and “</w:t>
      </w:r>
      <w:r>
        <w:rPr>
          <w:rFonts w:ascii="Arial" w:cs="Arial" w:eastAsia="Arial" w:hAnsi="Arial"/>
          <w:sz w:val="18"/>
          <w:szCs w:val="18"/>
          <w:u w:val="single" w:color="auto"/>
          <w:color w:val="auto"/>
        </w:rPr>
        <w:t>Mortgaged Property</w:t>
      </w:r>
      <w:r>
        <w:rPr>
          <w:rFonts w:ascii="Arial" w:cs="Arial" w:eastAsia="Arial" w:hAnsi="Arial"/>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the Mortgages, each of the mortgages, collateral assignments, Security Agreement Supplement,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96" w:name="page97"/>
    <w:bookmarkEnd w:id="9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any Term Commitment.</w:t>
      </w:r>
    </w:p>
    <w:p>
      <w:pPr>
        <w:spacing w:after="0" w:line="225" w:lineRule="exact"/>
        <w:rPr>
          <w:sz w:val="20"/>
          <w:szCs w:val="20"/>
          <w:color w:val="auto"/>
        </w:rPr>
      </w:pPr>
    </w:p>
    <w:p>
      <w:pPr>
        <w:ind w:left="4" w:right="3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Borrowing, (b) a conversion of Loans from one Type to the other, or (c)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84"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as determined on a consolidated basis, Consolidated Net Earnings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without duplication, the aggregate amounts deducted in determining such Consolidated Net Earnings in respect of: (i) Consolidated Interest Expense,</w:t>
      </w:r>
    </w:p>
    <w:p>
      <w:pPr>
        <w:ind w:left="4" w:right="20" w:hanging="4"/>
        <w:spacing w:after="0" w:line="283" w:lineRule="auto"/>
        <w:tabs>
          <w:tab w:leader="none" w:pos="2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Consolidated Income Tax Expense and distributions therefor, (iii) Consolidated Depreciation and Amortization Charges, (iv) non-cash charges, expenses, losses or other items;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(viii) (1) pro forma adjustments, including pro forma “run rate” cost savings, operating expense reductions and other synergies (in each case, net of amounts actually realized) related to the Transactions that are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Closing Date and/or (2) pro forma adjustments, including pro forma “run rate” cost savings, operating expense reductions, operating improvements and other synergies (in each case net of amounts actually realized) related to any Acquisition or Disposition permitted pursuant to this Agreement or related to restructuring initiatives, cost savings initiatives, new projects and other initiatives that are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that the amounts added to Consolidated EBITDA pursuant to the foregoing </w:t>
      </w:r>
      <w:r>
        <w:rPr>
          <w:rFonts w:ascii="Arial" w:cs="Arial" w:eastAsia="Arial" w:hAnsi="Arial"/>
          <w:sz w:val="16"/>
          <w:szCs w:val="16"/>
          <w:u w:val="single" w:color="auto"/>
          <w:color w:val="auto"/>
        </w:rPr>
        <w:t>clauses (vii</w:t>
      </w:r>
      <w:r>
        <w:rPr>
          <w:rFonts w:ascii="Arial" w:cs="Arial" w:eastAsia="Arial" w:hAnsi="Arial"/>
          <w:sz w:val="16"/>
          <w:szCs w:val="16"/>
          <w:color w:val="auto"/>
        </w:rPr>
        <w:t>) through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in any such period (other than with respect to (a) stock option and other equity based compensation expenses, (b) Transaction Costs and (c) Settlement Costs) shall not exceed, in the aggregate, 25% of Consolidated EBITDA for such period (calculated before giving effect to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97" w:name="page98"/>
    <w:bookmarkEnd w:id="97"/>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adjustments set forth in </w:t>
      </w:r>
      <w:r>
        <w:rPr>
          <w:rFonts w:ascii="Arial" w:cs="Arial" w:eastAsia="Arial" w:hAnsi="Arial"/>
          <w:sz w:val="16"/>
          <w:szCs w:val="16"/>
          <w:u w:val="single" w:color="auto"/>
          <w:color w:val="auto"/>
        </w:rPr>
        <w:t>clauses (vii</w:t>
      </w:r>
      <w:r>
        <w:rPr>
          <w:rFonts w:ascii="Arial" w:cs="Arial" w:eastAsia="Arial" w:hAnsi="Arial"/>
          <w:sz w:val="16"/>
          <w:szCs w:val="16"/>
          <w:color w:val="auto"/>
        </w:rPr>
        <w:t>) through (</w:t>
      </w:r>
      <w:r>
        <w:rPr>
          <w:rFonts w:ascii="Arial" w:cs="Arial" w:eastAsia="Arial" w:hAnsi="Arial"/>
          <w:sz w:val="16"/>
          <w:szCs w:val="16"/>
          <w:u w:val="single" w:color="auto"/>
          <w:color w:val="auto"/>
        </w:rPr>
        <w:t>xi</w:t>
      </w:r>
      <w:r>
        <w:rPr>
          <w:rFonts w:ascii="Arial" w:cs="Arial" w:eastAsia="Arial" w:hAnsi="Arial"/>
          <w:sz w:val="16"/>
          <w:szCs w:val="16"/>
          <w:color w:val="auto"/>
        </w:rPr>
        <w:t>)), (xii) charges, losses or expenses to the extent paid for, reimbursed, indemnified or insured by a third party (or reasonably expected to be so paid or reimbursed within one (1) year after the end of such period), (xiii) proceeds of business interruption insurance to the extent not included in the calculation of Consolidated Net Earnings, (xiv) income attributable to non-controlling interest, (xv) letter of credit and other financing fees, (xvi) any non-cash increase in expenses (1) resulting from the revaluation of inventory (including any impact of changes to inventory valuation policy methods including changes in capitalization of variances) or other inventory adjustments, or any other acquisition or</w:t>
      </w:r>
    </w:p>
    <w:p>
      <w:pPr>
        <w:spacing w:after="0" w:line="2" w:lineRule="exact"/>
        <w:rPr>
          <w:sz w:val="20"/>
          <w:szCs w:val="20"/>
          <w:color w:val="auto"/>
        </w:rPr>
      </w:pPr>
    </w:p>
    <w:p>
      <w:pPr>
        <w:ind w:left="4" w:hanging="4"/>
        <w:spacing w:after="0" w:line="253" w:lineRule="auto"/>
        <w:tabs>
          <w:tab w:leader="none" w:pos="25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due to purchase accounting and (xvii) earnout obligations with respect to any Acquisition or Investment paid or accrued during the applicable period. For purposes of this Agreement, Consolidated EBITDA shall be adjusted pursuant to </w:t>
      </w:r>
      <w:r>
        <w:rPr>
          <w:rFonts w:ascii="Arial" w:cs="Arial" w:eastAsia="Arial" w:hAnsi="Arial"/>
          <w:sz w:val="18"/>
          <w:szCs w:val="18"/>
          <w:u w:val="single" w:color="auto"/>
          <w:color w:val="auto"/>
        </w:rPr>
        <w:t>Section 1.03(c)</w:t>
      </w:r>
      <w:r>
        <w:rPr>
          <w:rFonts w:ascii="Arial" w:cs="Arial" w:eastAsia="Arial" w:hAnsi="Arial"/>
          <w:sz w:val="18"/>
          <w:szCs w:val="18"/>
          <w:color w:val="auto"/>
        </w:rPr>
        <w:t>. Notwithstanding anything to the contrary contained herein, for purposes of determining Consolidated EBITDA for each such period that includes: for the fiscal quarters ended June 30, 2020, September 30, 2020 and December 31, 2020, Consolidated EBITDA for such fiscal quarters shall be deemed to be $4,853,000, $14,660,000 and $16,845,000 respectively.</w:t>
      </w:r>
    </w:p>
    <w:p>
      <w:pPr>
        <w:spacing w:after="0" w:line="191" w:lineRule="exact"/>
        <w:rPr>
          <w:sz w:val="20"/>
          <w:szCs w:val="20"/>
          <w:color w:val="auto"/>
        </w:rPr>
      </w:pPr>
    </w:p>
    <w:p>
      <w:pPr>
        <w:ind w:left="4" w:right="3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at any date, all Indebtedness (including, but not limited to, current, long-term and Subordinated Indebtedness, if any) of the Borrower and its Subsidiaries, as determined on a consolidated basis and in accordance with GAAP; provided that in no event shall any preferred Equity Interests be included as indebtedness so long as such preferred Equity Interests does not have any mandatory redemption date, and in no event shall the Series D Preferred Stock constitute Consolidated Funded Indebtedness.</w:t>
      </w:r>
    </w:p>
    <w:p>
      <w:pPr>
        <w:spacing w:after="0" w:line="157"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Earnings</w:t>
      </w:r>
      <w:r>
        <w:rPr>
          <w:rFonts w:ascii="Arial" w:cs="Arial" w:eastAsia="Arial" w:hAnsi="Arial"/>
          <w:sz w:val="16"/>
          <w:szCs w:val="16"/>
          <w:color w:val="auto"/>
        </w:rPr>
        <w:t xml:space="preserve">” means, for any period, the net income (or loss) of the Borrower, its Subsidiaries, and Borrower’s equity in the net income (or loss) for such period of any Person if such Person is not a Subsidiary for such period, as determined on a consolidated basis and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Earnings shall exclude the net income of any Subsidiary or Person, during such period to the extent that the declaration or payment of dividends or similar distributions by such Subsidiary or Person of such income is not permitted by operation of the terms of its Organization Documents or any agreement, instrument or Law applicable to such Subsidiary during such period, except that the Borrower’s equity in any net loss of any such Subsidiary or Person for such period shall be included in determining Consolidated Net Earnings.</w:t>
      </w:r>
    </w:p>
    <w:p>
      <w:pPr>
        <w:spacing w:after="0" w:line="164"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means, as of any date, determined on a consolidated basis, the ratio of (a) Consolidated Funded Indebtedness (as of such date) minus the aggregate amount equal to 100% of the Unrestricted Cash and Cash Equivalents subject to control agreements (as of such date) of the Loan Parties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161" w:lineRule="exact"/>
        <w:rPr>
          <w:sz w:val="20"/>
          <w:szCs w:val="20"/>
          <w:color w:val="auto"/>
        </w:rPr>
      </w:pPr>
    </w:p>
    <w:p>
      <w:pPr>
        <w:ind w:left="4"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Secured Net Leverage Ratio</w:t>
      </w:r>
      <w:r>
        <w:rPr>
          <w:rFonts w:ascii="Arial" w:cs="Arial" w:eastAsia="Arial" w:hAnsi="Arial"/>
          <w:sz w:val="16"/>
          <w:szCs w:val="16"/>
          <w:color w:val="auto"/>
        </w:rPr>
        <w:t>” means, as of any date, determined on a consolidated basis, the ratio of (a) Consolidated Funded Indebtedness (as of such date) that is secured by Liens on assets or property of the Borrower and the Subsidiaries as of such date minus the aggregate amount equal to 100% of the Unrestricted Cash and Cash Equivalents subject to control agreements (as of such date) of the Loan Parties to</w:t>
      </w:r>
    </w:p>
    <w:p>
      <w:pPr>
        <w:spacing w:after="0" w:line="2" w:lineRule="exact"/>
        <w:rPr>
          <w:sz w:val="20"/>
          <w:szCs w:val="20"/>
          <w:color w:val="auto"/>
        </w:rPr>
      </w:pPr>
    </w:p>
    <w:p>
      <w:pPr>
        <w:ind w:left="4" w:right="600" w:hanging="4"/>
        <w:spacing w:after="0" w:line="260" w:lineRule="auto"/>
        <w:tabs>
          <w:tab w:leader="none" w:pos="25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Consolidated EBITDA (for the most recently completed four fiscal quarters of the Borrower for which financials are required to be delivered hereunder).</w:t>
      </w:r>
    </w:p>
    <w:p>
      <w:pPr>
        <w:spacing w:after="0" w:line="185" w:lineRule="exact"/>
        <w:rPr>
          <w:sz w:val="20"/>
          <w:szCs w:val="20"/>
          <w:color w:val="auto"/>
        </w:rPr>
      </w:pPr>
    </w:p>
    <w:p>
      <w:pPr>
        <w:ind w:left="4"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Controlled</w:t>
      </w:r>
      <w:r>
        <w:rPr>
          <w:rFonts w:ascii="Arial" w:cs="Arial" w:eastAsia="Arial" w:hAnsi="Arial"/>
          <w:sz w:val="17"/>
          <w:szCs w:val="17"/>
          <w:color w:val="auto"/>
        </w:rPr>
        <w:t>” has the meaning correlative thereto.</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98" w:name="page99"/>
    <w:bookmarkEnd w:id="98"/>
    <w:p>
      <w:pPr>
        <w:ind w:left="4"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382.2(b).</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shall have the meaning provided in Section 8.04.</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shall have the meaning provided in Section 8.04.</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unless cured or waived, would be an Event of Default.</w:t>
      </w:r>
    </w:p>
    <w:p>
      <w:pPr>
        <w:spacing w:after="0" w:line="17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any Lender that (a) has failed to (i) fund all or any portion of its Loans within two</w:t>
      </w:r>
    </w:p>
    <w:p>
      <w:pPr>
        <w:spacing w:after="0" w:line="35" w:lineRule="exact"/>
        <w:rPr>
          <w:sz w:val="20"/>
          <w:szCs w:val="20"/>
          <w:color w:val="auto"/>
        </w:rPr>
      </w:pPr>
    </w:p>
    <w:p>
      <w:pPr>
        <w:ind w:left="4" w:hanging="4"/>
        <w:spacing w:after="0" w:line="281" w:lineRule="auto"/>
        <w:tabs>
          <w:tab w:leader="none" w:pos="259" w:val="left"/>
        </w:tabs>
        <w:numPr>
          <w:ilvl w:val="0"/>
          <w:numId w:val="98"/>
        </w:numPr>
        <w:rPr>
          <w:rFonts w:ascii="Arial" w:cs="Arial" w:eastAsia="Arial" w:hAnsi="Arial"/>
          <w:sz w:val="16"/>
          <w:szCs w:val="16"/>
          <w:color w:val="auto"/>
        </w:rPr>
      </w:pPr>
      <w:r>
        <w:rPr>
          <w:rFonts w:ascii="Arial" w:cs="Arial" w:eastAsia="Arial" w:hAnsi="Arial"/>
          <w:sz w:val="16"/>
          <w:szCs w:val="16"/>
          <w:color w:val="auto"/>
        </w:rPr>
        <w:t>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4" w:lineRule="exact"/>
        <w:rPr>
          <w:rFonts w:ascii="Arial" w:cs="Arial" w:eastAsia="Arial" w:hAnsi="Arial"/>
          <w:sz w:val="16"/>
          <w:szCs w:val="16"/>
          <w:color w:val="auto"/>
        </w:rPr>
      </w:pPr>
    </w:p>
    <w:p>
      <w:pPr>
        <w:ind w:left="4" w:right="100"/>
        <w:spacing w:after="0" w:line="269" w:lineRule="auto"/>
        <w:rPr>
          <w:rFonts w:ascii="Arial" w:cs="Arial" w:eastAsia="Arial" w:hAnsi="Arial"/>
          <w:sz w:val="16"/>
          <w:szCs w:val="16"/>
          <w:color w:val="auto"/>
        </w:rPr>
      </w:pPr>
      <w:r>
        <w:rPr>
          <w:rFonts w:ascii="Arial" w:cs="Arial" w:eastAsia="Arial" w:hAnsi="Arial"/>
          <w:sz w:val="17"/>
          <w:szCs w:val="17"/>
          <w:color w:val="auto"/>
        </w:rPr>
        <w:t>(c)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and the Borrower), or (d) has, or has a direct or indirect parent company that has other than via an Undisclosed Administration,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99" w:name="page100"/>
    <w:bookmarkEnd w:id="99"/>
    <w:p>
      <w:pPr>
        <w:ind w:left="4"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w:t>
      </w:r>
    </w:p>
    <w:p>
      <w:pPr>
        <w:spacing w:after="0" w:line="2" w:lineRule="exact"/>
        <w:rPr>
          <w:sz w:val="20"/>
          <w:szCs w:val="20"/>
          <w:color w:val="auto"/>
        </w:rPr>
      </w:pPr>
    </w:p>
    <w:p>
      <w:pPr>
        <w:ind w:left="4" w:right="40" w:hanging="4"/>
        <w:spacing w:after="0" w:line="302" w:lineRule="auto"/>
        <w:tabs>
          <w:tab w:leader="none" w:pos="249" w:val="left"/>
        </w:tabs>
        <w:numPr>
          <w:ilvl w:val="0"/>
          <w:numId w:val="99"/>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region or territory that is the subject of comprehensive Sanctions.</w:t>
      </w:r>
    </w:p>
    <w:p>
      <w:pPr>
        <w:spacing w:after="0" w:line="225" w:lineRule="exact"/>
        <w:rPr>
          <w:sz w:val="20"/>
          <w:szCs w:val="20"/>
          <w:color w:val="auto"/>
        </w:rPr>
      </w:pPr>
    </w:p>
    <w:p>
      <w:pPr>
        <w:ind w:left="4" w:right="5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provided, further, that in no event will the term “Disqualified Equity Interest” include the Series D Preferred Stock.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4"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Dutch Auction</w:t>
      </w:r>
      <w:r>
        <w:rPr>
          <w:rFonts w:ascii="Arial" w:cs="Arial" w:eastAsia="Arial" w:hAnsi="Arial"/>
          <w:sz w:val="16"/>
          <w:szCs w:val="16"/>
          <w:color w:val="auto"/>
        </w:rPr>
        <w:t>” means an auction (an “</w:t>
      </w:r>
      <w:r>
        <w:rPr>
          <w:rFonts w:ascii="Arial" w:cs="Arial" w:eastAsia="Arial" w:hAnsi="Arial"/>
          <w:sz w:val="16"/>
          <w:szCs w:val="16"/>
          <w:u w:val="single" w:color="auto"/>
          <w:color w:val="auto"/>
        </w:rPr>
        <w:t>Auction</w:t>
      </w:r>
      <w:r>
        <w:rPr>
          <w:rFonts w:ascii="Arial" w:cs="Arial" w:eastAsia="Arial" w:hAnsi="Arial"/>
          <w:sz w:val="16"/>
          <w:szCs w:val="16"/>
          <w:color w:val="auto"/>
        </w:rPr>
        <w:t>”) conducted by the Borrower or one of its Subsidiaries in order to purchase Term Loans of any tranche in accordance with the following procedures or such other procedures as may be agreed to between the Auction Agent and the Borrower:</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00" w:name="page101"/>
    <w:bookmarkEnd w:id="100"/>
    <w:p>
      <w:pPr>
        <w:ind w:left="4" w:right="40" w:firstLine="987"/>
        <w:spacing w:after="0" w:line="255" w:lineRule="auto"/>
        <w:tabs>
          <w:tab w:leader="none" w:pos="1240"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Procedures</w:t>
      </w:r>
      <w:r>
        <w:rPr>
          <w:rFonts w:ascii="Arial" w:cs="Arial" w:eastAsia="Arial" w:hAnsi="Arial"/>
          <w:sz w:val="18"/>
          <w:szCs w:val="18"/>
          <w:color w:val="auto"/>
        </w:rPr>
        <w:t>. In connection with any Auction, the Borrower shall provide notification to the Auction Agent (for distribution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Appropriate Lenders and the Administrative Agent) of the Tranche of Term Loans that will be the subject of the Auction (an “</w:t>
      </w:r>
      <w:r>
        <w:rPr>
          <w:rFonts w:ascii="Arial" w:cs="Arial" w:eastAsia="Arial" w:hAnsi="Arial"/>
          <w:sz w:val="18"/>
          <w:szCs w:val="18"/>
          <w:u w:val="single" w:color="auto"/>
          <w:color w:val="auto"/>
        </w:rPr>
        <w:t>Auction Notice</w:t>
      </w:r>
      <w:r>
        <w:rPr>
          <w:rFonts w:ascii="Arial" w:cs="Arial" w:eastAsia="Arial" w:hAnsi="Arial"/>
          <w:sz w:val="18"/>
          <w:szCs w:val="18"/>
          <w:color w:val="auto"/>
        </w:rPr>
        <w:t>”). Each Auction Notice shall be in a form reasonably acceptable to the Auction Agent and shall specify (i) the total cash value of the bid, in a minimum amount of $5,000,000 with minimum increments of $1,000,000 in excess thereof (the “</w:t>
      </w:r>
      <w:r>
        <w:rPr>
          <w:rFonts w:ascii="Arial" w:cs="Arial" w:eastAsia="Arial" w:hAnsi="Arial"/>
          <w:sz w:val="18"/>
          <w:szCs w:val="18"/>
          <w:u w:val="single" w:color="auto"/>
          <w:color w:val="auto"/>
        </w:rPr>
        <w:t>Auction Amount</w:t>
      </w:r>
      <w:r>
        <w:rPr>
          <w:rFonts w:ascii="Arial" w:cs="Arial" w:eastAsia="Arial" w:hAnsi="Arial"/>
          <w:sz w:val="18"/>
          <w:szCs w:val="18"/>
          <w:color w:val="auto"/>
        </w:rPr>
        <w:t>”) and (ii) the discounts to par, which shall be expressed as a range of percentages (the “</w:t>
      </w:r>
      <w:r>
        <w:rPr>
          <w:rFonts w:ascii="Arial" w:cs="Arial" w:eastAsia="Arial" w:hAnsi="Arial"/>
          <w:sz w:val="18"/>
          <w:szCs w:val="18"/>
          <w:u w:val="single" w:color="auto"/>
          <w:color w:val="auto"/>
        </w:rPr>
        <w:t>Discount Range</w:t>
      </w:r>
      <w:r>
        <w:rPr>
          <w:rFonts w:ascii="Arial" w:cs="Arial" w:eastAsia="Arial" w:hAnsi="Arial"/>
          <w:sz w:val="18"/>
          <w:szCs w:val="18"/>
          <w:color w:val="auto"/>
        </w:rPr>
        <w:t>”), representing the range of purchase prices (expressed as discounts to par) that could be paid in the Auction for such Term Loans at issue.</w:t>
      </w:r>
    </w:p>
    <w:p>
      <w:pPr>
        <w:spacing w:after="0" w:line="192" w:lineRule="exact"/>
        <w:rPr>
          <w:rFonts w:ascii="Arial" w:cs="Arial" w:eastAsia="Arial" w:hAnsi="Arial"/>
          <w:sz w:val="18"/>
          <w:szCs w:val="18"/>
          <w:color w:val="auto"/>
        </w:rPr>
      </w:pPr>
    </w:p>
    <w:p>
      <w:pPr>
        <w:ind w:left="4" w:right="60" w:firstLine="987"/>
        <w:spacing w:after="0" w:line="271" w:lineRule="auto"/>
        <w:tabs>
          <w:tab w:leader="none" w:pos="1250"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Reply Procedures. </w:t>
      </w:r>
      <w:r>
        <w:rPr>
          <w:rFonts w:ascii="Arial" w:cs="Arial" w:eastAsia="Arial" w:hAnsi="Arial"/>
          <w:sz w:val="17"/>
          <w:szCs w:val="17"/>
          <w:color w:val="auto"/>
        </w:rPr>
        <w:t>In connection with any Auction, each applicable Lender may, in its sole discretion, participate in such Auction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the Auction Agent with a notice of participation (the “</w:t>
      </w:r>
      <w:r>
        <w:rPr>
          <w:rFonts w:ascii="Arial" w:cs="Arial" w:eastAsia="Arial" w:hAnsi="Arial"/>
          <w:sz w:val="17"/>
          <w:szCs w:val="17"/>
          <w:u w:val="single" w:color="auto"/>
          <w:color w:val="auto"/>
        </w:rPr>
        <w:t>Return Bid</w:t>
      </w:r>
      <w:r>
        <w:rPr>
          <w:rFonts w:ascii="Arial" w:cs="Arial" w:eastAsia="Arial" w:hAnsi="Arial"/>
          <w:sz w:val="17"/>
          <w:szCs w:val="17"/>
          <w:color w:val="auto"/>
        </w:rPr>
        <w:t>”) which shall be in a form reasonably acceptable to the Auction Agent and shall specify (i) a discount to par (such discount being the “</w:t>
      </w:r>
      <w:r>
        <w:rPr>
          <w:rFonts w:ascii="Arial" w:cs="Arial" w:eastAsia="Arial" w:hAnsi="Arial"/>
          <w:sz w:val="17"/>
          <w:szCs w:val="17"/>
          <w:u w:val="single" w:color="auto"/>
          <w:color w:val="auto"/>
        </w:rPr>
        <w:t>Reply Discount</w:t>
      </w:r>
      <w:r>
        <w:rPr>
          <w:rFonts w:ascii="Arial" w:cs="Arial" w:eastAsia="Arial" w:hAnsi="Arial"/>
          <w:sz w:val="17"/>
          <w:szCs w:val="17"/>
          <w:color w:val="auto"/>
        </w:rPr>
        <w:t>”) that must be expressed as a price, which must be within the Discount Range, and (ii) a principal amount of the applicable Term Loans such Lender is willing to sell, which must be in increments of $1,000,000 or in an amount equal to such Lender’s entire remaining amount of the applicable Term Loans (the “</w:t>
      </w:r>
      <w:r>
        <w:rPr>
          <w:rFonts w:ascii="Arial" w:cs="Arial" w:eastAsia="Arial" w:hAnsi="Arial"/>
          <w:sz w:val="17"/>
          <w:szCs w:val="17"/>
          <w:u w:val="single" w:color="auto"/>
          <w:color w:val="auto"/>
        </w:rPr>
        <w:t>Reply Amount</w:t>
      </w:r>
      <w:r>
        <w:rPr>
          <w:rFonts w:ascii="Arial" w:cs="Arial" w:eastAsia="Arial" w:hAnsi="Arial"/>
          <w:sz w:val="17"/>
          <w:szCs w:val="17"/>
          <w:color w:val="auto"/>
        </w:rPr>
        <w:t>”). Lenders may only submit one Return Bid per Auction. In addition to the Return Bid, each Lender wishing to participate in such Auction must execute and deliver, to be held in escrow by the Auction Agent, an assignment and acceptance agreement in a form reasonably acceptable to the Auction Agent (and shall authorize the Auction Agent to adjust the same to reflect any ratable treatment required by clause (c) below).</w:t>
      </w:r>
    </w:p>
    <w:p>
      <w:pPr>
        <w:spacing w:after="0" w:line="178" w:lineRule="exact"/>
        <w:rPr>
          <w:rFonts w:ascii="Arial" w:cs="Arial" w:eastAsia="Arial" w:hAnsi="Arial"/>
          <w:sz w:val="17"/>
          <w:szCs w:val="17"/>
          <w:color w:val="auto"/>
        </w:rPr>
      </w:pPr>
    </w:p>
    <w:p>
      <w:pPr>
        <w:ind w:left="4" w:right="40" w:firstLine="987"/>
        <w:spacing w:after="0" w:line="285" w:lineRule="auto"/>
        <w:tabs>
          <w:tab w:leader="none" w:pos="1240"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Acceptance Procedures</w:t>
      </w:r>
      <w:r>
        <w:rPr>
          <w:rFonts w:ascii="Arial" w:cs="Arial" w:eastAsia="Arial" w:hAnsi="Arial"/>
          <w:sz w:val="16"/>
          <w:szCs w:val="16"/>
          <w:color w:val="auto"/>
        </w:rPr>
        <w:t>. Based on the Reply Discounts and Reply Amounts received by the Auction Agent, the Auction Agent, in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 with the Borrower, will determine the applicable discount with respect to all Term Loans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xml:space="preserve">”) for the Auction, which shall be the highest Reply Discount for which the Borrower or its Subsidiary, as applicable, can complete the Auction at the Auction Amount;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event that the Reply Amounts are insufficient to allow the Borrower or its Subsidiary, as applicable, to complete a purchase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Auction Amount (any such Auction, a “</w:t>
      </w:r>
      <w:r>
        <w:rPr>
          <w:rFonts w:ascii="Arial" w:cs="Arial" w:eastAsia="Arial" w:hAnsi="Arial"/>
          <w:sz w:val="16"/>
          <w:szCs w:val="16"/>
          <w:u w:val="single" w:color="auto"/>
          <w:color w:val="auto"/>
        </w:rPr>
        <w:t>Failed Auction</w:t>
      </w:r>
      <w:r>
        <w:rPr>
          <w:rFonts w:ascii="Arial" w:cs="Arial" w:eastAsia="Arial" w:hAnsi="Arial"/>
          <w:sz w:val="16"/>
          <w:szCs w:val="16"/>
          <w:color w:val="auto"/>
        </w:rPr>
        <w:t>”), the Borrower or such Subsidiary shall either, at its election, (i) withdraw the Auction or</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complete the Auction at an Applicable Discount equal to the lowest Reply Discount. The Borrower or its Subsidiary, as applicable, shall purchase the applicable Term Loans (or the respective portions thereof) from each applicable Lender with a Reply Discount that is equal to or greater than the Applicable Discount (“</w:t>
      </w:r>
      <w:r>
        <w:rPr>
          <w:rFonts w:ascii="Arial" w:cs="Arial" w:eastAsia="Arial" w:hAnsi="Arial"/>
          <w:sz w:val="16"/>
          <w:szCs w:val="16"/>
          <w:u w:val="single" w:color="auto"/>
          <w:color w:val="auto"/>
        </w:rPr>
        <w:t>Qualifying Bids</w:t>
      </w:r>
      <w:r>
        <w:rPr>
          <w:rFonts w:ascii="Arial" w:cs="Arial" w:eastAsia="Arial" w:hAnsi="Arial"/>
          <w:sz w:val="16"/>
          <w:szCs w:val="16"/>
          <w:color w:val="auto"/>
        </w:rPr>
        <w:t xml:space="preserve">”) at the Applicable Discount;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proceeds required to purchase all applicable Term Loans subject to Qualifying Bids would exceed the Auction Amount for such Auction, the Borrower or its Subsidiary, as applicable, shall purchase such Term Loans at the Applicable Discount ratably based on the principal amounts of such Qualifying Bids (subject to adjustment for rounding as specified by the Auction Agent). Each participating Lender will receive notice of a Qualifying Bid as soon as reasonably practicable but in no case later than five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(5) Business Days from the date the Return Bid was due.</w:t>
      </w:r>
    </w:p>
    <w:p>
      <w:pPr>
        <w:spacing w:after="0" w:line="210" w:lineRule="exact"/>
        <w:rPr>
          <w:rFonts w:ascii="Arial" w:cs="Arial" w:eastAsia="Arial" w:hAnsi="Arial"/>
          <w:sz w:val="16"/>
          <w:szCs w:val="16"/>
          <w:color w:val="auto"/>
        </w:rPr>
      </w:pPr>
    </w:p>
    <w:p>
      <w:pPr>
        <w:ind w:left="4" w:right="60" w:firstLine="987"/>
        <w:spacing w:after="0" w:line="286" w:lineRule="auto"/>
        <w:tabs>
          <w:tab w:leader="none" w:pos="1250" w:val="left"/>
        </w:tabs>
        <w:numPr>
          <w:ilvl w:val="1"/>
          <w:numId w:val="101"/>
        </w:numPr>
        <w:rPr>
          <w:rFonts w:ascii="Arial" w:cs="Arial" w:eastAsia="Arial" w:hAnsi="Arial"/>
          <w:sz w:val="17"/>
          <w:szCs w:val="17"/>
          <w:color w:val="auto"/>
        </w:rPr>
      </w:pPr>
      <w:r>
        <w:rPr>
          <w:rFonts w:ascii="Arial" w:cs="Arial" w:eastAsia="Arial" w:hAnsi="Arial"/>
          <w:sz w:val="17"/>
          <w:szCs w:val="17"/>
          <w:i w:val="1"/>
          <w:iCs w:val="1"/>
          <w:color w:val="auto"/>
        </w:rPr>
        <w:t>Additional Procedures</w:t>
      </w:r>
      <w:r>
        <w:rPr>
          <w:rFonts w:ascii="Arial" w:cs="Arial" w:eastAsia="Arial" w:hAnsi="Arial"/>
          <w:sz w:val="17"/>
          <w:szCs w:val="17"/>
          <w:color w:val="auto"/>
        </w:rPr>
        <w:t>. Once initiated by an Auction Notice, the Borrower or its Subsidiary, as applicable, may not withdraw an</w:t>
      </w:r>
      <w:r>
        <w:rPr>
          <w:rFonts w:ascii="Arial" w:cs="Arial" w:eastAsia="Arial" w:hAnsi="Arial"/>
          <w:sz w:val="17"/>
          <w:szCs w:val="17"/>
          <w:i w:val="1"/>
          <w:iCs w:val="1"/>
          <w:color w:val="auto"/>
        </w:rPr>
        <w:t xml:space="preserve"> </w:t>
      </w:r>
      <w:r>
        <w:rPr>
          <w:rFonts w:ascii="Arial" w:cs="Arial" w:eastAsia="Arial" w:hAnsi="Arial"/>
          <w:sz w:val="17"/>
          <w:szCs w:val="17"/>
          <w:color w:val="auto"/>
        </w:rPr>
        <w:t>Auction 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USD LIBOR, the occurrence of:</w:t>
      </w:r>
    </w:p>
    <w:p>
      <w:pPr>
        <w:spacing w:after="0" w:line="117" w:lineRule="exact"/>
        <w:rPr>
          <w:sz w:val="20"/>
          <w:szCs w:val="20"/>
          <w:color w:val="auto"/>
        </w:rPr>
      </w:pPr>
    </w:p>
    <w:p>
      <w:pPr>
        <w:ind w:left="4" w:right="120" w:firstLine="436"/>
        <w:spacing w:after="0" w:line="259" w:lineRule="auto"/>
        <w:tabs>
          <w:tab w:leader="none" w:pos="69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6" w:lineRule="exact"/>
        <w:rPr>
          <w:rFonts w:ascii="Arial" w:cs="Arial" w:eastAsia="Arial" w:hAnsi="Arial"/>
          <w:sz w:val="18"/>
          <w:szCs w:val="18"/>
          <w:color w:val="auto"/>
        </w:rPr>
      </w:pPr>
    </w:p>
    <w:p>
      <w:pPr>
        <w:ind w:left="4" w:right="1020" w:firstLine="436"/>
        <w:spacing w:after="0" w:line="277" w:lineRule="auto"/>
        <w:tabs>
          <w:tab w:leader="none" w:pos="69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USD LIBOR and the provision by the Administrative Agent of written notice of such election to the Lenders.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for any fiscal year ending on or after December 31, 2021:</w:t>
      </w:r>
    </w:p>
    <w:p>
      <w:pPr>
        <w:spacing w:after="0" w:line="117" w:lineRule="exact"/>
        <w:rPr>
          <w:sz w:val="20"/>
          <w:szCs w:val="20"/>
          <w:color w:val="auto"/>
        </w:rPr>
      </w:pPr>
    </w:p>
    <w:p>
      <w:pPr>
        <w:ind w:left="5424" w:right="2020" w:hanging="4561"/>
        <w:spacing w:after="0" w:line="449" w:lineRule="auto"/>
        <w:tabs>
          <w:tab w:leader="none" w:pos="11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 if the Consolidated Net Leverage Ratio as of the last day of such fiscal year is greater than 3.00 to 1.00; 12</w:t>
      </w:r>
    </w:p>
    <w:p>
      <w:pPr>
        <w:sectPr>
          <w:pgSz w:w="11900" w:h="16838" w:orient="portrait"/>
          <w:cols w:equalWidth="0" w:num="1">
            <w:col w:w="10964"/>
          </w:cols>
          <w:pgMar w:left="436" w:top="274" w:right="499" w:bottom="1440" w:gutter="0" w:footer="0" w:header="0"/>
        </w:sectPr>
      </w:pPr>
    </w:p>
    <w:bookmarkStart w:id="101" w:name="page102"/>
    <w:bookmarkEnd w:id="101"/>
    <w:p>
      <w:pPr>
        <w:ind w:left="444" w:right="320" w:firstLine="419"/>
        <w:spacing w:after="0" w:line="277" w:lineRule="auto"/>
        <w:tabs>
          <w:tab w:leader="none" w:pos="1122"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 if the Consolidated Net Leverage Ratio as of the last day of such fiscal year is equal to or less than 3.00 to 1.00 but greater than 2.00 to 1.00; and</w:t>
      </w:r>
    </w:p>
    <w:p>
      <w:pPr>
        <w:spacing w:after="0" w:line="62" w:lineRule="exact"/>
        <w:rPr>
          <w:rFonts w:ascii="Arial" w:cs="Arial" w:eastAsia="Arial" w:hAnsi="Arial"/>
          <w:sz w:val="18"/>
          <w:szCs w:val="18"/>
          <w:color w:val="auto"/>
        </w:rPr>
      </w:pPr>
    </w:p>
    <w:p>
      <w:pPr>
        <w:ind w:left="1104" w:hanging="241"/>
        <w:spacing w:after="0"/>
        <w:tabs>
          <w:tab w:leader="none" w:pos="11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0% if the Consolidated Net Leverage Ratio as of the last day of such fiscal year is equal to or less than 2.00 to 1.00.</w:t>
      </w:r>
    </w:p>
    <w:p>
      <w:pPr>
        <w:spacing w:after="0" w:line="225"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ind w:left="244" w:hanging="244"/>
        <w:spacing w:after="0"/>
        <w:tabs>
          <w:tab w:leader="none" w:pos="24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of this definition, or (c) any financial institution established in an EEA Member Country that is a subsidiary of an institution described in </w:t>
      </w:r>
      <w:r>
        <w:rPr>
          <w:rFonts w:ascii="Arial" w:cs="Arial" w:eastAsia="Arial" w:hAnsi="Arial"/>
          <w:sz w:val="17"/>
          <w:szCs w:val="17"/>
          <w:u w:val="single" w:color="auto"/>
          <w:color w:val="auto"/>
        </w:rPr>
        <w:t>clause</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10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7"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02" w:name="page103"/>
    <w:bookmarkEnd w:id="102"/>
    <w:p>
      <w:pPr>
        <w:ind w:left="4"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xml:space="preserve">”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insolvency; (d) the filing of a notice of intent to terminate or the treatment of a Pension Plan amendment as a termination under Section 4041 or 4041A of ERISA; (e) the institution by the PBGC of proceedings to terminate a Pension Plan; (f) any event or condition that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 or (j) any event similar to the events set forth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with respect to a Foreign Pension Plan.</w:t>
      </w:r>
    </w:p>
    <w:p>
      <w:pPr>
        <w:spacing w:after="0" w:line="168"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means, with respect to each Interest Period for a Eurodollar Rate Loan or for any calculation of the Base Rate in accordance with clause (iii) of the definition of Base Rate, (i) the rate per annum equal to the London interbank offered rate for deposits in Dollars appearing on the applicable Bloomberg screen (or on any successor or substitute page of such service or any successor to such service, or such other commercially available source providing such quotations as may be designated by the Administrative Agent from time to time) at approximately 11:00 A.M. (London time) two (2) Business Days prior to the first day of such Interest Period, with a maturity equal to such Interest Period,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a percentage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rate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is not available at any such time for any reason, then the rate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instead be the interest rate per annum, as determined by the Administrative Agent, to be the arithmetic average of the rates per annum at which deposits in Dollars in an amount equal to the amount of such Eurodollar Rate Loan are offered by major banks in the London interbank market to the Administrative Agent at approximately 11:00 A.M. (London time), two (2) Business Days prior to the first day of such Interest Period for contracts that would be entered into at the commencement of such Interest Period for the same duration as such Interest Period.</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Notwithstanding the foregoing, in no event shall the Eurodollar Rate be less than 1.00%.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Loan</w:t>
      </w:r>
      <w:r>
        <w:rPr>
          <w:rFonts w:ascii="Arial" w:cs="Arial" w:eastAsia="Arial" w:hAnsi="Arial"/>
          <w:sz w:val="16"/>
          <w:szCs w:val="16"/>
          <w:color w:val="auto"/>
        </w:rPr>
        <w:t xml:space="preserve">” means a Loan that bears interest at a rate determined by reference to the Eurodollar Rate (other than by reason of </w:t>
      </w:r>
      <w:r>
        <w:rPr>
          <w:rFonts w:ascii="Arial" w:cs="Arial" w:eastAsia="Arial" w:hAnsi="Arial"/>
          <w:sz w:val="16"/>
          <w:szCs w:val="16"/>
          <w:u w:val="single" w:color="auto"/>
          <w:color w:val="auto"/>
        </w:rPr>
        <w:t>clause</w:t>
      </w:r>
    </w:p>
    <w:p>
      <w:pPr>
        <w:spacing w:after="0" w:line="46" w:lineRule="exact"/>
        <w:rPr>
          <w:sz w:val="20"/>
          <w:szCs w:val="20"/>
          <w:color w:val="auto"/>
        </w:rPr>
      </w:pPr>
    </w:p>
    <w:p>
      <w:pPr>
        <w:ind w:left="324" w:hanging="324"/>
        <w:spacing w:after="0"/>
        <w:tabs>
          <w:tab w:leader="none" w:pos="324" w:val="left"/>
        </w:tabs>
        <w:numPr>
          <w:ilvl w:val="0"/>
          <w:numId w:val="107"/>
        </w:numPr>
        <w:rPr>
          <w:rFonts w:ascii="Arial" w:cs="Arial" w:eastAsia="Arial" w:hAnsi="Arial"/>
          <w:sz w:val="18"/>
          <w:szCs w:val="18"/>
          <w:u w:val="single" w:color="auto"/>
          <w:color w:val="auto"/>
        </w:rPr>
      </w:pPr>
      <w:r>
        <w:rPr>
          <w:rFonts w:ascii="Arial" w:cs="Arial" w:eastAsia="Arial" w:hAnsi="Arial"/>
          <w:sz w:val="18"/>
          <w:szCs w:val="18"/>
          <w:color w:val="auto"/>
        </w:rPr>
        <w:t>of the definition of “Base Rate”).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fiscal year of the Borrower, the excess (if any) of (a) Consolidated EBITDA for such fiscal year (determined without giving effect to </w:t>
      </w:r>
      <w:r>
        <w:rPr>
          <w:rFonts w:ascii="Arial" w:cs="Arial" w:eastAsia="Arial" w:hAnsi="Arial"/>
          <w:sz w:val="16"/>
          <w:szCs w:val="16"/>
          <w:u w:val="single" w:color="auto"/>
          <w:color w:val="auto"/>
        </w:rPr>
        <w:t>clause (a)(viii)</w:t>
      </w:r>
      <w:r>
        <w:rPr>
          <w:rFonts w:ascii="Arial" w:cs="Arial" w:eastAsia="Arial" w:hAnsi="Arial"/>
          <w:sz w:val="16"/>
          <w:szCs w:val="16"/>
          <w:color w:val="auto"/>
        </w:rPr>
        <w:t xml:space="preserve"> thereof and any adjustments thereto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(for such fiscal year) of</w:t>
      </w:r>
    </w:p>
    <w:p>
      <w:pPr>
        <w:ind w:left="4" w:right="140" w:hanging="4"/>
        <w:spacing w:after="0" w:line="295" w:lineRule="auto"/>
        <w:tabs>
          <w:tab w:leader="none" w:pos="21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Consolidated Interest Expense actually paid in cash by the Borrower and its Subsidiaries, (ii) scheduled principal repayments, to the extent actually made in cash, of the Term Loans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(iii) all Consolidated Income Tax Expense actually paid in cash by the Borrower and its Subsidiaries, (iv) Capital Expenditures actually made by the Borrower and its Subsidiaries in cash, (v) Transaction Costs actually paid by the Borrower and its Subsidiaries in cash (vi) Settlement Costs actually paid by the Borrower and its Subsidiaries in cash, (vi) purchase price adjustment (including</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103" w:name="page104"/>
    <w:bookmarkEnd w:id="103"/>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reasonable fees and expenses related thereto) in connection with the sale of Borrower’s Life Sciences division actually paid in cash and (vii) tax payments and customary transactions costs and expenses related to the issuance of the Series B preferred Equity Interests paid in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of </w:t>
      </w:r>
      <w:r>
        <w:rPr>
          <w:rFonts w:ascii="Arial" w:cs="Arial" w:eastAsia="Arial" w:hAnsi="Arial"/>
          <w:sz w:val="17"/>
          <w:szCs w:val="17"/>
          <w:u w:val="single" w:color="auto"/>
          <w:color w:val="auto"/>
        </w:rPr>
        <w:t>clauses (b)(i)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7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(i) any property to the extent that the grant of a security interest therein would violate applicable laws, require a consent not obtained of any Governmental Authority, or constitute a breach of or default under, or result in the termination of or require a consent not obtained under, any contract, lease, license or other agreement evidencing or giving rise to such property, or result in the invalidation thereof or provide any party thereto with a right of termination (other than to the extent that any such term would be rendered ineffective pursuant to Section 9-406, 9-407, 9-408 or</w:t>
      </w:r>
    </w:p>
    <w:p>
      <w:pPr>
        <w:spacing w:after="0" w:line="1"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9-409 of the applicable UCC or any other applicable Law or principles of equity), except in each case with respect to any such contract, lease, license or other agreement evidencing or giving rise to such property, the provision resulting in such prohibition, breach, default, right of termination or consent was entered into in contemplation thereof or for the purposes of circumventing the requirements of the Loan Documents (ii) any permit, license, contract or lease to the extent that (and in each case only for so long as) such grant of a security interest is prohibited by any anti-assignment provision therein or the anti-assignment provisions of the UCC (other than proceeds and receivables thereof, the assignment of which is expressly deemed effective under the UCC notwithstanding such prohibition) or any applicable laws or is prohibited by, or constitutes a breach or default under or results in the termination of or gives rise to a right on the part of the parties thereto other than the Loan Parties and their Subsidiaries to terminate such permit, license, contract or lease (or requires the consent of any party thereto other than the Loan Parties and their Subsidiaries), except in each case to the extent that</w:t>
      </w:r>
    </w:p>
    <w:p>
      <w:pPr>
        <w:spacing w:after="0" w:line="5" w:lineRule="exact"/>
        <w:rPr>
          <w:sz w:val="20"/>
          <w:szCs w:val="20"/>
          <w:color w:val="auto"/>
        </w:rPr>
      </w:pPr>
    </w:p>
    <w:p>
      <w:pPr>
        <w:ind w:left="4" w:hanging="4"/>
        <w:spacing w:after="0" w:line="281" w:lineRule="auto"/>
        <w:tabs>
          <w:tab w:leader="none" w:pos="25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with respect to any such contract or lease, the provision resulting in such prohibition, breach, default, right of termination or consent was entered into in contemplation thereof or for the purposes of circumventing the requirements of the Loan Documents and (y) such anti-assignment provisions or such laws or the term in such permit, license, contract or lease providing for such prohibition, breach, default, right of termination or consent are ineffective or rendered unenforceable under the applicable anti-assignment provisions of the UCC, (iii) any property owned by a Loan Party on the date hereof or hereafter acquired that is subject to a Lien securing a purchase money or capital or finance lease obligation permitted to be incurred hereunder if (and in each case only for so long as) the contract or other agreement in which such Lien is granted (or the documentation providing for such purchase money, project financing or capital or finance lease obligation) prohibits the creation of any other Lien on such property or would give rise to a right to termination with respect thereto except to the extent that the term in such contract or other agreement providing for such prohibition is ineffective or rendered unenforceable under the applicable anti-assignment provisions of the UCC other than proceeds and receivables thereof, the assignment of which is expressly deemed effective under the UCC notwithstanding such prohibition, (iv) (A) solely with respect to each first-tier Foreign Subsidiary that is a CFC and each Foreign Subsidiary Holding Company, voting equity securities in excess of 65% of the voting equity securities thereof and</w:t>
      </w:r>
    </w:p>
    <w:p>
      <w:pPr>
        <w:spacing w:after="0" w:line="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(B) any equity interests of a Subsidiary that is owned by a Subsidiary that is a CFC or a Foreign Subsidiary Holding Company, (v) any Trust Account,</w:t>
      </w:r>
    </w:p>
    <w:p>
      <w:pPr>
        <w:spacing w:after="0" w:line="32" w:lineRule="exact"/>
        <w:rPr>
          <w:rFonts w:ascii="Arial" w:cs="Arial" w:eastAsia="Arial" w:hAnsi="Arial"/>
          <w:sz w:val="16"/>
          <w:szCs w:val="16"/>
          <w:color w:val="auto"/>
        </w:rPr>
      </w:pPr>
    </w:p>
    <w:p>
      <w:pPr>
        <w:ind w:left="4" w:right="60" w:hanging="4"/>
        <w:spacing w:after="0" w:line="284" w:lineRule="auto"/>
        <w:tabs>
          <w:tab w:leader="none" w:pos="3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solely to the extent and during the period, if any, that, the grant of such security interest would impair the validity or enforceability of such intent-to-use United States trademark application under applicable federal law; provided, that, upon such filing and acceptance, such intent-to-use applications shall be included as Collateral, (vii) all assets of Foreign Subsidiaries, (viii) all leasehold real property, (ix) fee owned real property that does not constitute Material Real Property (other than any Mortgaged Property), (x) interests in partnerships, joint ventures and non-wholly owned subsidiaries, (xi) margin stock, (xii) security interests to the extent the same would result in adverse tax consequences (including as a result of any law or regulation in any applicable jurisdiction similar to Section 956 of the Internal Revenue Code) (in each case, other than </w:t>
      </w:r>
      <w:r>
        <w:rPr>
          <w:rFonts w:ascii="Arial" w:cs="Arial" w:eastAsia="Arial" w:hAnsi="Arial"/>
          <w:sz w:val="16"/>
          <w:szCs w:val="16"/>
          <w:i w:val="1"/>
          <w:iCs w:val="1"/>
          <w:color w:val="auto"/>
        </w:rPr>
        <w:t>de minimis</w:t>
      </w:r>
      <w:r>
        <w:rPr>
          <w:rFonts w:ascii="Arial" w:cs="Arial" w:eastAsia="Arial" w:hAnsi="Arial"/>
          <w:sz w:val="16"/>
          <w:szCs w:val="16"/>
          <w:color w:val="auto"/>
        </w:rPr>
        <w:t>) as reasonably determined by the Borrower and Required Lenders, and (xiii) those assets as to which the Borrower and the Required Lenders reasonably agree that the cost of obtaining such a security interest or perfection thereof are excessive in relation to the benefit to the Lenders of the security to be afforded thereby (including, for the avoidance of doubt, motor vehicles and other assets subject to certificates of title); provided, further, that, notwithstanding the foregoing, a security interest shall be, and is hereby, granted in (A) any property immediately upon such property ceasing to be an Excluded Asset and (B) any and all proceeds, products, substitutions and replacements of Excluded Assets to the extent such proceeds, products, substitutions and replacements do not themselves constitute Excluded Assets; provided, however, if any Excluded Asset does not constitute an Excluded Asset (as defined in the ABL Credit Agreement), it shall not constitute an Excluded Asset hereunder.</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04" w:name="page105"/>
    <w:bookmarkEnd w:id="104"/>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Excluded Deposit Accounts</w:t>
      </w:r>
      <w:r>
        <w:rPr>
          <w:rFonts w:ascii="Arial" w:cs="Arial" w:eastAsia="Arial" w:hAnsi="Arial"/>
          <w:sz w:val="18"/>
          <w:szCs w:val="18"/>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to the extent permitted hereunder.</w:t>
      </w:r>
    </w:p>
    <w:p>
      <w:pPr>
        <w:spacing w:after="0" w:line="187" w:lineRule="exact"/>
        <w:rPr>
          <w:sz w:val="20"/>
          <w:szCs w:val="20"/>
          <w:color w:val="auto"/>
        </w:rPr>
      </w:pPr>
    </w:p>
    <w:p>
      <w:pPr>
        <w:ind w:right="16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Subsidiaries</w:t>
      </w:r>
      <w:r>
        <w:rPr>
          <w:rFonts w:ascii="Arial" w:cs="Arial" w:eastAsia="Arial" w:hAnsi="Arial"/>
          <w:sz w:val="18"/>
          <w:szCs w:val="18"/>
          <w:color w:val="auto"/>
        </w:rPr>
        <w:t xml:space="preserve">” means (i) any Subsidiary to the extent a Guaranty by such Subsidiary would be prohibited or restricted by law, rule or regulation, or by any restriction in any contract or constituent document existing on the Closing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(iii) any direct or indirect Subsidiary of any Foreign Subsidiary or any Foreign Subsidiary Holding Company set forth in clause (ii), (iv) any Subsidiary that is an Immaterial Subsidiary, (v) any Subsidiary where the Required Lenders and the Borrower reasonably determine that would reasonably be expected to result in adverse tax, accounting or regulatory consequences (in each case, other than </w:t>
      </w:r>
      <w:r>
        <w:rPr>
          <w:rFonts w:ascii="Arial" w:cs="Arial" w:eastAsia="Arial" w:hAnsi="Arial"/>
          <w:sz w:val="18"/>
          <w:szCs w:val="18"/>
          <w:i w:val="1"/>
          <w:iCs w:val="1"/>
          <w:color w:val="auto"/>
        </w:rPr>
        <w:t>de minimis</w:t>
      </w:r>
      <w:r>
        <w:rPr>
          <w:rFonts w:ascii="Arial" w:cs="Arial" w:eastAsia="Arial" w:hAnsi="Arial"/>
          <w:sz w:val="18"/>
          <w:szCs w:val="18"/>
          <w:color w:val="auto"/>
        </w:rPr>
        <w:t>), (vi) (h) special purpose entities (including, without limitation, entities formed for the purpose of (i) securitization facilities and (ii) purchasing, improving or financing real estate), (vii) not-for- profit subsidiaries, if any, and (vii) captive insurance companies, if any.</w:t>
      </w:r>
    </w:p>
    <w:p>
      <w:pPr>
        <w:spacing w:after="0" w:line="19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and (d) any U.S. Federal withholding Taxes imposed under FATCA.</w:t>
      </w:r>
    </w:p>
    <w:p>
      <w:pPr>
        <w:spacing w:after="0" w:line="185"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that certain Second Amended and Restated Credit Agreement, dated as of December 19, 2019 (as amended prior to the Closing Date), by and between (i) the Borrower, (ii) the guarantors from time to time party thereto, (iii) the lenders from time to time party thereto and (iv) Truist Bank, as successor by merger to SunTrust Bank, as administrative agent and collateral agent.</w:t>
      </w:r>
    </w:p>
    <w:p>
      <w:pPr>
        <w:spacing w:after="0" w:line="16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Indebtedness</w:t>
      </w:r>
      <w:r>
        <w:rPr>
          <w:rFonts w:ascii="Arial" w:cs="Arial" w:eastAsia="Arial" w:hAnsi="Arial"/>
          <w:sz w:val="18"/>
          <w:szCs w:val="18"/>
          <w:color w:val="auto"/>
        </w:rPr>
        <w:t>” means all Indebtedness evidenced by the Existing Credit Agreement and the other loan documents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05" w:name="page106"/>
    <w:bookmarkEnd w:id="105"/>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all existing Indebtedness of the Borrower and its Subsidiaries, including, without limitation, the Existing Credit Agreement Indebtedness but excluding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February 19, 2021, among the Borrower and Oaktree.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8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USD LIBOR.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Excess Cash Flow</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06" w:name="page107"/>
    <w:bookmarkEnd w:id="106"/>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 For purposes of this definition, the United States, each State thereof and the District of Columbia shall be deemed to constitute a single jurisdiction.</w:t>
      </w:r>
    </w:p>
    <w:p>
      <w:pPr>
        <w:spacing w:after="0" w:line="170"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Pension Plan</w:t>
      </w:r>
      <w:r>
        <w:rPr>
          <w:rFonts w:ascii="Arial" w:cs="Arial" w:eastAsia="Arial" w:hAnsi="Arial"/>
          <w:sz w:val="16"/>
          <w:szCs w:val="16"/>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any political subdivision other than any political subdivision of the United States.</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Subsidiary of the Borrower all of the assets of which constitute the Equity Interests and/or Indebtedness of one or more CFCs and other Foreign Subsidiary Holding Companies.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ind w:left="4" w:right="80" w:hanging="4"/>
        <w:spacing w:after="0" w:line="270" w:lineRule="auto"/>
        <w:tabs>
          <w:tab w:leader="none" w:pos="25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7"/>
          <w:szCs w:val="17"/>
          <w:i w:val="1"/>
          <w:iCs w:val="1"/>
          <w:color w:val="auto"/>
        </w:rPr>
        <w:t>provided</w:t>
      </w:r>
      <w:r>
        <w:rPr>
          <w:rFonts w:ascii="Arial" w:cs="Arial" w:eastAsia="Arial" w:hAnsi="Arial"/>
          <w:sz w:val="17"/>
          <w:szCs w:val="17"/>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78"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the Domestic Subsidiaries of the Borrower (other than Immaterial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and each other Domestic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107" w:name="page108"/>
    <w:bookmarkEnd w:id="107"/>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Guaranty made by the Guarantors in favor of the Secured Parties,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and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Arial" w:cs="Arial" w:eastAsia="Arial" w:hAnsi="Arial"/>
          <w:sz w:val="16"/>
          <w:szCs w:val="16"/>
          <w:u w:val="single" w:color="auto"/>
          <w:color w:val="auto"/>
        </w:rPr>
        <w:t>Section 6.12(g)</w:t>
      </w:r>
      <w:r>
        <w:rPr>
          <w:rFonts w:ascii="Arial" w:cs="Arial" w:eastAsia="Arial" w:hAnsi="Arial"/>
          <w:sz w:val="16"/>
          <w:szCs w:val="16"/>
          <w:color w:val="auto"/>
        </w:rPr>
        <w:t xml:space="preserve">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Arranger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40" w:right="560" w:firstLine="419"/>
        <w:spacing w:after="0" w:line="277"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jc w:val="center"/>
        <w:ind w:left="440" w:right="40" w:firstLine="419"/>
        <w:spacing w:after="0" w:line="342" w:lineRule="auto"/>
        <w:tabs>
          <w:tab w:leader="none" w:pos="111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maximum amount of all direct or contingent obligations of such Person arising under letters of credit (including standby and commercial and limited to drawn but unreimbursed letters of credit), bankers’ acceptances, bank guaranties, surety bonds and similar instruments;</w:t>
      </w:r>
    </w:p>
    <w:p>
      <w:pPr>
        <w:spacing w:after="0" w:line="15" w:lineRule="exact"/>
        <w:rPr>
          <w:rFonts w:ascii="Arial" w:cs="Arial" w:eastAsia="Arial" w:hAnsi="Arial"/>
          <w:sz w:val="16"/>
          <w:szCs w:val="16"/>
          <w:color w:val="auto"/>
        </w:rPr>
      </w:pPr>
    </w:p>
    <w:p>
      <w:pPr>
        <w:ind w:left="1100" w:hanging="241"/>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08" w:name="page109"/>
    <w:bookmarkEnd w:id="108"/>
    <w:p>
      <w:pPr>
        <w:ind w:left="440" w:right="360" w:firstLine="419"/>
        <w:spacing w:after="0" w:line="263" w:lineRule="auto"/>
        <w:tabs>
          <w:tab w:leader="none" w:pos="11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75" w:lineRule="exact"/>
        <w:rPr>
          <w:rFonts w:ascii="Arial" w:cs="Arial" w:eastAsia="Arial" w:hAnsi="Arial"/>
          <w:sz w:val="18"/>
          <w:szCs w:val="18"/>
          <w:color w:val="auto"/>
        </w:rPr>
      </w:pPr>
    </w:p>
    <w:p>
      <w:pPr>
        <w:jc w:val="both"/>
        <w:ind w:left="440" w:right="320" w:firstLine="419"/>
        <w:spacing w:after="0" w:line="263"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5" w:lineRule="exact"/>
        <w:rPr>
          <w:rFonts w:ascii="Arial" w:cs="Arial" w:eastAsia="Arial" w:hAnsi="Arial"/>
          <w:sz w:val="18"/>
          <w:szCs w:val="18"/>
          <w:color w:val="auto"/>
        </w:rPr>
      </w:pPr>
    </w:p>
    <w:p>
      <w:pPr>
        <w:ind w:left="440" w:right="80" w:firstLine="419"/>
        <w:spacing w:after="0" w:line="277" w:lineRule="auto"/>
        <w:tabs>
          <w:tab w:leader="none" w:pos="10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Attributable Indebtedness in respect of Financing Lease Obligations and Synthetic Lease Obligations of such Person and all Synthetic Debt of such Person;</w:t>
      </w:r>
    </w:p>
    <w:p>
      <w:pPr>
        <w:spacing w:after="0" w:line="62" w:lineRule="exact"/>
        <w:rPr>
          <w:rFonts w:ascii="Arial" w:cs="Arial" w:eastAsia="Arial" w:hAnsi="Arial"/>
          <w:sz w:val="18"/>
          <w:szCs w:val="18"/>
          <w:color w:val="auto"/>
        </w:rPr>
      </w:pPr>
    </w:p>
    <w:p>
      <w:pPr>
        <w:ind w:left="440" w:right="60" w:firstLine="419"/>
        <w:spacing w:after="0" w:line="275" w:lineRule="auto"/>
        <w:tabs>
          <w:tab w:leader="none" w:pos="111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all obligations of such Person to mandatorily purchase, redeem, retire or defease any Equity Interest in such Person or any other Person or any warrant, right or option to mandatorily acquire such Equity Interest (other than an acquisition solely with such Person’s common capital stock or other Equity Interests (other than Disqualified Equity Interests)), valued, in the case of a mandatorily redeemable preferred interest, at the greater of its voluntary or involuntary liquidation preference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dividends (other than dividends payable only in such Person’s common capital stock or other Equity Interests (other than Disqualified Equity Interests));</w:t>
      </w:r>
    </w:p>
    <w:p>
      <w:pPr>
        <w:spacing w:after="0" w:line="68" w:lineRule="exact"/>
        <w:rPr>
          <w:rFonts w:ascii="Arial" w:cs="Arial" w:eastAsia="Arial" w:hAnsi="Arial"/>
          <w:sz w:val="17"/>
          <w:szCs w:val="17"/>
          <w:color w:val="auto"/>
        </w:rPr>
      </w:pPr>
    </w:p>
    <w:p>
      <w:pPr>
        <w:ind w:left="440" w:right="420" w:firstLine="419"/>
        <w:spacing w:after="0" w:line="277" w:lineRule="auto"/>
        <w:tabs>
          <w:tab w:leader="none" w:pos="11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and</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0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preferred Equity Interests be included as Indebtedness so long as such preferred Equity Interests do not have a mandatory redemption date applicable thereto and are not subject to any covenants.</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and notwithstanding anything herein to the contrary, the Series D Preferred Stock shall not constitute Indebtedness hereunder.</w:t>
      </w:r>
    </w:p>
    <w:p>
      <w:pPr>
        <w:spacing w:after="0" w:line="188"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xml:space="preserve">” means (a) a natural person, (b) a Defaulting Lender or its Lender Parent, (c) a company, investment vehicle or trust for, or owned and operated for the primary benefit of, a natural person or relative(s)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09" w:name="page110"/>
    <w:bookmarkEnd w:id="109"/>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Loan Party (excluding, however, any assignment thereto as the result of a Dutch Auction, if at all) or (e) direct operating competitors of a Loan Party or an Affiliate of any such competitor, in each case identified in writing by the Borrower to the Administrative Agent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in intellectual property, whether arising under United States, Canadian, multinational or foreign laws, including copyrights, patents, industrial designs, trademarks and all goodwill associated therewith, domain names, and trade secrets, and all rights to sue at Law or in equity for any Infringement thereof, including the right to receive all proceeds and damages therefrom.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4.01(a)(iv)</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440" w:right="160" w:firstLine="419"/>
        <w:spacing w:after="0" w:line="263" w:lineRule="auto"/>
        <w:tabs>
          <w:tab w:leader="none" w:pos="10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5" w:lineRule="exact"/>
        <w:rPr>
          <w:rFonts w:ascii="Arial" w:cs="Arial" w:eastAsia="Arial" w:hAnsi="Arial"/>
          <w:sz w:val="18"/>
          <w:szCs w:val="18"/>
          <w:color w:val="auto"/>
        </w:rPr>
      </w:pPr>
    </w:p>
    <w:p>
      <w:pPr>
        <w:ind w:left="440" w:right="60" w:firstLine="419"/>
        <w:spacing w:after="0" w:line="263" w:lineRule="auto"/>
        <w:tabs>
          <w:tab w:leader="none" w:pos="11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xml:space="preserve">” means Indebtedness incurred pursuant to </w:t>
      </w:r>
      <w:r>
        <w:rPr>
          <w:rFonts w:ascii="Arial" w:cs="Arial" w:eastAsia="Arial" w:hAnsi="Arial"/>
          <w:sz w:val="18"/>
          <w:szCs w:val="18"/>
          <w:u w:val="single" w:color="auto"/>
          <w:color w:val="auto"/>
        </w:rPr>
        <w:t>Section 7.02(k)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7.02(l)</w:t>
      </w:r>
      <w:r>
        <w:rPr>
          <w:rFonts w:ascii="Arial" w:cs="Arial" w:eastAsia="Arial" w:hAnsi="Arial"/>
          <w:sz w:val="18"/>
          <w:szCs w:val="18"/>
          <w:color w:val="auto"/>
        </w:rPr>
        <w:t xml:space="preserve"> hereof.</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10" w:name="page111"/>
    <w:bookmarkEnd w:id="11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incurrence of any Indebtedness, the latest maturity or expiration date applicable to any Loan or Commitment hereunder at such time, including the latest maturity or expiration of any Term Loan or any applicable Commitment in respect thereof, in each case then outstanding and as extended in accordance with this Agreement from time to time.</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[reserved], (c) the ABL Intercreditor Agreement, (d) the Collateral Documents, (e) the Guaranty and (f) the Fee Letter.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Amount</w:t>
      </w:r>
      <w:r>
        <w:rPr>
          <w:rFonts w:ascii="Arial" w:cs="Arial" w:eastAsia="Arial" w:hAnsi="Arial"/>
          <w:sz w:val="18"/>
          <w:szCs w:val="18"/>
          <w:color w:val="auto"/>
        </w:rPr>
        <w:t>” means the present value at the prepayment date of (i) 2.0% of the outstanding principal amount of the Term Loans so prepaid, plus (ii) all remaining scheduled interest payments due on such Term Loans through the first anniversary of the Closing Date (excluding accrued but unpaid interest to, but not including, the prepayment date), computed using a discount rate equal to the Treasury Rate (determined as of the Business Day prior to such date of prepayment) plus 50 basis points.</w:t>
      </w:r>
    </w:p>
    <w:p>
      <w:pPr>
        <w:spacing w:after="0" w:line="18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liabilities (actual or contingent), operations, or condition (financial or otherwise) of the Borrower, (b) the business, assets, liabilities (actual or contingent), operations, or condition (financial or otherwise)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5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debt instrument, Financing Lease Obligation, guaranty, contract, commitment, agreement or other arrangement evidencing or entered into in connection with any Indebtedness of the Borrower or any Subsidiary, other than the Loans or the ABL Obligations, having a stated principal amount in excess of $10,000,000.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11" w:name="page112"/>
    <w:bookmarkEnd w:id="111"/>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of the Borrower and its Subsidiaries that is included in the Collateral and the loss of which would have a Material Adverse Effect on the business, results of operations or financial condition of the Borrower and its Subsidiaries (taken as a whole).</w:t>
      </w:r>
    </w:p>
    <w:p>
      <w:pPr>
        <w:spacing w:after="0" w:line="184"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that (a) as of the Closing Date is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(b) if acquired after the Closing Date, has a fair market value of $2,000,000 or (c) is designated by the Borrower in accordance with </w:t>
      </w:r>
      <w:r>
        <w:rPr>
          <w:rFonts w:ascii="Arial" w:cs="Arial" w:eastAsia="Arial" w:hAnsi="Arial"/>
          <w:sz w:val="18"/>
          <w:szCs w:val="18"/>
          <w:u w:val="single" w:color="auto"/>
          <w:color w:val="auto"/>
        </w:rPr>
        <w:t>Section 6.12(f)</w:t>
      </w:r>
      <w:r>
        <w:rPr>
          <w:rFonts w:ascii="Arial" w:cs="Arial" w:eastAsia="Arial" w:hAnsi="Arial"/>
          <w:sz w:val="18"/>
          <w:szCs w:val="18"/>
          <w:color w:val="auto"/>
        </w:rPr>
        <w:t>.</w:t>
      </w:r>
    </w:p>
    <w:p>
      <w:pPr>
        <w:spacing w:after="0" w:line="184" w:lineRule="exact"/>
        <w:rPr>
          <w:sz w:val="20"/>
          <w:szCs w:val="20"/>
          <w:color w:val="auto"/>
        </w:rPr>
      </w:pPr>
    </w:p>
    <w:p>
      <w:pPr>
        <w:ind w:right="7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September 22, 2026,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maturity is extended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such maturity date as determined pursuant to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each case, if such date is not a Business Day, the Maturity Date shall be the next preceding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8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that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left="440" w:right="20" w:firstLine="419"/>
        <w:spacing w:after="0" w:line="283" w:lineRule="auto"/>
        <w:tabs>
          <w:tab w:leader="none" w:pos="110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this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and</w:t>
      </w:r>
    </w:p>
    <w:p>
      <w:pPr>
        <w:spacing w:after="0" w:line="3" w:lineRule="exact"/>
        <w:rPr>
          <w:rFonts w:ascii="Arial" w:cs="Arial" w:eastAsia="Arial" w:hAnsi="Arial"/>
          <w:sz w:val="16"/>
          <w:szCs w:val="16"/>
          <w:color w:val="auto"/>
        </w:rPr>
      </w:pPr>
    </w:p>
    <w:p>
      <w:pPr>
        <w:ind w:left="440" w:right="100" w:hanging="4"/>
        <w:spacing w:after="0" w:line="270" w:lineRule="auto"/>
        <w:tabs>
          <w:tab w:leader="none" w:pos="73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amounts held in any reserve created for escrow, holdback, indemnity or similar obligations of the Borrower or any of its Subsidiaries in connection with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cash or Cash Equivalents received in connection with any Disposition or Extraordinary Receipt shall only constitute Net Cash Proceeds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in any fiscal year to the extent that the aggregate amount of such cash and Cash Equivalents received in such fiscal year exceeds $5,000,000;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12" w:name="page113"/>
    <w:bookmarkEnd w:id="112"/>
    <w:p>
      <w:pPr>
        <w:ind w:left="440" w:right="40" w:firstLine="419"/>
        <w:spacing w:after="0" w:line="286" w:lineRule="auto"/>
        <w:tabs>
          <w:tab w:leader="none" w:pos="11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 Debt Cap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 Investments Cap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7.03(a)(v)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Oaktree</w:t>
      </w:r>
      <w:r>
        <w:rPr>
          <w:rFonts w:ascii="Arial" w:cs="Arial" w:eastAsia="Arial" w:hAnsi="Arial"/>
          <w:sz w:val="18"/>
          <w:szCs w:val="18"/>
          <w:color w:val="auto"/>
        </w:rPr>
        <w:t>” means Oaktree Capital Management, L.P. and its Affiliates, acting solely in its capacity as an investment adviser on behalf of certain funds and accounts and wholly-owned entities of such funds and accounts.</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Obligations shall exclude any Excluded Swap Obligations.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7.02(g)</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13" w:name="page114"/>
    <w:bookmarkEnd w:id="11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Term Loans, on any date, the aggregate outstanding principal amount thereof after giving effect to any borrowings and prepayments or repayments of Term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means a patent security agreement or notice of grant of security interest in patents, in each case in form and substance reasonably satisfactory to the Administrative Agent.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(Title III of Pub. L.107-56 (signed into law October 26, 2001)).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 as amended from time to time.</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Cure Securities</w:t>
      </w:r>
      <w:r>
        <w:rPr>
          <w:rFonts w:ascii="Arial" w:cs="Arial" w:eastAsia="Arial" w:hAnsi="Arial"/>
          <w:sz w:val="18"/>
          <w:szCs w:val="18"/>
          <w:color w:val="auto"/>
        </w:rPr>
        <w:t>” means any Equity Interests (other than Disqualified Equity Interests) of the Borrower issued pursuant to the Cure Right.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Note</w:t>
      </w:r>
      <w:r>
        <w:rPr>
          <w:rFonts w:ascii="Arial" w:cs="Arial" w:eastAsia="Arial" w:hAnsi="Arial"/>
          <w:sz w:val="18"/>
          <w:szCs w:val="18"/>
          <w:color w:val="auto"/>
        </w:rPr>
        <w:t>” means any written promissory note made by any Subsidiary to the Borrower or a Loan Party, whether now owned or hereafter acquired by the Borrower or such Loan Party.</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Precious Metal Consignment Agreements</w:t>
      </w:r>
      <w:r>
        <w:rPr>
          <w:rFonts w:ascii="Arial" w:cs="Arial" w:eastAsia="Arial" w:hAnsi="Arial"/>
          <w:sz w:val="18"/>
          <w:szCs w:val="18"/>
          <w:color w:val="auto"/>
        </w:rPr>
        <w:t>” means, collectively, (a) the Consignment Agreement dated as of July 30, 2009, as amended, between Mitsubishi International Corporation and NN Power Solutions Holdings, LLC, successor in interest to Precision Engineered Products LLC and (b) the Consignment Agreement dated as of January 25, 2010, as amended, between Umicore Precious Metals NJ, LLC and NN Power Solutions Holdings, LLC, successor in interest to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shall have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114" w:name="page115"/>
    <w:bookmarkEnd w:id="11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xml:space="preserve">”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that are customarily transferred or in respect of which security interests are customarily granted in connection with asset securitization transactions involving Receivables;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Qualified Receivables Transactions shall be made at fair market value (including after giving effect to any Receivables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w:t>
      </w:r>
    </w:p>
    <w:p>
      <w:pPr>
        <w:spacing w:after="0" w:line="4" w:lineRule="exact"/>
        <w:rPr>
          <w:sz w:val="20"/>
          <w:szCs w:val="20"/>
          <w:color w:val="auto"/>
        </w:rPr>
      </w:pPr>
    </w:p>
    <w:p>
      <w:pPr>
        <w:ind w:left="4" w:right="80" w:hanging="4"/>
        <w:spacing w:after="0" w:line="270" w:lineRule="auto"/>
        <w:tabs>
          <w:tab w:leader="none" w:pos="24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$20,000,000 in the aggregate for all Qualified Receivables Transactions at any time outstanding.</w:t>
      </w:r>
    </w:p>
    <w:p>
      <w:pPr>
        <w:spacing w:after="0" w:line="178"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xml:space="preserve">” means, with respect to any Material Real Property, the documentation and other items of the type specified in Section 1 of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70" w:lineRule="exact"/>
        <w:rPr>
          <w:sz w:val="20"/>
          <w:szCs w:val="20"/>
          <w:color w:val="auto"/>
        </w:rPr>
      </w:pPr>
    </w:p>
    <w:p>
      <w:pPr>
        <w:jc w:val="both"/>
        <w:ind w:left="4"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hereunder.</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Lender in its reasonable discretion.</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correlative meanings.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7.02(g)</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15" w:name="page116"/>
    <w:bookmarkEnd w:id="115"/>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FRB or the Federal Reserve Bank of New York, or a committee officially endorsed or convened by the FRB or the Federal Reserve Bank of New York, or any successor thereto.</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holding more than 50% of the sum of the (a) Total Outstandings and (b) aggregate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Facility held or deemed held by, any Defaulting Lender shall be excluded for purposes of making a determination of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so long as Oaktree holds 51% of the Term Loans made on the Closing Date, Required Lenders shall include Oaktree.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secretary or any assistant secretary of a Loan Party and, solely for the purposes of notices given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6"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with respect to the Borrower or any of its Subsidiaries, (a) any Capital Distribution (provided, that in the case of the Series D Preferred Stock, only cash dividends or distributions payable in cash shall be considered Restricted Payments) and (b) any amount paid by the Borrower or any of its Subsidiaries in repayment, redemption, retirement or repurchase, directly or indirectly, of any Subordinated Indebtedness or any Junior Indebtedness.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The McGraw-Hill Companies, Inc., and any successor thereto.</w:t>
      </w:r>
    </w:p>
    <w:p>
      <w:pPr>
        <w:spacing w:after="0" w:line="23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any Person: (a) identified on any Sanctions-related list of designated Persons, including, without limitation, the Specially Designated Nationals and Blocked Persons List maintained by OFAC; (b) located, domiciled, organized or resident in, or the government or any agency or instrumentality of the government of, any Designated Jurisdiction; (c) owned or controlled by, or acting for or on behalf of, directly or indirectly, any Person described in the foregoing clause (a) or (b); or (d) otherwise the subject or target of Sanctions.</w:t>
      </w:r>
    </w:p>
    <w:p>
      <w:pPr>
        <w:spacing w:after="0" w:line="17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economic or financial sanctions or trade embargoes imposed, administered or enforced by the U.S. government (including, without limitation, OFAC and the U.S. Department of State), the United Nations Security Council, the European Union or any member state thereof, the UK government (including, without limitation, Her Majesty’s Treasury) or other relevant sanctions authority.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16" w:name="page117"/>
    <w:bookmarkEnd w:id="116"/>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means the Series D Perpetual Preferred Stock issued or to be issued by the Company on substantially the terms set forth on Schedule 1.02.</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Costs</w:t>
      </w:r>
      <w:r>
        <w:rPr>
          <w:rFonts w:ascii="Arial" w:cs="Arial" w:eastAsia="Arial" w:hAnsi="Arial"/>
          <w:sz w:val="18"/>
          <w:szCs w:val="18"/>
          <w:color w:val="auto"/>
        </w:rPr>
        <w:t xml:space="preserve">” means the expenses, payments or other costs associated with the settlement of litigation with Corre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Settlement Costs shall not exceed $2,000,000 in the aggregate.</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Account</w:t>
      </w:r>
      <w:r>
        <w:rPr>
          <w:rFonts w:ascii="Arial" w:cs="Arial" w:eastAsia="Arial" w:hAnsi="Arial"/>
          <w:sz w:val="17"/>
          <w:szCs w:val="17"/>
          <w:color w:val="auto"/>
        </w:rPr>
        <w:t>” means an Account that Borrower or a Subsidiary has sold to, or otherwise has granted a Lien on or in favor of, the purchaser pursuant to a Qualified Receivables Transaction, for which such Loan Party has received the purchase price for such Account.</w:t>
      </w:r>
    </w:p>
    <w:p>
      <w:pPr>
        <w:spacing w:after="0" w:line="14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w:t>
      </w:r>
      <w:r>
        <w:rPr>
          <w:rFonts w:ascii="Arial" w:cs="Arial" w:eastAsia="Arial" w:hAnsi="Arial"/>
          <w:sz w:val="17"/>
          <w:szCs w:val="17"/>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4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(1)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(2) the accounts of which would be consolidated with those of the parent in the parent’s consolidated financial statements if such financial statements were prepared in accordance with GAAP as of such date. Unless otherwise specified, all references herein to a “Subsidiary” or to “Subsidiaries” shall refer to a Subsidiary or Subsidiaries of the Borrower.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7" w:name="page118"/>
    <w:bookmarkEnd w:id="11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 w:right="2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left="4" w:right="180" w:hanging="4"/>
        <w:spacing w:after="0" w:line="255" w:lineRule="auto"/>
        <w:tabs>
          <w:tab w:leader="none" w:pos="25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Borrowings</w:t>
      </w:r>
      <w:r>
        <w:rPr>
          <w:rFonts w:ascii="Arial" w:cs="Arial" w:eastAsia="Arial" w:hAnsi="Arial"/>
          <w:sz w:val="18"/>
          <w:szCs w:val="18"/>
          <w:color w:val="auto"/>
        </w:rPr>
        <w:t xml:space="preserve">” means a borrowing consisting of simultaneous Term Loans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as to each Term Lender, its obligation to make Term Loans on the Closing Date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the amount of its Commitment or as set forth in the Assignment and Assumption pursuant to which such Lender becomes a party hereto, as applicable, as such amount may be adjusted from time to time in accordance with this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18" w:name="page119"/>
    <w:bookmarkEnd w:id="118"/>
    <w:p>
      <w:pPr>
        <w:ind w:right="3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Term Facility</w:t>
      </w:r>
      <w:r>
        <w:rPr>
          <w:rFonts w:ascii="Arial" w:cs="Arial" w:eastAsia="Arial" w:hAnsi="Arial"/>
          <w:sz w:val="16"/>
          <w:szCs w:val="16"/>
          <w:color w:val="auto"/>
        </w:rPr>
        <w:t xml:space="preserve">” means, at any time, the </w:t>
      </w:r>
      <w:r>
        <w:rPr>
          <w:rFonts w:ascii="Arial" w:cs="Arial" w:eastAsia="Arial" w:hAnsi="Arial"/>
          <w:sz w:val="16"/>
          <w:szCs w:val="16"/>
          <w:u w:val="single" w:color="auto"/>
          <w:color w:val="auto"/>
        </w:rPr>
        <w:t>sum</w:t>
      </w:r>
      <w:r>
        <w:rPr>
          <w:rFonts w:ascii="Arial" w:cs="Arial" w:eastAsia="Arial" w:hAnsi="Arial"/>
          <w:sz w:val="16"/>
          <w:szCs w:val="16"/>
          <w:color w:val="auto"/>
        </w:rPr>
        <w:t xml:space="preserve"> of (a) the aggregate amount of the unused Term Commitments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principal amount of the Term Loans of all Term Lenders outstanding at such time. As of the Closing Date, the Term Facility is $150,000,000.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Lender</w:t>
      </w:r>
      <w:r>
        <w:rPr>
          <w:rFonts w:ascii="Arial" w:cs="Arial" w:eastAsia="Arial" w:hAnsi="Arial"/>
          <w:sz w:val="17"/>
          <w:szCs w:val="17"/>
          <w:color w:val="auto"/>
        </w:rPr>
        <w:t>” means, at any time, any Lender that either has an unused Term Commitment or holds Term Loans at such time, or both.</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the term loans made by the Lenders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(and its registered assigns) evidencing Term Loans made by such Term Lender,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Lender at any time, the unused Term Commitments and the aggregate principal amount of the outstanding Term Loans of such Term Lender at such time.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means a trademark security agreement or notice of grant of security interest in trademarks, in each case in form and substance reasonably satisfactory to the Administrative Agent.</w:t>
      </w:r>
    </w:p>
    <w:p>
      <w:pPr>
        <w:spacing w:after="0" w:line="170" w:lineRule="exact"/>
        <w:rPr>
          <w:sz w:val="20"/>
          <w:szCs w:val="20"/>
          <w:color w:val="auto"/>
        </w:rPr>
      </w:pPr>
    </w:p>
    <w:p>
      <w:pPr>
        <w:jc w:val="both"/>
        <w:ind w:right="1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collectively, (a) the entering into by the Loan Parties and their applicable Subsidiaries of the Loan Documents to which they are or are intended to be a party, (b) the refinancing of the Existing Credit Agreement Indebtedness and the termination of all commitments with respect thereto, (c) the issuance of the Series D Preferred Stock and the redemption of the Borrower’s Series B preferred Equity Interests substantially concurrently therewith, and (d) the payment of the fees and expenses incurred in connection with the consummation of the foregoing.</w:t>
      </w:r>
    </w:p>
    <w:p>
      <w:pPr>
        <w:spacing w:after="0" w:line="15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xml:space="preserve">” means all customary and reasonable transaction fees, charges and other similar amounts related to the Transactions or any Acquisitions completed during the term of this Agreement in accordance with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(including, without limitation, any financing fees, merger and acquisition fees, legal fees and expenses, original issue discount, due diligence fees or any other fees and expenses in connection therewith), in each case to the extent paid within six (6) months of the Closing Date or the closing date of such Acquisition, as applicable.</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means, with respect to a prepayment prior to the first anniversary of the Closing Date, the yield to maturity at the time of computation of United States Treasury securities with a constant maturity (as compiled and published in the most recent Federal Reserve Statistical Release H.15(519) that has become publicly available at least two (2) Business Days prior to such prepayment date (or, if such Federal Reserve Statistical Release referred to in the previous parenthetical is no longer published, any publicly available source of similar market data)) most nearly equal to the period from such prepayment date to the first anniversary of the Closing Date; provided that if the period from such prepayment date to the first anniversary of the Closing Date is not equal to the constant maturity of the United States Treasury security for which a weekly average yield is given, the Treasury Rate shall be obtained by linear interpolation (calculated to the nearest one-twelfth of a twelve (12) month period) from the weekly average yields of United States Treasury securities for which such yields are given, except that if the period from such prepayment date to the to the first anniversary of the Closing Date, is less than one year, the weekly average yield on actually traded United States Treasury securities adjusted to a constant maturity of one year shall be used.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means any accounts or trusts used solely to hold Trust Funds.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19" w:name="page120"/>
    <w:bookmarkEnd w:id="119"/>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Trust Funds</w:t>
      </w:r>
      <w:r>
        <w:rPr>
          <w:rFonts w:ascii="Arial" w:cs="Arial" w:eastAsia="Arial" w:hAnsi="Arial"/>
          <w:sz w:val="16"/>
          <w:szCs w:val="16"/>
          <w:color w:val="auto"/>
        </w:rPr>
        <w:t xml:space="preserve">” means, to the extent segregated from other assets of the Loan Parties in a segregated account that contains amounts comprised solely and exclusively of such Trust Funds, cash, Cash Equivalents or other assets comprised solely of: (1) funds used for payroll and payroll taxes and other employee benefit payments to or for the benefit of such Loan Party’s employees; (2) all taxes required to be collected, remitted or withheld (including federal and state withholding taxes (including the employer’s share thereof)); (3) (a) proceeds from the issuance of Indebtedness, (b) proceeds from a Disposition of assets (other than ABL Priority Collateral) and (c) proceeds of insurance and condemnation awards (and payments in lieu thereof) relating to any assets (other than ABL Priority Collateral) in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 the extent such cash or permitted investment is required to be deposited in an account pursuant to the documentation governing any indebtedness having a first priority lien on any such assets; and (4) any other funds that the Borrower or any of its Subsidiaries holds in trust or as an escrow or fiduciary for another person that is not a subsidiary of the Borrower.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7"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the London interbank offered rate for U.S. dollars.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20" w:name="page121"/>
    <w:bookmarkEnd w:id="120"/>
    <w:p>
      <w:pPr>
        <w:ind w:right="2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right="220"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170"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6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left="440" w:firstLine="419"/>
        <w:spacing w:after="0" w:line="268" w:lineRule="auto"/>
        <w:tabs>
          <w:tab w:leader="none" w:pos="110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21" w:name="page122"/>
    <w:bookmarkEnd w:id="121"/>
    <w:p>
      <w:pPr>
        <w:ind w:left="440" w:right="320" w:firstLine="419"/>
        <w:spacing w:after="0" w:line="277" w:lineRule="auto"/>
        <w:tabs>
          <w:tab w:leader="none" w:pos="11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1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4" w:lineRule="auto"/>
        <w:tabs>
          <w:tab w:leader="none" w:pos="110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6" w:lineRule="exact"/>
        <w:rPr>
          <w:rFonts w:ascii="Arial" w:cs="Arial" w:eastAsia="Arial" w:hAnsi="Arial"/>
          <w:sz w:val="18"/>
          <w:szCs w:val="18"/>
          <w:color w:val="auto"/>
        </w:rPr>
      </w:pPr>
    </w:p>
    <w:p>
      <w:pPr>
        <w:ind w:left="440" w:right="100" w:firstLine="419"/>
        <w:spacing w:after="0" w:line="291" w:lineRule="auto"/>
        <w:tabs>
          <w:tab w:leader="none" w:pos="1118"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58" w:lineRule="exact"/>
        <w:rPr>
          <w:rFonts w:ascii="Arial" w:cs="Arial" w:eastAsia="Arial" w:hAnsi="Arial"/>
          <w:sz w:val="16"/>
          <w:szCs w:val="16"/>
          <w:color w:val="auto"/>
        </w:rPr>
      </w:pPr>
    </w:p>
    <w:p>
      <w:pPr>
        <w:ind w:left="440" w:right="40" w:firstLine="419"/>
        <w:spacing w:after="0" w:line="273" w:lineRule="auto"/>
        <w:tabs>
          <w:tab w:leader="none" w:pos="110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Pro Forma Effect</w:t>
      </w:r>
      <w:r>
        <w:rPr>
          <w:rFonts w:ascii="Arial" w:cs="Arial" w:eastAsia="Arial" w:hAnsi="Arial"/>
          <w:sz w:val="17"/>
          <w:szCs w:val="17"/>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any Disposition outside the ordinary course of business permitted by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during the relevant period for determining compliance with such covenants, such calculations shall be made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69" w:lineRule="exact"/>
        <w:rPr>
          <w:rFonts w:ascii="Arial" w:cs="Arial" w:eastAsia="Arial" w:hAnsi="Arial"/>
          <w:sz w:val="17"/>
          <w:szCs w:val="17"/>
          <w:color w:val="auto"/>
        </w:rPr>
      </w:pPr>
    </w:p>
    <w:p>
      <w:pPr>
        <w:ind w:left="440" w:right="20" w:firstLine="419"/>
        <w:spacing w:after="0" w:line="254" w:lineRule="auto"/>
        <w:tabs>
          <w:tab w:leader="none" w:pos="111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Financing Leases</w:t>
      </w:r>
      <w:r>
        <w:rPr>
          <w:rFonts w:ascii="Arial" w:cs="Arial" w:eastAsia="Arial" w:hAnsi="Arial"/>
          <w:sz w:val="18"/>
          <w:szCs w:val="18"/>
          <w:color w:val="auto"/>
        </w:rPr>
        <w:t>. Notwithstanding anything to the contrary contained in Section 1.03 or in the definition of “Financing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19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22" w:name="page123"/>
    <w:bookmarkEnd w:id="122"/>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4"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 xml:space="preserve">. Any amount specified in this Agreement (other than in </w:t>
      </w:r>
      <w:r>
        <w:rPr>
          <w:rFonts w:ascii="Arial" w:cs="Arial" w:eastAsia="Arial" w:hAnsi="Arial"/>
          <w:sz w:val="16"/>
          <w:szCs w:val="16"/>
          <w:u w:val="single" w:color="auto"/>
          <w:color w:val="auto"/>
        </w:rPr>
        <w:t>Article II, 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the “</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Effect of Benchmark Transition Event</w:t>
      </w:r>
      <w:r>
        <w:rPr>
          <w:rFonts w:ascii="Arial" w:cs="Arial" w:eastAsia="Arial" w:hAnsi="Arial"/>
          <w:sz w:val="18"/>
          <w:szCs w:val="18"/>
          <w:color w:val="auto"/>
        </w:rPr>
        <w:t>.</w:t>
      </w:r>
    </w:p>
    <w:p>
      <w:pPr>
        <w:spacing w:after="0" w:line="117" w:lineRule="exact"/>
        <w:rPr>
          <w:sz w:val="20"/>
          <w:szCs w:val="20"/>
          <w:color w:val="auto"/>
        </w:rPr>
      </w:pPr>
    </w:p>
    <w:p>
      <w:pPr>
        <w:ind w:left="440" w:right="60" w:firstLine="419"/>
        <w:spacing w:after="0" w:line="287" w:lineRule="auto"/>
        <w:tabs>
          <w:tab w:leader="none" w:pos="110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in connection with a Benchmark Transition Event,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or in connection with an Early Opt-in Election,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Borrower without any amendment to this Agreement or any other Loan Document, or further action or consent of the Borrower, so long as the Administrative Agent has not received, by such time, written notice of objection to such Benchmark Replacement from the Borrower.</w:t>
      </w:r>
    </w:p>
    <w:p>
      <w:pPr>
        <w:spacing w:after="0" w:line="59" w:lineRule="exact"/>
        <w:rPr>
          <w:rFonts w:ascii="Arial" w:cs="Arial" w:eastAsia="Arial" w:hAnsi="Arial"/>
          <w:sz w:val="16"/>
          <w:szCs w:val="16"/>
          <w:color w:val="auto"/>
        </w:rPr>
      </w:pPr>
    </w:p>
    <w:p>
      <w:pPr>
        <w:ind w:left="440" w:firstLine="419"/>
        <w:spacing w:after="0" w:line="259" w:lineRule="auto"/>
        <w:tabs>
          <w:tab w:leader="none" w:pos="111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78" w:lineRule="exact"/>
        <w:rPr>
          <w:rFonts w:ascii="Arial" w:cs="Arial" w:eastAsia="Arial" w:hAnsi="Arial"/>
          <w:sz w:val="18"/>
          <w:szCs w:val="18"/>
          <w:color w:val="auto"/>
        </w:rPr>
      </w:pPr>
    </w:p>
    <w:p>
      <w:pPr>
        <w:ind w:left="440" w:right="40" w:firstLine="419"/>
        <w:spacing w:after="0" w:line="290" w:lineRule="auto"/>
        <w:tabs>
          <w:tab w:leader="none" w:pos="110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xml:space="preserve">. The Administrative Agent will promptly notify the Borrower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pursuant to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except, in each case, as expressly required pursuant to this </w:t>
      </w:r>
      <w:r>
        <w:rPr>
          <w:rFonts w:ascii="Arial" w:cs="Arial" w:eastAsia="Arial" w:hAnsi="Arial"/>
          <w:sz w:val="16"/>
          <w:szCs w:val="16"/>
          <w:u w:val="single" w:color="auto"/>
          <w:color w:val="auto"/>
        </w:rPr>
        <w:t>Section 1.07</w:t>
      </w:r>
      <w:r>
        <w:rPr>
          <w:rFonts w:ascii="Arial" w:cs="Arial" w:eastAsia="Arial" w:hAnsi="Arial"/>
          <w:sz w:val="16"/>
          <w:szCs w:val="16"/>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23" w:name="page124"/>
    <w:bookmarkEnd w:id="123"/>
    <w:p>
      <w:pPr>
        <w:ind w:left="440" w:right="40" w:firstLine="419"/>
        <w:spacing w:after="0" w:line="269" w:lineRule="auto"/>
        <w:tabs>
          <w:tab w:leader="none" w:pos="1118"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Unavailability of Tenor of Benchmark</w:t>
      </w:r>
      <w:r>
        <w:rPr>
          <w:rFonts w:ascii="Arial" w:cs="Arial" w:eastAsia="Arial" w:hAnsi="Arial"/>
          <w:sz w:val="17"/>
          <w:szCs w:val="17"/>
          <w:color w:val="auto"/>
        </w:rPr>
        <w:t>. Notwithstanding anything to the contrary herein or in any other Loan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3" w:lineRule="exact"/>
        <w:rPr>
          <w:rFonts w:ascii="Arial" w:cs="Arial" w:eastAsia="Arial" w:hAnsi="Arial"/>
          <w:sz w:val="17"/>
          <w:szCs w:val="17"/>
          <w:color w:val="auto"/>
        </w:rPr>
      </w:pPr>
    </w:p>
    <w:p>
      <w:pPr>
        <w:ind w:left="440" w:right="100" w:firstLine="419"/>
        <w:spacing w:after="0" w:line="273" w:lineRule="auto"/>
        <w:tabs>
          <w:tab w:leader="none" w:pos="110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COMMITMENTS AND BORROWINGS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59" w:lineRule="auto"/>
        <w:tabs>
          <w:tab w:leader="none" w:pos="110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each Lender severally agrees to make Term Loans to the Borrower on the Closing Date in an amount not to exceed the amount of the Commitment of such Lender. The Term Loans may from time to time be Eurodollar Loans or Base Rate Loans, as determined by the Borrower and notified to the Administrative Agent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Amounts repaid on account of the Term Loans may not be reborrowed.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86" w:lineRule="auto"/>
        <w:tabs>
          <w:tab w:leader="none" w:pos="110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Term Borrowing, each conversion of Term Loans from one Type to the other, and each continuation of Eurodollar Rate Loans shall be made upon the Borrower’s irrevocable written notice to the Administrative Agent, by a Committed Loan Notice. Each such Committed Loan Notice must be received by the Administrative Agent not later than 11:00 a.m. (i) three (3) Business Days prior to the requested date of any Borrowing of, conversion to or continuation of Eurodollar Rate Loans or of any conversion of Eurodollar Rate Loans to Base Rate Loans, and</w:t>
      </w:r>
    </w:p>
    <w:p>
      <w:pPr>
        <w:spacing w:after="0" w:line="1" w:lineRule="exact"/>
        <w:rPr>
          <w:rFonts w:ascii="Arial" w:cs="Arial" w:eastAsia="Arial" w:hAnsi="Arial"/>
          <w:sz w:val="16"/>
          <w:szCs w:val="16"/>
          <w:color w:val="auto"/>
        </w:rPr>
      </w:pPr>
    </w:p>
    <w:p>
      <w:pPr>
        <w:ind w:left="440" w:right="40" w:hanging="4"/>
        <w:spacing w:after="0" w:line="255"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one Business Day prior to the requested date of any Borrowing of Base Rate Loans. Each Borrowing of, conversion to or continuation of Eurodollar Rate Loans shall be in a minimum principal amount of $1,000,000 or a whole multiple of $500,000 in excess thereof. Each Borrowing of or conversion to Base Rate Loans shall be in a minimum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24" w:name="page125"/>
    <w:bookmarkEnd w:id="124"/>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amount of $500,000 or a whole multiple of $100,000 in excess thereof. Each such Committed Loan Notice shall specify (i) whether the Borrower is requesting a Term Borrowing, a conversion of Term Loans from one Type to the other, or a continuation of Eurodollar Rate Loans,</w:t>
      </w:r>
    </w:p>
    <w:p>
      <w:pPr>
        <w:jc w:val="both"/>
        <w:ind w:left="4" w:right="20" w:hanging="4"/>
        <w:spacing w:after="0" w:line="281" w:lineRule="auto"/>
        <w:tabs>
          <w:tab w:leader="none" w:pos="26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requested date of the Borrowing, conversion or continuation, as the case may be (which shall be a Business Day), (iii) the principal amount of Loans to be borrowed, converted or continued, (iv) the Type of Term Loans to be borrowed or to which existing Loans are to be converted, and</w:t>
      </w:r>
    </w:p>
    <w:p>
      <w:pPr>
        <w:spacing w:after="0" w:line="1" w:lineRule="exact"/>
        <w:rPr>
          <w:rFonts w:ascii="Arial" w:cs="Arial" w:eastAsia="Arial" w:hAnsi="Arial"/>
          <w:sz w:val="16"/>
          <w:szCs w:val="16"/>
          <w:color w:val="auto"/>
        </w:rPr>
      </w:pPr>
    </w:p>
    <w:p>
      <w:pPr>
        <w:ind w:left="4" w:hanging="4"/>
        <w:spacing w:after="0" w:line="252" w:lineRule="auto"/>
        <w:tabs>
          <w:tab w:leader="none" w:pos="2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applicable, the duration of the Interest Period with respect thereto. If the Borrower fails to specify a Type of Loan in a Committed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85" w:lineRule="exact"/>
        <w:rPr>
          <w:rFonts w:ascii="Arial" w:cs="Arial" w:eastAsia="Arial" w:hAnsi="Arial"/>
          <w:sz w:val="18"/>
          <w:szCs w:val="18"/>
          <w:color w:val="auto"/>
        </w:rPr>
      </w:pPr>
    </w:p>
    <w:p>
      <w:pPr>
        <w:ind w:left="4" w:right="20" w:firstLine="419"/>
        <w:spacing w:after="0" w:line="284" w:lineRule="auto"/>
        <w:tabs>
          <w:tab w:leader="none" w:pos="68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under the Term Facility of the applicable Term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Term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upon receipt of all request funds, the Administrative Agent shall make all funds so received available to the Borrower in like funds as received by the Administrative Agent either by</w:t>
      </w:r>
    </w:p>
    <w:p>
      <w:pPr>
        <w:spacing w:after="0" w:line="2" w:lineRule="exact"/>
        <w:rPr>
          <w:rFonts w:ascii="Arial" w:cs="Arial" w:eastAsia="Arial" w:hAnsi="Arial"/>
          <w:sz w:val="16"/>
          <w:szCs w:val="16"/>
          <w:color w:val="auto"/>
        </w:rPr>
      </w:pPr>
    </w:p>
    <w:p>
      <w:pPr>
        <w:jc w:val="both"/>
        <w:ind w:left="4" w:right="240" w:hanging="4"/>
        <w:spacing w:after="0" w:line="323" w:lineRule="auto"/>
        <w:tabs>
          <w:tab w:leader="none" w:pos="2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crediting the account of the Borrower on the books of the Administrative Agent, if any, with the amount of such funds or (ii) wire transfer of such funds, in each case in accordance with instructions provided to (and reasonably acceptable to) the Administrative Agent by the Borrower.</w:t>
      </w:r>
    </w:p>
    <w:p>
      <w:pPr>
        <w:spacing w:after="0" w:line="30" w:lineRule="exact"/>
        <w:rPr>
          <w:rFonts w:ascii="Arial" w:cs="Arial" w:eastAsia="Arial" w:hAnsi="Arial"/>
          <w:sz w:val="16"/>
          <w:szCs w:val="16"/>
          <w:color w:val="auto"/>
        </w:rPr>
      </w:pPr>
    </w:p>
    <w:p>
      <w:pPr>
        <w:ind w:left="4" w:right="20" w:firstLine="419"/>
        <w:spacing w:after="0" w:line="263" w:lineRule="auto"/>
        <w:tabs>
          <w:tab w:leader="none" w:pos="67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75" w:lineRule="exact"/>
        <w:rPr>
          <w:rFonts w:ascii="Arial" w:cs="Arial" w:eastAsia="Arial" w:hAnsi="Arial"/>
          <w:sz w:val="18"/>
          <w:szCs w:val="18"/>
          <w:color w:val="auto"/>
        </w:rPr>
      </w:pPr>
    </w:p>
    <w:p>
      <w:pPr>
        <w:ind w:left="4" w:right="260" w:firstLine="419"/>
        <w:spacing w:after="0" w:line="277" w:lineRule="auto"/>
        <w:tabs>
          <w:tab w:leader="none" w:pos="68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w:t>
      </w:r>
    </w:p>
    <w:p>
      <w:pPr>
        <w:spacing w:after="0" w:line="62" w:lineRule="exact"/>
        <w:rPr>
          <w:rFonts w:ascii="Arial" w:cs="Arial" w:eastAsia="Arial" w:hAnsi="Arial"/>
          <w:sz w:val="18"/>
          <w:szCs w:val="18"/>
          <w:color w:val="auto"/>
        </w:rPr>
      </w:pPr>
    </w:p>
    <w:p>
      <w:pPr>
        <w:ind w:left="4" w:right="300" w:firstLine="419"/>
        <w:spacing w:after="0" w:line="277" w:lineRule="auto"/>
        <w:tabs>
          <w:tab w:leader="none" w:pos="67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in respect of the Term Facility.</w:t>
      </w:r>
    </w:p>
    <w:p>
      <w:pPr>
        <w:spacing w:after="0" w:line="62" w:lineRule="exact"/>
        <w:rPr>
          <w:rFonts w:ascii="Arial" w:cs="Arial" w:eastAsia="Arial" w:hAnsi="Arial"/>
          <w:sz w:val="18"/>
          <w:szCs w:val="18"/>
          <w:color w:val="auto"/>
        </w:rPr>
      </w:pPr>
    </w:p>
    <w:p>
      <w:pPr>
        <w:ind w:left="644" w:hanging="221"/>
        <w:spacing w:after="0"/>
        <w:tabs>
          <w:tab w:leader="none" w:pos="64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left="664" w:hanging="241"/>
        <w:spacing w:after="0"/>
        <w:tabs>
          <w:tab w:leader="none" w:pos="66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117" w:lineRule="exact"/>
        <w:rPr>
          <w:sz w:val="20"/>
          <w:szCs w:val="20"/>
          <w:color w:val="auto"/>
        </w:rPr>
      </w:pPr>
    </w:p>
    <w:p>
      <w:pPr>
        <w:ind w:left="544" w:right="40" w:firstLine="401"/>
        <w:spacing w:after="0" w:line="286"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the Borrower may, upon written notice to the Administrative Agent, at any time or from time to time after the date that is ten (10) Business Days after the Closing Date, voluntarily prepay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in a form acceptable to the Administrative Agent (including any form</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64"/>
          </w:cols>
          <w:pgMar w:left="876" w:top="274" w:right="459" w:bottom="1440" w:gutter="0" w:footer="0" w:header="0"/>
        </w:sectPr>
      </w:pPr>
    </w:p>
    <w:bookmarkStart w:id="125" w:name="page126"/>
    <w:bookmarkEnd w:id="125"/>
    <w:p>
      <w:pPr>
        <w:ind w:left="12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an electronic platform or electronic transmission system as shall be approved by the Administrative Agent) appropriately completed and signed by a Responsible Officer and be received by the Administrative Agent not later than 11:00 a.m. (a) three (3) Business Days prior to any date of prepayment of Eurodollar Rate Loans and (b) one (1) Business Day prior to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Term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Eurodollar Rate Loan,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prepayment of the outstanding Term Loans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be applied to the remaining amortization payments under the Term Facility in direct order of maturity, and thereafter to the next scheduled installments of principal of the Term Facility or portions thereof, and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each such prepayment shall be paid to the Lenders in accordance with their respective Applicable Percentages in respect of the Term Facility.</w:t>
      </w:r>
    </w:p>
    <w:p>
      <w:pPr>
        <w:spacing w:after="0" w:line="72" w:lineRule="exact"/>
        <w:rPr>
          <w:sz w:val="20"/>
          <w:szCs w:val="20"/>
          <w:color w:val="auto"/>
        </w:rPr>
      </w:pPr>
    </w:p>
    <w:p>
      <w:pPr>
        <w:ind w:left="261" w:hanging="261"/>
        <w:spacing w:after="0"/>
        <w:tabs>
          <w:tab w:leader="none" w:pos="26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1" w:firstLine="408"/>
        <w:spacing w:after="0" w:line="287" w:lineRule="auto"/>
        <w:tabs>
          <w:tab w:leader="none" w:pos="73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Commencing with the fiscal year ending December 31, 2021, within the later of (x) five (5)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the related Compliance Certificate has been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(y) ninety-five (95) days after the end of such fiscal year, the Borrower shall prepay an aggregate principal amount of Loans equal to the excess (if any) of (A) the ECF Percentage of Excess Cash Flow for the fiscal year covered by such financial statements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(1) the aggregate principal amount of Term Loans prepaid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or repurchases of the Term Loans made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during such fiscal year (and not previously applied by the Borrower pursuant to the following clause (2) to reduce the prepayment required by this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for the preceding fiscal year) and (2) at the Borrower’s election, all or any amount of Term Loans prepaid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or repurchases of the Term Loans made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after the end of such fiscal year and on or prior to the date of such prepayment</w:t>
      </w:r>
      <w:r>
        <w:rPr>
          <w:rFonts w:ascii="Arial" w:cs="Arial" w:eastAsia="Arial" w:hAnsi="Arial"/>
          <w:sz w:val="16"/>
          <w:szCs w:val="16"/>
          <w:u w:val="single" w:color="auto"/>
          <w:color w:val="auto"/>
        </w:rPr>
        <w:t>; provided</w:t>
      </w:r>
      <w:r>
        <w:rPr>
          <w:rFonts w:ascii="Arial" w:cs="Arial" w:eastAsia="Arial" w:hAnsi="Arial"/>
          <w:sz w:val="16"/>
          <w:szCs w:val="16"/>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w:t>
      </w:r>
    </w:p>
    <w:p>
      <w:pPr>
        <w:spacing w:after="0" w:line="63" w:lineRule="exact"/>
        <w:rPr>
          <w:rFonts w:ascii="Arial" w:cs="Arial" w:eastAsia="Arial" w:hAnsi="Arial"/>
          <w:sz w:val="16"/>
          <w:szCs w:val="16"/>
          <w:color w:val="auto"/>
        </w:rPr>
      </w:pPr>
    </w:p>
    <w:p>
      <w:pPr>
        <w:ind w:left="121" w:right="20" w:firstLine="408"/>
        <w:spacing w:after="0" w:line="288" w:lineRule="auto"/>
        <w:tabs>
          <w:tab w:leader="none" w:pos="78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If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that results in the realization by such Person of Net Cash Proceeds, the Borrower shall prepay an aggregate principal amount of Term Loans equal to 100% of such Net Cash Proceeds within ten (10) Business Days of receipt thereof by such Person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at the election of the Borrower (as notified by the Borrower to the Administrative Agent within such ten (10) Business Day period), the Borrower or such Subsidiary may reinvest such Net Cash Proceeds up to an amount not to exceed $50,000,000 during the term of the Term Facility (the “</w:t>
      </w:r>
      <w:r>
        <w:rPr>
          <w:rFonts w:ascii="Arial" w:cs="Arial" w:eastAsia="Arial" w:hAnsi="Arial"/>
          <w:sz w:val="16"/>
          <w:szCs w:val="16"/>
          <w:u w:val="single" w:color="auto"/>
          <w:color w:val="auto"/>
        </w:rPr>
        <w:t>Reinvestment Amount</w:t>
      </w:r>
      <w:r>
        <w:rPr>
          <w:rFonts w:ascii="Arial" w:cs="Arial" w:eastAsia="Arial" w:hAnsi="Arial"/>
          <w:sz w:val="16"/>
          <w:szCs w:val="16"/>
          <w:color w:val="auto"/>
        </w:rPr>
        <w:t xml:space="preserve">”) in Collateral used or useful in the operation of the Borrower or its Subsidiaries (or committed to be reinvested pursuant to a definitive agreement) within 12 months and, if so committed to be reinvested, so long as such reinvestment is actually completed within 18 months after such Disposition;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the Borrower shall not be required to reinvest such Net Cash Proceeds in Collateral to the extent such Net Cash</w:t>
      </w:r>
    </w:p>
    <w:p>
      <w:pPr>
        <w:spacing w:after="0" w:line="101" w:lineRule="exact"/>
        <w:rPr>
          <w:sz w:val="20"/>
          <w:szCs w:val="20"/>
          <w:color w:val="auto"/>
        </w:rPr>
      </w:pPr>
    </w:p>
    <w:p>
      <w:pPr>
        <w:ind w:left="456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41"/>
          </w:cols>
          <w:pgMar w:left="1299" w:top="274" w:right="459" w:bottom="1440" w:gutter="0" w:footer="0" w:header="0"/>
        </w:sectPr>
      </w:pPr>
    </w:p>
    <w:bookmarkStart w:id="126" w:name="page127"/>
    <w:bookmarkEnd w:id="126"/>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Proceeds result from the disposition of property that is not, and is not otherwise required to be, Collateral and instead may reinvest such proceeds in assets that do not constitute Collateral so long as such assets are used or useful in the operation of the Borrower or its Subsidiaries and (ii) the Borrower may invest up to $10,000,000 of the Reinvestment Amount each fiscal year in non-Collateral assets so long as such assets are used or useful in the operation of the Borrower or its Subsidiaries. Notwithstanding anything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to the contrary, (x) 100% of the Net Cash Proceeds of any Disposition of ABL Priority Collateral shall first be offered to permanently reduce the commitments in respect of the ABL Facility on a pro rata basis among the ABL Lenders, (y) at the Borrower’s option and with customary notice, any ABL Lender may elect not to accept its pro rata portion of any such mandatory prepayment and (z) any such prepayment amount so declined shall otherwise be applied in accordance with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Net Cash Proceeds result from a Disposition of ABL Priority Collateral, upon the occurrence of the ABL Obligations Payment Date (as defined in the ABL Intercreditor Agreement), such Net Cash Proceeds shall be applied to the Obligations in accordance with this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84" w:lineRule="exact"/>
        <w:rPr>
          <w:sz w:val="20"/>
          <w:szCs w:val="20"/>
          <w:color w:val="auto"/>
        </w:rPr>
      </w:pPr>
    </w:p>
    <w:p>
      <w:pPr>
        <w:ind w:right="140" w:firstLine="408"/>
        <w:spacing w:after="0" w:line="279" w:lineRule="auto"/>
        <w:tabs>
          <w:tab w:leader="none" w:pos="71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63" w:lineRule="exact"/>
        <w:rPr>
          <w:rFonts w:ascii="Arial" w:cs="Arial" w:eastAsia="Arial" w:hAnsi="Arial"/>
          <w:sz w:val="17"/>
          <w:szCs w:val="17"/>
          <w:color w:val="auto"/>
        </w:rPr>
      </w:pPr>
    </w:p>
    <w:p>
      <w:pPr>
        <w:ind w:right="40" w:firstLine="408"/>
        <w:spacing w:after="0" w:line="286" w:lineRule="auto"/>
        <w:tabs>
          <w:tab w:leader="none" w:pos="70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Upon any Extraordinary Receipt received by or paid to or for the account of the Borrower or any of its Subsidiaries, and not otherwise included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Event of Default shall have occurred and be continuing, the Borrower or such Subsidiary may apply within 180 days after the receipt of such cash proceeds to replace or repair the equipment, fixed assets or real property in respect of which such cash proceeds were received and if such Net Cash Proceeds are not so reinvested within such 180-day period but such Net Cash Proceeds are subject to a definitive agreement within such 180-day period to reinvest such Net Cash Proceeds in accordance with this </w:t>
      </w:r>
      <w:r>
        <w:rPr>
          <w:rFonts w:ascii="Arial" w:cs="Arial" w:eastAsia="Arial" w:hAnsi="Arial"/>
          <w:sz w:val="16"/>
          <w:szCs w:val="16"/>
          <w:u w:val="single" w:color="auto"/>
          <w:color w:val="auto"/>
        </w:rPr>
        <w:t>Section 2.05(b)(iv)</w:t>
      </w:r>
      <w:r>
        <w:rPr>
          <w:rFonts w:ascii="Arial" w:cs="Arial" w:eastAsia="Arial" w:hAnsi="Arial"/>
          <w:sz w:val="16"/>
          <w:szCs w:val="16"/>
          <w:color w:val="auto"/>
        </w:rPr>
        <w:t xml:space="preserve"> then the Borrower or such Subsidiary shall have an additional 180 days after the end of the such initial 180-day period to reinvest such Net Cash Proceeds in accordance with this </w:t>
      </w:r>
      <w:r>
        <w:rPr>
          <w:rFonts w:ascii="Arial" w:cs="Arial" w:eastAsia="Arial" w:hAnsi="Arial"/>
          <w:sz w:val="16"/>
          <w:szCs w:val="16"/>
          <w:u w:val="single" w:color="auto"/>
          <w:color w:val="auto"/>
        </w:rPr>
        <w:t>Section 2.05(b)(iv)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cash proceeds not so applied shall be promptly applied to the prepayment of the Loans as set forth in this </w:t>
      </w:r>
      <w:r>
        <w:rPr>
          <w:rFonts w:ascii="Arial" w:cs="Arial" w:eastAsia="Arial" w:hAnsi="Arial"/>
          <w:sz w:val="16"/>
          <w:szCs w:val="16"/>
          <w:u w:val="single" w:color="auto"/>
          <w:color w:val="auto"/>
        </w:rPr>
        <w:t>Section 2.05(b)(iv)</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firstLine="408"/>
        <w:spacing w:after="0" w:line="296" w:lineRule="auto"/>
        <w:tabs>
          <w:tab w:leader="none" w:pos="65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Each prepayment of Loans pursuant to the foregoing provisions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(1) with respect to prepayments required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the next scheduled installments of principal of the Term Facility and (2) with respect to prepayments required by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next two principal repayment installments of the Term Facility and, </w:t>
      </w:r>
      <w:r>
        <w:rPr>
          <w:rFonts w:ascii="Arial" w:cs="Arial" w:eastAsia="Arial" w:hAnsi="Arial"/>
          <w:sz w:val="16"/>
          <w:szCs w:val="16"/>
          <w:u w:val="single" w:color="auto"/>
          <w:color w:val="auto"/>
        </w:rPr>
        <w:t>thereafter</w:t>
      </w:r>
      <w:r>
        <w:rPr>
          <w:rFonts w:ascii="Arial" w:cs="Arial" w:eastAsia="Arial" w:hAnsi="Arial"/>
          <w:sz w:val="16"/>
          <w:szCs w:val="16"/>
          <w:color w:val="auto"/>
        </w:rPr>
        <w:t xml:space="preserve">, in inverse order of maturity to the remaining scheduled principal installments of the Term Facility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such prepayments shall be paid to the Lenders in accordance with their respective Applicable Percentages in respect of the Term Facility.</w:t>
      </w:r>
    </w:p>
    <w:p>
      <w:pPr>
        <w:spacing w:after="0" w:line="53" w:lineRule="exact"/>
        <w:rPr>
          <w:rFonts w:ascii="Arial" w:cs="Arial" w:eastAsia="Arial" w:hAnsi="Arial"/>
          <w:sz w:val="16"/>
          <w:szCs w:val="16"/>
          <w:color w:val="auto"/>
        </w:rPr>
      </w:pPr>
    </w:p>
    <w:p>
      <w:pPr>
        <w:ind w:left="720" w:hanging="312"/>
        <w:spacing w:after="0"/>
        <w:tabs>
          <w:tab w:leader="none" w:pos="72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Notwithstanding anything in this Section 2.05(b) to the contrary, the Borrower will not later than 11:00 a.m. on the date three</w:t>
      </w:r>
    </w:p>
    <w:p>
      <w:pPr>
        <w:spacing w:after="0" w:line="34" w:lineRule="exact"/>
        <w:rPr>
          <w:rFonts w:ascii="Arial" w:cs="Arial" w:eastAsia="Arial" w:hAnsi="Arial"/>
          <w:sz w:val="17"/>
          <w:szCs w:val="17"/>
          <w:color w:val="auto"/>
        </w:rPr>
      </w:pPr>
    </w:p>
    <w:p>
      <w:pPr>
        <w:ind w:right="80" w:firstLine="7"/>
        <w:spacing w:after="0" w:line="255"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Business Days (or such later date as agreed to by the Administrative Agent) prior to the date such prepayment with respect to this Section 2.05(b), give the Administrative Agent written notice requesting that the Administrative Agent provide notice of such prepayment to each Lender, each Lender will have the right to refuse any</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20"/>
          </w:cols>
          <w:pgMar w:left="1420" w:top="274" w:right="459" w:bottom="1440" w:gutter="0" w:footer="0" w:header="0"/>
        </w:sectPr>
      </w:pPr>
    </w:p>
    <w:bookmarkStart w:id="127" w:name="page128"/>
    <w:bookmarkEnd w:id="127"/>
    <w:p>
      <w:pPr>
        <w:ind w:left="5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prepayment by giving written notice (a “</w:t>
      </w:r>
      <w:r>
        <w:rPr>
          <w:rFonts w:ascii="Arial" w:cs="Arial" w:eastAsia="Arial" w:hAnsi="Arial"/>
          <w:sz w:val="16"/>
          <w:szCs w:val="16"/>
          <w:u w:val="single" w:color="auto"/>
          <w:color w:val="auto"/>
        </w:rPr>
        <w:t>Rejection Notice</w:t>
      </w:r>
      <w:r>
        <w:rPr>
          <w:rFonts w:ascii="Arial" w:cs="Arial" w:eastAsia="Arial" w:hAnsi="Arial"/>
          <w:sz w:val="16"/>
          <w:szCs w:val="16"/>
          <w:color w:val="auto"/>
        </w:rPr>
        <w:t>”) of such refusal to the Borrower and the Administrative Agent by 11:00 a.m. one (b) Business Day prior to the date of such prepayment and (iii) the Borrower will make all such prepayments not so. Any Lender that does not decline such prepayment in writing on or prior to the date set forth above shall be deemed to have accepted such prepayment.</w:t>
      </w:r>
    </w:p>
    <w:p>
      <w:pPr>
        <w:spacing w:after="0" w:line="41" w:lineRule="exact"/>
        <w:rPr>
          <w:sz w:val="20"/>
          <w:szCs w:val="20"/>
          <w:color w:val="auto"/>
        </w:rPr>
      </w:pPr>
    </w:p>
    <w:p>
      <w:pPr>
        <w:ind w:left="1300" w:hanging="352"/>
        <w:spacing w:after="0"/>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60" w:hanging="412"/>
        <w:spacing w:after="0"/>
        <w:tabs>
          <w:tab w:leader="none" w:pos="13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any mandatory prepayments arising under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left="540" w:right="220" w:firstLine="7"/>
        <w:spacing w:after="0" w:line="281" w:lineRule="auto"/>
        <w:tabs>
          <w:tab w:leader="none" w:pos="845" w:val="left"/>
        </w:tabs>
        <w:numPr>
          <w:ilvl w:val="0"/>
          <w:numId w:val="137"/>
        </w:numPr>
        <w:rPr>
          <w:rFonts w:ascii="Arial" w:cs="Arial" w:eastAsia="Arial" w:hAnsi="Arial"/>
          <w:sz w:val="16"/>
          <w:szCs w:val="16"/>
          <w:u w:val="single" w:color="auto"/>
          <w:color w:val="auto"/>
        </w:rPr>
      </w:pPr>
      <w:r>
        <w:rPr>
          <w:rFonts w:ascii="Arial" w:cs="Arial" w:eastAsia="Arial" w:hAnsi="Arial"/>
          <w:sz w:val="16"/>
          <w:szCs w:val="16"/>
          <w:color w:val="auto"/>
        </w:rPr>
        <w:t>from the receipt of Net Cash Proceeds from any Disposition or Extraordinary Receipts by any Foreign Subsidiary (each, a “</w:t>
      </w:r>
      <w:r>
        <w:rPr>
          <w:rFonts w:ascii="Arial" w:cs="Arial" w:eastAsia="Arial" w:hAnsi="Arial"/>
          <w:sz w:val="16"/>
          <w:szCs w:val="16"/>
          <w:u w:val="single" w:color="auto"/>
          <w:color w:val="auto"/>
        </w:rPr>
        <w:t>Foreign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Disposition</w:t>
      </w:r>
      <w:r>
        <w:rPr>
          <w:rFonts w:ascii="Arial" w:cs="Arial" w:eastAsia="Arial" w:hAnsi="Arial"/>
          <w:sz w:val="16"/>
          <w:szCs w:val="16"/>
          <w:color w:val="auto"/>
        </w:rPr>
        <w:t xml:space="preserve">”) or arising under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from Excess Cash Flow directly attributable to Foreign Subsidiaries (“</w:t>
      </w:r>
      <w:r>
        <w:rPr>
          <w:rFonts w:ascii="Arial" w:cs="Arial" w:eastAsia="Arial" w:hAnsi="Arial"/>
          <w:sz w:val="16"/>
          <w:szCs w:val="16"/>
          <w:u w:val="single" w:color="auto"/>
          <w:color w:val="auto"/>
        </w:rPr>
        <w:t>Foreign Excess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Flow</w:t>
      </w:r>
      <w:r>
        <w:rPr>
          <w:rFonts w:ascii="Arial" w:cs="Arial" w:eastAsia="Arial" w:hAnsi="Arial"/>
          <w:sz w:val="16"/>
          <w:szCs w:val="16"/>
          <w:color w:val="auto"/>
        </w:rPr>
        <w:t>”) shall not be required to the extent that the repatriation of such Net Cash Proceeds or Foreign Excess Cash Flow would</w:t>
      </w:r>
    </w:p>
    <w:p>
      <w:pPr>
        <w:spacing w:after="0" w:line="1" w:lineRule="exact"/>
        <w:rPr>
          <w:rFonts w:ascii="Arial" w:cs="Arial" w:eastAsia="Arial" w:hAnsi="Arial"/>
          <w:sz w:val="16"/>
          <w:szCs w:val="16"/>
          <w:u w:val="single" w:color="auto"/>
          <w:color w:val="auto"/>
        </w:rPr>
      </w:pPr>
    </w:p>
    <w:p>
      <w:pPr>
        <w:ind w:left="540" w:right="20"/>
        <w:spacing w:after="0" w:line="253" w:lineRule="auto"/>
        <w:rPr>
          <w:rFonts w:ascii="Arial" w:cs="Arial" w:eastAsia="Arial" w:hAnsi="Arial"/>
          <w:sz w:val="16"/>
          <w:szCs w:val="16"/>
          <w:u w:val="single" w:color="auto"/>
          <w:color w:val="auto"/>
        </w:rPr>
      </w:pPr>
      <w:r>
        <w:rPr>
          <w:rFonts w:ascii="Arial" w:cs="Arial" w:eastAsia="Arial" w:hAnsi="Arial"/>
          <w:sz w:val="18"/>
          <w:szCs w:val="18"/>
          <w:color w:val="auto"/>
        </w:rPr>
        <w:t>(A) give rise to adverse tax, accounting or regulatory consequences (in each case, other than de minimis) or (B) be prohibited, restricted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w:t>
      </w:r>
    </w:p>
    <w:p>
      <w:pPr>
        <w:spacing w:after="0" w:line="85" w:lineRule="exact"/>
        <w:rPr>
          <w:sz w:val="20"/>
          <w:szCs w:val="20"/>
          <w:color w:val="auto"/>
        </w:rPr>
      </w:pPr>
    </w:p>
    <w:p>
      <w:pPr>
        <w:ind w:left="660" w:hanging="241"/>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w:t>
      </w:r>
    </w:p>
    <w:p>
      <w:pPr>
        <w:spacing w:after="0" w:line="117" w:lineRule="exact"/>
        <w:rPr>
          <w:sz w:val="20"/>
          <w:szCs w:val="20"/>
          <w:color w:val="auto"/>
        </w:rPr>
      </w:pPr>
    </w:p>
    <w:p>
      <w:pPr>
        <w:ind w:right="20" w:firstLine="423"/>
        <w:spacing w:after="0" w:line="283" w:lineRule="auto"/>
        <w:rPr>
          <w:sz w:val="20"/>
          <w:szCs w:val="20"/>
          <w:color w:val="auto"/>
        </w:rPr>
      </w:pPr>
      <w:r>
        <w:rPr>
          <w:rFonts w:ascii="Arial" w:cs="Arial" w:eastAsia="Arial" w:hAnsi="Arial"/>
          <w:sz w:val="16"/>
          <w:szCs w:val="16"/>
          <w:color w:val="auto"/>
        </w:rPr>
        <w:t xml:space="preserve">In the event that all or any portion of the Term Loans is repaid or prepaid as a result of any voluntary prepayment or mandatory prepayment, but excluding any prepayment made pursuant to </w:t>
      </w:r>
      <w:r>
        <w:rPr>
          <w:rFonts w:ascii="Arial" w:cs="Arial" w:eastAsia="Arial" w:hAnsi="Arial"/>
          <w:sz w:val="16"/>
          <w:szCs w:val="16"/>
          <w:u w:val="single" w:color="auto"/>
          <w:color w:val="auto"/>
        </w:rPr>
        <w:t>Sections 2.05(b)(i)</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b)(iv</w:t>
      </w:r>
      <w:r>
        <w:rPr>
          <w:rFonts w:ascii="Arial" w:cs="Arial" w:eastAsia="Arial" w:hAnsi="Arial"/>
          <w:sz w:val="16"/>
          <w:szCs w:val="16"/>
          <w:color w:val="auto"/>
        </w:rPr>
        <w:t>), on or prior to the third anniversary of the Closing Date, such repayments, prepayments or required assignments shall be made at (A) an amount equal to the Make-Whole Amount, if such repayment, prepayment or required assignment occurs on or prior to the first anniversary of the Closing Date, (B) 2.0% of the amount repaid or prepaid as of the date of such repayment, prepayment or required assignment, if such repayment, prepayment or required assignment occurs after the first anniversary of the Closing Date but on or prior to the second anniversary of the Closing Date and (C) 1.0% of the amount repaid or prepaid, if such repayment, prepayment or required assignment occurs after the second anniversary of the Closing Date but on or prior to the third anniversary of the Closing Date (the foregoing premiums (including the Make-Whole Amount), the “</w:t>
      </w:r>
      <w:r>
        <w:rPr>
          <w:rFonts w:ascii="Arial" w:cs="Arial" w:eastAsia="Arial" w:hAnsi="Arial"/>
          <w:sz w:val="16"/>
          <w:szCs w:val="16"/>
          <w:u w:val="single" w:color="auto"/>
          <w:color w:val="auto"/>
        </w:rPr>
        <w:t>Prepayment Premium</w:t>
      </w:r>
      <w:r>
        <w:rPr>
          <w:rFonts w:ascii="Arial" w:cs="Arial" w:eastAsia="Arial" w:hAnsi="Arial"/>
          <w:sz w:val="16"/>
          <w:szCs w:val="16"/>
          <w:color w:val="auto"/>
        </w:rPr>
        <w:t xml:space="preserve">”). No Prepayment Premium will be applicable on any portion of the Term Loan repaid or prepayment, but excluding any prepayment made pursuant to </w:t>
      </w:r>
      <w:r>
        <w:rPr>
          <w:rFonts w:ascii="Arial" w:cs="Arial" w:eastAsia="Arial" w:hAnsi="Arial"/>
          <w:sz w:val="16"/>
          <w:szCs w:val="16"/>
          <w:u w:val="single" w:color="auto"/>
          <w:color w:val="auto"/>
        </w:rPr>
        <w:t>Sections</w:t>
      </w:r>
    </w:p>
    <w:p>
      <w:pPr>
        <w:spacing w:after="0" w:line="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u w:val="single" w:color="auto"/>
          <w:color w:val="auto"/>
        </w:rPr>
        <w:t>2.05(b)(i),</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and (</w:t>
      </w:r>
      <w:r>
        <w:rPr>
          <w:rFonts w:ascii="Arial" w:cs="Arial" w:eastAsia="Arial" w:hAnsi="Arial"/>
          <w:sz w:val="16"/>
          <w:szCs w:val="16"/>
          <w:u w:val="single" w:color="auto"/>
          <w:color w:val="auto"/>
        </w:rPr>
        <w:t>b)(iv</w:t>
      </w:r>
      <w:r>
        <w:rPr>
          <w:rFonts w:ascii="Arial" w:cs="Arial" w:eastAsia="Arial" w:hAnsi="Arial"/>
          <w:sz w:val="16"/>
          <w:szCs w:val="16"/>
          <w:color w:val="auto"/>
        </w:rPr>
        <w:t>), after the third anniversary of the Closing Date. If the Term Loans are accelerated or otherwise become due prior to their maturity date, in each case (including upon the occurrence of a bankruptcy or insolvency event of default or the acceleration of claims by operation of law), the amount of principal of and premium on the Term Loans that becomes due and payable shall equal 100.0% of the principal amount of the Term Loans plus the Prepayment Premium in effect on the date of such acceleration or such other prior due date, as if such acceleration or other occurrence were a voluntary prepayment of the Term Loans accelerated or otherwise becoming due. Without limiting the generality of the foregoing, it is understood and agreed that if the Loans are accelerated or otherwise become due prior to the Maturity Date, in each case (including upon the occurrence of a bankruptcy or insolvency event of default or the acceleration of claims by operation of law), the Prepayment Premium applicable with respect to a voluntary prepayment of the Term Loans will also be due and payable on the date of such acceleration or such other prior due date as though the Term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Prepayment Premium payable above shall be presumed to be the liquidated damages sustained by each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40"/>
          </w:cols>
          <w:pgMar w:left="880" w:top="274" w:right="479" w:bottom="1440" w:gutter="0" w:footer="0" w:header="0"/>
        </w:sectPr>
      </w:pPr>
    </w:p>
    <w:bookmarkStart w:id="128" w:name="page129"/>
    <w:bookmarkEnd w:id="128"/>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people, ably represented by counsel, (B) the Prepayment Premium shall be payable notwithstanding the then prevailing market rates at the time payment is made, (C) there has been a course of conduct between the Lenders and the Borrower giving specific consideration in this transaction for such agreement to pay the Prepayment Premium and (D) the Borrower shall be estopped hereafter from claiming differently than as agreed to in this paragraph.</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86" w:lineRule="auto"/>
        <w:tabs>
          <w:tab w:leader="none" w:pos="1107"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Term Loans</w:t>
      </w:r>
      <w:r>
        <w:rPr>
          <w:rFonts w:ascii="Arial" w:cs="Arial" w:eastAsia="Arial" w:hAnsi="Arial"/>
          <w:sz w:val="17"/>
          <w:szCs w:val="17"/>
          <w:color w:val="auto"/>
        </w:rPr>
        <w:t xml:space="preserve">. The Borrower shall repay to the Term Lenders the aggregate principal amount of all Term Loans outstanding in consecutive quarterly installments on the following dates in an amount equal to the amount set forth opposite such date (which amounts shall be reduced as a result of the application of prepayments in accordance with the order of priority set forth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60" w:type="dxa"/>
            <w:vAlign w:val="bottom"/>
          </w:tcPr>
          <w:p>
            <w:pPr>
              <w:spacing w:after="0"/>
              <w:rPr>
                <w:sz w:val="14"/>
                <w:szCs w:val="14"/>
                <w:color w:val="auto"/>
              </w:rPr>
            </w:pPr>
          </w:p>
        </w:tc>
      </w:tr>
      <w:tr>
        <w:trPr>
          <w:trHeight w:val="195"/>
        </w:trPr>
        <w:tc>
          <w:tcPr>
            <w:tcW w:w="2660" w:type="dxa"/>
            <w:vAlign w:val="bottom"/>
          </w:tcPr>
          <w:p>
            <w:pPr>
              <w:spacing w:after="0" w:line="195" w:lineRule="exact"/>
              <w:rPr>
                <w:sz w:val="20"/>
                <w:szCs w:val="20"/>
                <w:color w:val="auto"/>
              </w:rPr>
            </w:pPr>
            <w:r>
              <w:rPr>
                <w:rFonts w:ascii="Arial" w:cs="Arial" w:eastAsia="Arial" w:hAnsi="Arial"/>
                <w:sz w:val="18"/>
                <w:szCs w:val="18"/>
                <w:color w:val="auto"/>
                <w:w w:val="91"/>
              </w:rPr>
              <w:t>The last Business Day of each fiscal</w:t>
            </w:r>
          </w:p>
        </w:tc>
        <w:tc>
          <w:tcPr>
            <w:tcW w:w="3060" w:type="dxa"/>
            <w:vAlign w:val="bottom"/>
            <w:gridSpan w:val="2"/>
          </w:tcPr>
          <w:p>
            <w:pPr>
              <w:spacing w:after="0" w:line="195" w:lineRule="exact"/>
              <w:rPr>
                <w:sz w:val="20"/>
                <w:szCs w:val="20"/>
                <w:color w:val="auto"/>
              </w:rPr>
            </w:pPr>
            <w:r>
              <w:rPr>
                <w:rFonts w:ascii="Arial" w:cs="Arial" w:eastAsia="Arial" w:hAnsi="Arial"/>
                <w:sz w:val="18"/>
                <w:szCs w:val="18"/>
                <w:color w:val="auto"/>
                <w:w w:val="95"/>
              </w:rPr>
              <w:t>quarter ending prior to the Maturity Date</w:t>
            </w:r>
          </w:p>
        </w:tc>
        <w:tc>
          <w:tcPr>
            <w:tcW w:w="2400" w:type="dxa"/>
            <w:vAlign w:val="bottom"/>
          </w:tcPr>
          <w:p>
            <w:pPr>
              <w:ind w:left="140"/>
              <w:spacing w:after="0" w:line="195" w:lineRule="exact"/>
              <w:rPr>
                <w:sz w:val="20"/>
                <w:szCs w:val="20"/>
                <w:color w:val="auto"/>
              </w:rPr>
            </w:pPr>
            <w:r>
              <w:rPr>
                <w:rFonts w:ascii="Arial" w:cs="Arial" w:eastAsia="Arial" w:hAnsi="Arial"/>
                <w:sz w:val="18"/>
                <w:szCs w:val="18"/>
                <w:color w:val="auto"/>
                <w:w w:val="86"/>
              </w:rPr>
              <w:t>0.25% of the aggregate principal</w:t>
            </w:r>
          </w:p>
        </w:tc>
        <w:tc>
          <w:tcPr>
            <w:tcW w:w="278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0"/>
              </w:rPr>
              <w:t>amount of the aggregate Initial Term</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w w:val="98"/>
              </w:rPr>
              <w:t>for the Term Facility, commencing with the fiscal quarter ending June 30,</w:t>
            </w:r>
          </w:p>
        </w:tc>
        <w:tc>
          <w:tcPr>
            <w:tcW w:w="518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Loans on the Closing Date</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24"/>
        </w:trPr>
        <w:tc>
          <w:tcPr>
            <w:tcW w:w="5720" w:type="dxa"/>
            <w:vAlign w:val="bottom"/>
            <w:gridSpan w:val="3"/>
          </w:tcPr>
          <w:p>
            <w:pPr>
              <w:spacing w:after="0"/>
              <w:rPr>
                <w:sz w:val="20"/>
                <w:szCs w:val="20"/>
                <w:color w:val="auto"/>
              </w:rPr>
            </w:pPr>
            <w:r>
              <w:rPr>
                <w:rFonts w:ascii="Arial" w:cs="Arial" w:eastAsia="Arial" w:hAnsi="Arial"/>
                <w:sz w:val="18"/>
                <w:szCs w:val="18"/>
                <w:color w:val="auto"/>
              </w:rPr>
              <w:t>Maturity Date with respect to the Term Facility</w:t>
            </w:r>
          </w:p>
        </w:tc>
        <w:tc>
          <w:tcPr>
            <w:tcW w:w="51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All outstanding principal amount of the Term Loans</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2.08(b)</w:t>
      </w:r>
      <w:r>
        <w:rPr>
          <w:rFonts w:ascii="Arial" w:cs="Arial" w:eastAsia="Arial" w:hAnsi="Arial"/>
          <w:sz w:val="17"/>
          <w:szCs w:val="17"/>
          <w:color w:val="auto"/>
        </w:rPr>
        <w:t>, (i) each Eurodollar Rate Loan under a Facility shall bear interest on the outstanding</w:t>
      </w:r>
    </w:p>
    <w:p>
      <w:pPr>
        <w:spacing w:after="0" w:line="34" w:lineRule="exact"/>
        <w:rPr>
          <w:rFonts w:ascii="Arial" w:cs="Arial" w:eastAsia="Arial" w:hAnsi="Arial"/>
          <w:sz w:val="17"/>
          <w:szCs w:val="17"/>
          <w:color w:val="auto"/>
        </w:rPr>
      </w:pPr>
    </w:p>
    <w:p>
      <w:pPr>
        <w:ind w:left="440" w:right="2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principal amount thereof for each Interest Period at a rate per annum equal to the Eurodollar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such Facility; and (ii) each Base Rate Loan under a Facility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such Facility.</w:t>
      </w:r>
    </w:p>
    <w:p>
      <w:pPr>
        <w:spacing w:after="0" w:line="64" w:lineRule="exact"/>
        <w:rPr>
          <w:rFonts w:ascii="Arial" w:cs="Arial" w:eastAsia="Arial" w:hAnsi="Arial"/>
          <w:sz w:val="17"/>
          <w:szCs w:val="17"/>
          <w:color w:val="auto"/>
        </w:rPr>
      </w:pPr>
    </w:p>
    <w:p>
      <w:pPr>
        <w:ind w:left="440" w:right="240" w:firstLine="419"/>
        <w:spacing w:after="0" w:line="263" w:lineRule="auto"/>
        <w:tabs>
          <w:tab w:leader="none" w:pos="111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980" w:right="460" w:firstLine="408"/>
        <w:spacing w:after="0" w:line="263" w:lineRule="auto"/>
        <w:tabs>
          <w:tab w:leader="none" w:pos="159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While any Event of Default exists and is continuing under Section 8.01(j), the Borrower shall pay interest on all outstanding Obligations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jc w:val="both"/>
        <w:ind w:left="980" w:right="140" w:firstLine="408"/>
        <w:spacing w:after="0" w:line="311" w:lineRule="auto"/>
        <w:tabs>
          <w:tab w:leader="none" w:pos="164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Upon the request of the Required Lenders, while any Event of Default exists and is continuing (other than to the extent set forth in Sections 2.08(b)(i)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40" w:lineRule="exact"/>
        <w:rPr>
          <w:rFonts w:ascii="Arial" w:cs="Arial" w:eastAsia="Arial" w:hAnsi="Arial"/>
          <w:sz w:val="16"/>
          <w:szCs w:val="16"/>
          <w:color w:val="auto"/>
        </w:rPr>
      </w:pPr>
    </w:p>
    <w:p>
      <w:pPr>
        <w:ind w:left="1700" w:hanging="312"/>
        <w:spacing w:after="0"/>
        <w:tabs>
          <w:tab w:leader="none" w:pos="1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40" w:lineRule="exact"/>
        <w:rPr>
          <w:rFonts w:ascii="Arial" w:cs="Arial" w:eastAsia="Arial" w:hAnsi="Arial"/>
          <w:sz w:val="16"/>
          <w:szCs w:val="16"/>
          <w:color w:val="auto"/>
        </w:rPr>
      </w:pPr>
    </w:p>
    <w:p>
      <w:pPr>
        <w:ind w:left="440" w:right="260" w:firstLine="419"/>
        <w:spacing w:after="0" w:line="263" w:lineRule="auto"/>
        <w:tabs>
          <w:tab w:leader="none" w:pos="110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29" w:name="page130"/>
    <w:bookmarkEnd w:id="1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20" w:firstLine="408"/>
        <w:spacing w:after="0" w:line="308" w:lineRule="auto"/>
        <w:tabs>
          <w:tab w:leader="none" w:pos="159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Borrower shall pay to the Administrative Agent for its accounts fees in the amounts and at the times specified in the Fee Letter. Such fees shall be fully earned when paid and shall not be refundable for any reason whatsoever.</w:t>
      </w:r>
    </w:p>
    <w:p>
      <w:pPr>
        <w:spacing w:after="0" w:line="38" w:lineRule="exact"/>
        <w:rPr>
          <w:rFonts w:ascii="Arial" w:cs="Arial" w:eastAsia="Arial" w:hAnsi="Arial"/>
          <w:sz w:val="17"/>
          <w:szCs w:val="17"/>
          <w:color w:val="auto"/>
        </w:rPr>
      </w:pPr>
    </w:p>
    <w:p>
      <w:pPr>
        <w:ind w:left="980" w:right="200" w:firstLine="408"/>
        <w:spacing w:after="0" w:line="308" w:lineRule="auto"/>
        <w:tabs>
          <w:tab w:leader="none" w:pos="164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146"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Computation of Interest and Fees; Retroactive Adjustments of Applicable Rate</w:t>
      </w:r>
      <w:r>
        <w:rPr>
          <w:rFonts w:ascii="Arial" w:cs="Arial" w:eastAsia="Arial" w:hAnsi="Arial"/>
          <w:sz w:val="16"/>
          <w:szCs w:val="16"/>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bear interest for one day. Each determination by the Administrative Agent of an interest rate or fee hereunder shall be conclusive and binding for all purposes, absent manifest error.</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Evidence of Debt</w:t>
      </w:r>
      <w:r>
        <w:rPr>
          <w:rFonts w:ascii="Arial" w:cs="Arial" w:eastAsia="Arial" w:hAnsi="Arial"/>
          <w:sz w:val="17"/>
          <w:szCs w:val="17"/>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the Borrower shall execute and deliver to such Lender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89" w:lineRule="auto"/>
        <w:tabs>
          <w:tab w:leader="none" w:pos="110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may, in the Administrative Agent’s discretion,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30" w:name="page131"/>
    <w:bookmarkEnd w:id="130"/>
    <w:p>
      <w:pPr>
        <w:ind w:right="20" w:firstLine="419"/>
        <w:spacing w:after="0" w:line="285" w:lineRule="auto"/>
        <w:tabs>
          <w:tab w:leader="none" w:pos="678"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written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65" w:lineRule="exact"/>
        <w:rPr>
          <w:rFonts w:ascii="Arial" w:cs="Arial" w:eastAsia="Arial" w:hAnsi="Arial"/>
          <w:sz w:val="16"/>
          <w:szCs w:val="16"/>
          <w:color w:val="auto"/>
        </w:rPr>
      </w:pPr>
    </w:p>
    <w:p>
      <w:pPr>
        <w:ind w:left="540" w:firstLine="408"/>
        <w:spacing w:after="0" w:line="253" w:lineRule="auto"/>
        <w:tabs>
          <w:tab w:leader="none" w:pos="115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88" w:lineRule="exact"/>
        <w:rPr>
          <w:sz w:val="20"/>
          <w:szCs w:val="20"/>
          <w:color w:val="auto"/>
        </w:rPr>
      </w:pPr>
    </w:p>
    <w:p>
      <w:pPr>
        <w:ind w:right="300" w:firstLine="423"/>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ind w:right="220" w:firstLine="419"/>
        <w:spacing w:after="0" w:line="257" w:lineRule="auto"/>
        <w:tabs>
          <w:tab w:leader="none" w:pos="66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xml:space="preserve">. 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9" w:lineRule="exact"/>
        <w:rPr>
          <w:rFonts w:ascii="Arial" w:cs="Arial" w:eastAsia="Arial" w:hAnsi="Arial"/>
          <w:sz w:val="18"/>
          <w:szCs w:val="18"/>
          <w:color w:val="auto"/>
        </w:rPr>
      </w:pPr>
    </w:p>
    <w:p>
      <w:pPr>
        <w:ind w:right="220" w:firstLine="419"/>
        <w:spacing w:after="0" w:line="257" w:lineRule="auto"/>
        <w:tabs>
          <w:tab w:leader="none" w:pos="67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Term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40" w:firstLine="419"/>
        <w:spacing w:after="0" w:line="342" w:lineRule="auto"/>
        <w:tabs>
          <w:tab w:leader="none" w:pos="66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880" w:top="274" w:right="479" w:bottom="1440" w:gutter="0" w:footer="0" w:header="0"/>
        </w:sectPr>
      </w:pPr>
    </w:p>
    <w:bookmarkStart w:id="131" w:name="page132"/>
    <w:bookmarkEnd w:id="131"/>
    <w:p>
      <w:pPr>
        <w:ind w:left="440" w:right="40" w:firstLine="419"/>
        <w:spacing w:after="0" w:line="257" w:lineRule="auto"/>
        <w:tabs>
          <w:tab w:leader="none" w:pos="108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then due hereunder, ratably among the parties entitled thereto in accordance with the amounts of principal then due to such parties.</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8" w:lineRule="exact"/>
        <w:rPr>
          <w:sz w:val="20"/>
          <w:szCs w:val="20"/>
          <w:color w:val="auto"/>
        </w:rPr>
      </w:pPr>
    </w:p>
    <w:p>
      <w:pPr>
        <w:ind w:left="980" w:right="40" w:firstLine="408"/>
        <w:spacing w:after="0" w:line="277" w:lineRule="auto"/>
        <w:tabs>
          <w:tab w:leader="none" w:pos="159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ind w:left="980" w:right="100" w:firstLine="408"/>
        <w:spacing w:after="0" w:line="257" w:lineRule="auto"/>
        <w:tabs>
          <w:tab w:leader="none" w:pos="16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Affiliate thereof (as to which the provisions of this Section shall apply).</w:t>
      </w:r>
    </w:p>
    <w:p>
      <w:pPr>
        <w:spacing w:after="0" w:line="188"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left="440" w:right="120" w:firstLine="419"/>
        <w:spacing w:after="0" w:line="277" w:lineRule="auto"/>
        <w:tabs>
          <w:tab w:leader="none" w:pos="110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62" w:lineRule="exact"/>
        <w:rPr>
          <w:rFonts w:ascii="Arial" w:cs="Arial" w:eastAsia="Arial" w:hAnsi="Arial"/>
          <w:sz w:val="18"/>
          <w:szCs w:val="18"/>
          <w:color w:val="auto"/>
        </w:rPr>
      </w:pPr>
    </w:p>
    <w:p>
      <w:pPr>
        <w:ind w:left="980" w:right="360" w:firstLine="408"/>
        <w:spacing w:after="0" w:line="342" w:lineRule="auto"/>
        <w:tabs>
          <w:tab w:leader="none" w:pos="1596"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xml:space="preserve">. Such Defaulting Lender’s right to approve or disapprove any amendment, waiver or consent with respect to this Agreement shall be restricted as set forth in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in the definition of “Required Lender.”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440" w:top="274" w:right="519" w:bottom="1440" w:gutter="0" w:footer="0" w:header="0"/>
        </w:sectPr>
      </w:pPr>
    </w:p>
    <w:bookmarkStart w:id="132" w:name="page133"/>
    <w:bookmarkEnd w:id="132"/>
    <w:p>
      <w:pPr>
        <w:ind w:left="540" w:right="20" w:firstLine="408"/>
        <w:spacing w:after="0" w:line="267" w:lineRule="auto"/>
        <w:tabs>
          <w:tab w:leader="none" w:pos="1206"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and the Borrower, to be held in a deposit account and released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in order to satisfy such Defaulting Lender’s potential future funding obligations with respect to Loans under this Agreement</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any Loans in respect of which such Defaulting Lender has not fully funded its appropriate share, such payment shall be applied solely to pay the Loans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such Defaulting Lender until such time as all Loans are held by the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80" w:lineRule="exact"/>
        <w:rPr>
          <w:rFonts w:ascii="Arial" w:cs="Arial" w:eastAsia="Arial" w:hAnsi="Arial"/>
          <w:sz w:val="17"/>
          <w:szCs w:val="17"/>
          <w:color w:val="auto"/>
        </w:rPr>
      </w:pPr>
    </w:p>
    <w:p>
      <w:pPr>
        <w:ind w:firstLine="419"/>
        <w:spacing w:after="0" w:line="272" w:lineRule="auto"/>
        <w:tabs>
          <w:tab w:leader="none" w:pos="678"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w:t>
      </w:r>
      <w:r>
        <w:rPr>
          <w:rFonts w:ascii="Arial" w:cs="Arial" w:eastAsia="Arial" w:hAnsi="Arial"/>
          <w:sz w:val="17"/>
          <w:szCs w:val="17"/>
          <w:u w:val="single" w:color="auto"/>
          <w:color w:val="auto"/>
        </w:rPr>
        <w:t>,</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Incremental Credit Extensions</w:t>
      </w:r>
      <w:r>
        <w:rPr>
          <w:rFonts w:ascii="Arial" w:cs="Arial" w:eastAsia="Arial" w:hAnsi="Arial"/>
          <w:sz w:val="18"/>
          <w:szCs w:val="18"/>
          <w:color w:val="auto"/>
        </w:rPr>
        <w:t>.</w:t>
      </w:r>
    </w:p>
    <w:p>
      <w:pPr>
        <w:spacing w:after="0" w:line="117" w:lineRule="exact"/>
        <w:rPr>
          <w:sz w:val="20"/>
          <w:szCs w:val="20"/>
          <w:color w:val="auto"/>
        </w:rPr>
      </w:pPr>
    </w:p>
    <w:p>
      <w:pPr>
        <w:ind w:right="20" w:firstLine="419"/>
        <w:spacing w:after="0" w:line="272" w:lineRule="auto"/>
        <w:tabs>
          <w:tab w:leader="none" w:pos="667"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Incremental Term Commitments</w:t>
      </w:r>
      <w:r>
        <w:rPr>
          <w:rFonts w:ascii="Arial" w:cs="Arial" w:eastAsia="Arial" w:hAnsi="Arial"/>
          <w:sz w:val="17"/>
          <w:szCs w:val="17"/>
          <w:color w:val="auto"/>
        </w:rPr>
        <w:t>. The Borrower may at any time or from time to time after the Closing Date, by notice to the Person appointed by the Borrower to arrange the Incremental Term Loans (such Person (who may be any Person appointed by the Borrower), the “</w:t>
      </w:r>
      <w:r>
        <w:rPr>
          <w:rFonts w:ascii="Arial" w:cs="Arial" w:eastAsia="Arial" w:hAnsi="Arial"/>
          <w:sz w:val="17"/>
          <w:szCs w:val="17"/>
          <w:u w:val="single" w:color="auto"/>
          <w:color w:val="auto"/>
        </w:rPr>
        <w:t>Incremental Arranger</w:t>
      </w:r>
      <w:r>
        <w:rPr>
          <w:rFonts w:ascii="Arial" w:cs="Arial" w:eastAsia="Arial" w:hAnsi="Arial"/>
          <w:sz w:val="17"/>
          <w:szCs w:val="17"/>
          <w:color w:val="auto"/>
        </w:rPr>
        <w:t>”) and the Administrative Agent (an “</w:t>
      </w:r>
      <w:r>
        <w:rPr>
          <w:rFonts w:ascii="Arial" w:cs="Arial" w:eastAsia="Arial" w:hAnsi="Arial"/>
          <w:sz w:val="17"/>
          <w:szCs w:val="17"/>
          <w:u w:val="single" w:color="auto"/>
          <w:color w:val="auto"/>
        </w:rPr>
        <w:t>Incremental Loan Request</w:t>
      </w:r>
      <w:r>
        <w:rPr>
          <w:rFonts w:ascii="Arial" w:cs="Arial" w:eastAsia="Arial" w:hAnsi="Arial"/>
          <w:sz w:val="17"/>
          <w:szCs w:val="17"/>
          <w:color w:val="auto"/>
        </w:rPr>
        <w:t>”), request one or more new commitments that may be of the same class as any outstanding Incremental Term Loans (a “</w:t>
      </w:r>
      <w:r>
        <w:rPr>
          <w:rFonts w:ascii="Arial" w:cs="Arial" w:eastAsia="Arial" w:hAnsi="Arial"/>
          <w:sz w:val="17"/>
          <w:szCs w:val="17"/>
          <w:u w:val="single" w:color="auto"/>
          <w:color w:val="auto"/>
        </w:rPr>
        <w:t>Incremental Term Loan Increase</w:t>
      </w:r>
      <w:r>
        <w:rPr>
          <w:rFonts w:ascii="Arial" w:cs="Arial" w:eastAsia="Arial" w:hAnsi="Arial"/>
          <w:sz w:val="17"/>
          <w:szCs w:val="17"/>
          <w:color w:val="auto"/>
        </w:rPr>
        <w:t>”) or a new class of term loans (collectively with any Incremental Term Loan Increase, the “</w:t>
      </w:r>
      <w:r>
        <w:rPr>
          <w:rFonts w:ascii="Arial" w:cs="Arial" w:eastAsia="Arial" w:hAnsi="Arial"/>
          <w:sz w:val="17"/>
          <w:szCs w:val="17"/>
          <w:u w:val="single" w:color="auto"/>
          <w:color w:val="auto"/>
        </w:rPr>
        <w:t>Incremental Term Commitments</w:t>
      </w:r>
      <w:r>
        <w:rPr>
          <w:rFonts w:ascii="Arial" w:cs="Arial" w:eastAsia="Arial" w:hAnsi="Arial"/>
          <w:sz w:val="17"/>
          <w:szCs w:val="17"/>
          <w:color w:val="auto"/>
        </w:rPr>
        <w:t>”), whereupon the Administrative Agent shall promptly deliver a copy to each of the Lenders. The Borrower may designate any Incremental Arranger of any Incremental Term Commitments with such titles under such Incremental Term Commitments as the Borrower may deem appropriate.</w:t>
      </w:r>
    </w:p>
    <w:p>
      <w:pPr>
        <w:spacing w:after="0" w:line="69" w:lineRule="exact"/>
        <w:rPr>
          <w:rFonts w:ascii="Arial" w:cs="Arial" w:eastAsia="Arial" w:hAnsi="Arial"/>
          <w:sz w:val="17"/>
          <w:szCs w:val="17"/>
          <w:color w:val="auto"/>
        </w:rPr>
      </w:pPr>
    </w:p>
    <w:p>
      <w:pPr>
        <w:ind w:right="20" w:firstLine="419"/>
        <w:spacing w:after="0" w:line="255" w:lineRule="auto"/>
        <w:tabs>
          <w:tab w:leader="none" w:pos="67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Incremental Loans</w:t>
      </w:r>
      <w:r>
        <w:rPr>
          <w:rFonts w:ascii="Arial" w:cs="Arial" w:eastAsia="Arial" w:hAnsi="Arial"/>
          <w:sz w:val="18"/>
          <w:szCs w:val="18"/>
          <w:color w:val="auto"/>
        </w:rPr>
        <w:t>. On the applicable date (each, an “</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specified in any Incremental Amendment (including through any Incremental Term Loan Increase), subject to the satisfaction of the terms and conditions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in the applicable Incremental Amendment, (A) each Incremental Term Lender of such class shall make a Loan to the Borrower (an “</w:t>
      </w:r>
      <w:r>
        <w:rPr>
          <w:rFonts w:ascii="Arial" w:cs="Arial" w:eastAsia="Arial" w:hAnsi="Arial"/>
          <w:sz w:val="18"/>
          <w:szCs w:val="18"/>
          <w:u w:val="single" w:color="auto"/>
          <w:color w:val="auto"/>
        </w:rPr>
        <w:t>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133" w:name="page134"/>
    <w:bookmarkEnd w:id="133"/>
    <w:p>
      <w:pPr>
        <w:ind w:right="20" w:firstLine="419"/>
        <w:spacing w:after="0" w:line="270" w:lineRule="auto"/>
        <w:tabs>
          <w:tab w:leader="none" w:pos="667"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Incremental Loan Request</w:t>
      </w:r>
      <w:r>
        <w:rPr>
          <w:rFonts w:ascii="Arial" w:cs="Arial" w:eastAsia="Arial" w:hAnsi="Arial"/>
          <w:sz w:val="17"/>
          <w:szCs w:val="17"/>
          <w:color w:val="auto"/>
        </w:rPr>
        <w:t xml:space="preserve">. Each Incremental Loan Request from the Borrower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set forth the requested amount and proposed terms of the relevant Incremental Term Loans. Incremental Term Loans may be made by any existing Lender (but no existing Lender will have an obligation to make any Incremental Term Commitment) or by any Additional Lender (each such existing Lender or Additional Lender providing such Commitment or Loan, an “</w:t>
      </w:r>
      <w:r>
        <w:rPr>
          <w:rFonts w:ascii="Arial" w:cs="Arial" w:eastAsia="Arial" w:hAnsi="Arial"/>
          <w:sz w:val="17"/>
          <w:szCs w:val="17"/>
          <w:u w:val="single" w:color="auto"/>
          <w:color w:val="auto"/>
        </w:rPr>
        <w:t>Incremental Term 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Incremental Lenders</w:t>
      </w:r>
      <w:r>
        <w:rPr>
          <w:rFonts w:ascii="Arial" w:cs="Arial" w:eastAsia="Arial" w:hAnsi="Arial"/>
          <w:sz w:val="17"/>
          <w:szCs w:val="17"/>
          <w:color w:val="auto"/>
        </w:rPr>
        <w:t>”). Notwithstanding anything to the contrary herein, prior to the incurrence or establishment of any loans or commitments under the Loan Documents, the Borrower shall offer the Term Lenders a bona fide opportunity to provide the entire amount of such Incremental Term Loans or Incremental Term Commitments on terms specified by the Borrower and, to the extent the Term Lenders decline (or fail to respond in a timely manner) to provide any amount of the Incremental Term Loans on such specified terms, then the Borrower may offer to other persons an opportunity to provide such declined amount of loans or commitments on such specified terms (but not on other terms).</w:t>
      </w:r>
    </w:p>
    <w:p>
      <w:pPr>
        <w:spacing w:after="0" w:line="72" w:lineRule="exact"/>
        <w:rPr>
          <w:rFonts w:ascii="Arial" w:cs="Arial" w:eastAsia="Arial" w:hAnsi="Arial"/>
          <w:sz w:val="17"/>
          <w:szCs w:val="17"/>
          <w:color w:val="auto"/>
        </w:rPr>
      </w:pPr>
    </w:p>
    <w:p>
      <w:pPr>
        <w:ind w:right="20" w:firstLine="419"/>
        <w:spacing w:after="0" w:line="257" w:lineRule="auto"/>
        <w:tabs>
          <w:tab w:leader="none" w:pos="67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Effectiveness of Incremental Amendment</w:t>
      </w:r>
      <w:r>
        <w:rPr>
          <w:rFonts w:ascii="Arial" w:cs="Arial" w:eastAsia="Arial" w:hAnsi="Arial"/>
          <w:sz w:val="18"/>
          <w:szCs w:val="18"/>
          <w:color w:val="auto"/>
        </w:rPr>
        <w:t>. The Incremental Arranger shall promptly notify the applicable Lenders of the final allocation of such Incremental Term Commitments and the Incremental Amendment Date. The effectiveness of any Incremental Amendment, and the Incremental Term Commitments thereunder, shall be subject to the satisfaction on the applicable date (which shall be no earlier than the date of such Incremental Amendment) specified therein (the “</w:t>
      </w:r>
      <w:r>
        <w:rPr>
          <w:rFonts w:ascii="Arial" w:cs="Arial" w:eastAsia="Arial" w:hAnsi="Arial"/>
          <w:sz w:val="18"/>
          <w:szCs w:val="18"/>
          <w:u w:val="single" w:color="auto"/>
          <w:color w:val="auto"/>
        </w:rPr>
        <w:t>Incremental Amendment Date</w:t>
      </w:r>
      <w:r>
        <w:rPr>
          <w:rFonts w:ascii="Arial" w:cs="Arial" w:eastAsia="Arial" w:hAnsi="Arial"/>
          <w:sz w:val="18"/>
          <w:szCs w:val="18"/>
          <w:color w:val="auto"/>
        </w:rPr>
        <w:t>”) of each of the following conditions, together with any other conditions set forth in the Incremental Amendment:</w:t>
      </w:r>
    </w:p>
    <w:p>
      <w:pPr>
        <w:spacing w:after="0" w:line="79" w:lineRule="exact"/>
        <w:rPr>
          <w:rFonts w:ascii="Arial" w:cs="Arial" w:eastAsia="Arial" w:hAnsi="Arial"/>
          <w:sz w:val="18"/>
          <w:szCs w:val="18"/>
          <w:color w:val="auto"/>
        </w:rPr>
      </w:pPr>
    </w:p>
    <w:p>
      <w:pPr>
        <w:ind w:left="1160" w:hanging="212"/>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on the Incremental Amendment Date;</w:t>
      </w:r>
    </w:p>
    <w:p>
      <w:pPr>
        <w:spacing w:after="0" w:line="117" w:lineRule="exact"/>
        <w:rPr>
          <w:rFonts w:ascii="Arial" w:cs="Arial" w:eastAsia="Arial" w:hAnsi="Arial"/>
          <w:sz w:val="18"/>
          <w:szCs w:val="18"/>
          <w:color w:val="auto"/>
        </w:rPr>
      </w:pPr>
    </w:p>
    <w:p>
      <w:pPr>
        <w:ind w:left="540" w:right="120" w:firstLine="408"/>
        <w:spacing w:after="0" w:line="263" w:lineRule="auto"/>
        <w:tabs>
          <w:tab w:leader="none" w:pos="120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each Incremental Term Commitment shall be in an aggregate principal amount that is not less than $1,000,000 and shall be in an increment of $1,000,000 (provided that such amount may be less than $1,000,000 if such amount represents all remaining availability under the limit set forth in </w:t>
      </w:r>
      <w:r>
        <w:rPr>
          <w:rFonts w:ascii="Arial" w:cs="Arial" w:eastAsia="Arial" w:hAnsi="Arial"/>
          <w:sz w:val="18"/>
          <w:szCs w:val="18"/>
          <w:u w:val="single" w:color="auto"/>
          <w:color w:val="auto"/>
        </w:rPr>
        <w:t>Section 2.16(d)(iii))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540" w:right="200" w:firstLine="408"/>
        <w:spacing w:after="0" w:line="296" w:lineRule="auto"/>
        <w:tabs>
          <w:tab w:leader="none" w:pos="125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the aggregate amount of Incremental Term Loans outstanding is not to exceed an unlimited amount so long as, after giving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effect to the making of Incremental Term Loans under such Incremental Amendment, (1) with respect to Incremental Term Loans</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 Lien on the Collateral (including, without limitation, Indebtedness secured by the Collateral on a junior Lien basis to the Obligations), the Consolidated Secured Net Leverage Ratio is less than or equal to 3.75:1.00 and (2) with respect to Incremental Term Loans that are unsecured, the Consolidated Net Leverage Ratio is less than or equal to 3.75:1.00; and</w:t>
      </w:r>
    </w:p>
    <w:p>
      <w:pPr>
        <w:spacing w:after="0" w:line="53" w:lineRule="exact"/>
        <w:rPr>
          <w:rFonts w:ascii="Arial" w:cs="Arial" w:eastAsia="Arial" w:hAnsi="Arial"/>
          <w:sz w:val="16"/>
          <w:szCs w:val="16"/>
          <w:color w:val="auto"/>
        </w:rPr>
      </w:pPr>
    </w:p>
    <w:p>
      <w:pPr>
        <w:ind w:left="540" w:firstLine="408"/>
        <w:spacing w:after="0" w:line="296" w:lineRule="auto"/>
        <w:tabs>
          <w:tab w:leader="none" w:pos="124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the extent reasonably requested by the Incremental Arranger, the Administrative Agent or Persons providing the applicable Incremental Term Loans, receipt by the Administrative Agent and the Incremental Arranger of (A) customary legal opinions, board resolutions and officers’ certificates (including solvency certificates) and (B) reaffirmation agreements and/or such amendments to the documents with respect to Collateral as may be reasonably requested by the Incremental Arranger and the Administrative Agent in order to ensure that such Incremental Lenders are provided with the benefit of the applicable Loan Documents.</w:t>
      </w:r>
    </w:p>
    <w:p>
      <w:pPr>
        <w:spacing w:after="0" w:line="53" w:lineRule="exact"/>
        <w:rPr>
          <w:rFonts w:ascii="Arial" w:cs="Arial" w:eastAsia="Arial" w:hAnsi="Arial"/>
          <w:sz w:val="16"/>
          <w:szCs w:val="16"/>
          <w:color w:val="auto"/>
        </w:rPr>
      </w:pPr>
    </w:p>
    <w:p>
      <w:pPr>
        <w:ind w:right="20" w:firstLine="419"/>
        <w:spacing w:after="0" w:line="273" w:lineRule="auto"/>
        <w:tabs>
          <w:tab w:leader="none" w:pos="667"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Required Terms</w:t>
      </w:r>
      <w:r>
        <w:rPr>
          <w:rFonts w:ascii="Arial" w:cs="Arial" w:eastAsia="Arial" w:hAnsi="Arial"/>
          <w:sz w:val="17"/>
          <w:szCs w:val="17"/>
          <w:color w:val="auto"/>
        </w:rPr>
        <w:t xml:space="preserve">. The terms, provisions and documentation of the Incremental Term Loans and Incremental Term Commitments of any class shall be as agreed between the Borrower and the applicable Incremental Lenders providing such Incremental Term Commitments, and except as otherwise set forth herein, to the extent not identical to any class of Incremental Term Loans each existing on the Incremental Facility Closing Date, shall be consistent with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below, as applicable, and otherwise shall be (taken as a whole) no more favorable to the Incremental Lenders than those applicable to the Facility, except to the extent such terms, (I) are conformed (or added) in the Loan Documents pursuant to the related Incremental Amendment for the benefit of the Facility, as determined</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0"/>
          </w:cols>
          <w:pgMar w:left="880" w:top="274" w:right="439" w:bottom="1440" w:gutter="0" w:footer="0" w:header="0"/>
        </w:sectPr>
      </w:pPr>
    </w:p>
    <w:bookmarkStart w:id="134" w:name="page135"/>
    <w:bookmarkEnd w:id="13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solely by the Administrative Agent and the Borrower or (II) are applicable only to periods after the Maturity Date as of the Incremental Amendment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 Incremental Term Loan Increase, the terms, provisions and documentation (other than the Incremental Amendment evidencing such increase) of such Incremental Term Loan Increase shall be identical (other than with respect to upfront fees, original issue discount or similar fees) to the applicable class of Incremental Term Loans as existing on the Incremental Facility Closing Date. In any event:</w:t>
      </w:r>
    </w:p>
    <w:p>
      <w:pPr>
        <w:spacing w:after="0" w:line="80" w:lineRule="exact"/>
        <w:rPr>
          <w:sz w:val="20"/>
          <w:szCs w:val="20"/>
          <w:color w:val="auto"/>
        </w:rPr>
      </w:pPr>
    </w:p>
    <w:p>
      <w:pPr>
        <w:ind w:left="1160" w:hanging="212"/>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Incremental Term Loans:</w:t>
      </w:r>
    </w:p>
    <w:p>
      <w:pPr>
        <w:spacing w:after="0" w:line="117" w:lineRule="exact"/>
        <w:rPr>
          <w:rFonts w:ascii="Arial" w:cs="Arial" w:eastAsia="Arial" w:hAnsi="Arial"/>
          <w:sz w:val="18"/>
          <w:szCs w:val="18"/>
          <w:color w:val="auto"/>
        </w:rPr>
      </w:pPr>
    </w:p>
    <w:p>
      <w:pPr>
        <w:ind w:left="980" w:right="60" w:firstLine="391"/>
        <w:spacing w:after="0" w:line="311" w:lineRule="auto"/>
        <w:tabs>
          <w:tab w:leader="none" w:pos="1658" w:val="left"/>
        </w:tabs>
        <w:numPr>
          <w:ilvl w:val="2"/>
          <w:numId w:val="152"/>
        </w:numPr>
        <w:rPr>
          <w:rFonts w:ascii="Arial" w:cs="Arial" w:eastAsia="Arial" w:hAnsi="Arial"/>
          <w:sz w:val="16"/>
          <w:szCs w:val="16"/>
          <w:color w:val="auto"/>
        </w:rPr>
      </w:pPr>
      <w:r>
        <w:rPr>
          <w:rFonts w:ascii="Arial" w:cs="Arial" w:eastAsia="Arial" w:hAnsi="Arial"/>
          <w:sz w:val="16"/>
          <w:szCs w:val="16"/>
          <w:color w:val="auto"/>
        </w:rPr>
        <w:t>(I) shall rank pari passu or junior in right of payment with the Obligations under Loans that are senior in right of payment and (II) if secured, shall be secured by the Collateral and shall rank junior in right of security to the Obligations (and subject to a customary subordination agreement (if subject to payment subordination)) and shall be subject to the ABL Intercreditor Agreement,</w:t>
      </w:r>
    </w:p>
    <w:p>
      <w:pPr>
        <w:spacing w:after="0" w:line="40" w:lineRule="exact"/>
        <w:rPr>
          <w:rFonts w:ascii="Arial" w:cs="Arial" w:eastAsia="Arial" w:hAnsi="Arial"/>
          <w:sz w:val="16"/>
          <w:szCs w:val="16"/>
          <w:color w:val="auto"/>
        </w:rPr>
      </w:pPr>
    </w:p>
    <w:p>
      <w:pPr>
        <w:ind w:left="980" w:firstLine="391"/>
        <w:spacing w:after="0" w:line="277" w:lineRule="auto"/>
        <w:tabs>
          <w:tab w:leader="none" w:pos="1648"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as of the Incremental Amendment Date, such Incremental Term Loans shall not have a final scheduled maturity date earlier than the Latest Maturity Date of all then outstanding Loans,</w:t>
      </w:r>
    </w:p>
    <w:p>
      <w:pPr>
        <w:spacing w:after="0" w:line="62" w:lineRule="exact"/>
        <w:rPr>
          <w:rFonts w:ascii="Arial" w:cs="Arial" w:eastAsia="Arial" w:hAnsi="Arial"/>
          <w:sz w:val="18"/>
          <w:szCs w:val="18"/>
          <w:color w:val="auto"/>
        </w:rPr>
      </w:pPr>
    </w:p>
    <w:p>
      <w:pPr>
        <w:ind w:left="980" w:right="340" w:firstLine="391"/>
        <w:spacing w:after="0" w:line="277" w:lineRule="auto"/>
        <w:tabs>
          <w:tab w:leader="none" w:pos="1648"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as of the Incremental Amendment Date, shall have a Weighted Average Life to Maturity not shorter than the remaining Weighted Average Life to Maturity of the Loans,</w:t>
      </w:r>
    </w:p>
    <w:p>
      <w:pPr>
        <w:spacing w:after="0" w:line="62" w:lineRule="exact"/>
        <w:rPr>
          <w:rFonts w:ascii="Arial" w:cs="Arial" w:eastAsia="Arial" w:hAnsi="Arial"/>
          <w:sz w:val="18"/>
          <w:szCs w:val="18"/>
          <w:color w:val="auto"/>
        </w:rPr>
      </w:pPr>
    </w:p>
    <w:p>
      <w:pPr>
        <w:ind w:left="980" w:right="60" w:firstLine="391"/>
        <w:spacing w:after="0" w:line="275" w:lineRule="auto"/>
        <w:tabs>
          <w:tab w:leader="none" w:pos="1658" w:val="left"/>
        </w:tabs>
        <w:numPr>
          <w:ilvl w:val="2"/>
          <w:numId w:val="152"/>
        </w:numPr>
        <w:rPr>
          <w:rFonts w:ascii="Arial" w:cs="Arial" w:eastAsia="Arial" w:hAnsi="Arial"/>
          <w:sz w:val="17"/>
          <w:szCs w:val="17"/>
          <w:color w:val="auto"/>
        </w:rPr>
      </w:pPr>
      <w:r>
        <w:rPr>
          <w:rFonts w:ascii="Arial" w:cs="Arial" w:eastAsia="Arial" w:hAnsi="Arial"/>
          <w:sz w:val="17"/>
          <w:szCs w:val="17"/>
          <w:color w:val="auto"/>
        </w:rPr>
        <w:t xml:space="preserve">shall have an Applicable Rate, and subject to </w:t>
      </w:r>
      <w:r>
        <w:rPr>
          <w:rFonts w:ascii="Arial" w:cs="Arial" w:eastAsia="Arial" w:hAnsi="Arial"/>
          <w:sz w:val="17"/>
          <w:szCs w:val="17"/>
          <w:u w:val="single" w:color="auto"/>
          <w:color w:val="auto"/>
        </w:rPr>
        <w:t>clauses (e)(i)(B)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(e)(i)(C)</w:t>
      </w:r>
      <w:r>
        <w:rPr>
          <w:rFonts w:ascii="Arial" w:cs="Arial" w:eastAsia="Arial" w:hAnsi="Arial"/>
          <w:sz w:val="17"/>
          <w:szCs w:val="17"/>
          <w:color w:val="auto"/>
        </w:rPr>
        <w:t xml:space="preserve"> above, amortization determined by the Borrower and the applicable Incremental Term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Applicable Rate and amortization for an Incremental Term Loan Increase shall be (x) the Applicable Rate and amortization for the class being increased or (y) in the case of the Applicable Rate, higher than the Applicable Rate for the class being increased as long as the Applicable Rate for the class being increased shall be automatically increased as and to the extent necessary to eliminate such deficiency,</w:t>
      </w:r>
    </w:p>
    <w:p>
      <w:pPr>
        <w:spacing w:after="0" w:line="68" w:lineRule="exact"/>
        <w:rPr>
          <w:rFonts w:ascii="Arial" w:cs="Arial" w:eastAsia="Arial" w:hAnsi="Arial"/>
          <w:sz w:val="17"/>
          <w:szCs w:val="17"/>
          <w:color w:val="auto"/>
        </w:rPr>
      </w:pPr>
    </w:p>
    <w:p>
      <w:pPr>
        <w:ind w:left="980" w:right="100" w:firstLine="391"/>
        <w:spacing w:after="0" w:line="277" w:lineRule="auto"/>
        <w:tabs>
          <w:tab w:leader="none" w:pos="1638" w:val="left"/>
        </w:tabs>
        <w:numPr>
          <w:ilvl w:val="2"/>
          <w:numId w:val="152"/>
        </w:numPr>
        <w:rPr>
          <w:rFonts w:ascii="Arial" w:cs="Arial" w:eastAsia="Arial" w:hAnsi="Arial"/>
          <w:sz w:val="18"/>
          <w:szCs w:val="18"/>
          <w:color w:val="auto"/>
        </w:rPr>
      </w:pPr>
      <w:r>
        <w:rPr>
          <w:rFonts w:ascii="Arial" w:cs="Arial" w:eastAsia="Arial" w:hAnsi="Arial"/>
          <w:sz w:val="18"/>
          <w:szCs w:val="18"/>
          <w:color w:val="auto"/>
        </w:rPr>
        <w:t>shall have currency, original issue discount or fees determined by the Borrower and the applicable Incremental Term Loan arranger(s) and/or lender(s), and</w:t>
      </w:r>
    </w:p>
    <w:p>
      <w:pPr>
        <w:spacing w:after="0" w:line="62" w:lineRule="exact"/>
        <w:rPr>
          <w:rFonts w:ascii="Arial" w:cs="Arial" w:eastAsia="Arial" w:hAnsi="Arial"/>
          <w:sz w:val="18"/>
          <w:szCs w:val="18"/>
          <w:color w:val="auto"/>
        </w:rPr>
      </w:pPr>
    </w:p>
    <w:p>
      <w:pPr>
        <w:ind w:left="980" w:right="340" w:firstLine="391"/>
        <w:spacing w:after="0" w:line="342" w:lineRule="auto"/>
        <w:tabs>
          <w:tab w:leader="none" w:pos="1628" w:val="left"/>
        </w:tabs>
        <w:numPr>
          <w:ilvl w:val="2"/>
          <w:numId w:val="152"/>
        </w:numPr>
        <w:rPr>
          <w:rFonts w:ascii="Arial" w:cs="Arial" w:eastAsia="Arial" w:hAnsi="Arial"/>
          <w:sz w:val="16"/>
          <w:szCs w:val="16"/>
          <w:color w:val="auto"/>
        </w:rPr>
      </w:pPr>
      <w:r>
        <w:rPr>
          <w:rFonts w:ascii="Arial" w:cs="Arial" w:eastAsia="Arial" w:hAnsi="Arial"/>
          <w:sz w:val="16"/>
          <w:szCs w:val="16"/>
          <w:color w:val="auto"/>
        </w:rPr>
        <w:t>if secured, shall not be secured by Liens or any assets that do not otherwise secure the Term Facility, and if guaranteed, shall not be guaranteed by, or otherwise be obligations of, any Person that is not otherwise the Borrower or a Guarantor,</w:t>
      </w:r>
    </w:p>
    <w:p>
      <w:pPr>
        <w:spacing w:after="0" w:line="15" w:lineRule="exact"/>
        <w:rPr>
          <w:rFonts w:ascii="Arial" w:cs="Arial" w:eastAsia="Arial" w:hAnsi="Arial"/>
          <w:sz w:val="16"/>
          <w:szCs w:val="16"/>
          <w:color w:val="auto"/>
        </w:rPr>
      </w:pPr>
    </w:p>
    <w:p>
      <w:pPr>
        <w:ind w:left="540" w:right="40" w:firstLine="408"/>
        <w:spacing w:after="0" w:line="301" w:lineRule="auto"/>
        <w:tabs>
          <w:tab w:leader="none" w:pos="120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amendments to this Agreement and the other Loan Documents), any comments to such documentation reasonably requested by the Administrative Agent shall be reflected therein; and</w:t>
      </w:r>
    </w:p>
    <w:p>
      <w:pPr>
        <w:spacing w:after="0" w:line="49" w:lineRule="exact"/>
        <w:rPr>
          <w:rFonts w:ascii="Arial" w:cs="Arial" w:eastAsia="Arial" w:hAnsi="Arial"/>
          <w:sz w:val="16"/>
          <w:szCs w:val="16"/>
          <w:color w:val="auto"/>
        </w:rPr>
      </w:pPr>
    </w:p>
    <w:p>
      <w:pPr>
        <w:ind w:left="540" w:right="100" w:firstLine="408"/>
        <w:spacing w:after="0" w:line="277" w:lineRule="auto"/>
        <w:tabs>
          <w:tab w:leader="none" w:pos="125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Borrower will use the net proceeds of the Incremental Term Loans for working capital, general corporate purposes and any other purposes not prohibited by this Agreement.</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40"/>
          </w:cols>
          <w:pgMar w:left="880" w:top="274" w:right="479" w:bottom="1440" w:gutter="0" w:footer="0" w:header="0"/>
        </w:sectPr>
      </w:pPr>
    </w:p>
    <w:bookmarkStart w:id="135" w:name="page136"/>
    <w:bookmarkEnd w:id="135"/>
    <w:p>
      <w:pPr>
        <w:ind w:right="120" w:firstLine="419"/>
        <w:spacing w:after="0" w:line="308" w:lineRule="auto"/>
        <w:tabs>
          <w:tab w:leader="none" w:pos="678"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10.01 to the contrary. Any Incremental Term Loans permitted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be documented pursuant to a customary amendment to this Agreement (an “</w:t>
      </w:r>
      <w:r>
        <w:rPr>
          <w:rFonts w:ascii="Arial" w:cs="Arial" w:eastAsia="Arial" w:hAnsi="Arial"/>
          <w:sz w:val="17"/>
          <w:szCs w:val="17"/>
          <w:u w:val="single" w:color="auto"/>
          <w:color w:val="auto"/>
        </w:rPr>
        <w:t>Incremental Amendment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-197485</wp:posOffset>
            </wp:positionV>
            <wp:extent cx="2857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34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firstLine="408"/>
        <w:spacing w:after="0" w:line="275" w:lineRule="auto"/>
        <w:tabs>
          <w:tab w:leader="none" w:pos="1156" w:val="left"/>
        </w:tabs>
        <w:numPr>
          <w:ilvl w:val="2"/>
          <w:numId w:val="155"/>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and</w:t>
      </w:r>
    </w:p>
    <w:p>
      <w:pPr>
        <w:spacing w:after="0" w:line="68" w:lineRule="exact"/>
        <w:rPr>
          <w:rFonts w:ascii="Arial" w:cs="Arial" w:eastAsia="Arial" w:hAnsi="Arial"/>
          <w:sz w:val="17"/>
          <w:szCs w:val="17"/>
          <w:color w:val="auto"/>
        </w:rPr>
      </w:pPr>
    </w:p>
    <w:p>
      <w:pPr>
        <w:ind w:left="1220" w:hanging="272"/>
        <w:spacing w:after="0"/>
        <w:tabs>
          <w:tab w:leader="none" w:pos="1220" w:val="left"/>
        </w:tabs>
        <w:numPr>
          <w:ilvl w:val="2"/>
          <w:numId w:val="155"/>
        </w:numPr>
        <w:rPr>
          <w:rFonts w:ascii="Arial" w:cs="Arial" w:eastAsia="Arial" w:hAnsi="Arial"/>
          <w:sz w:val="16"/>
          <w:szCs w:val="16"/>
          <w:color w:val="auto"/>
        </w:rPr>
      </w:pPr>
      <w:r>
        <w:rPr>
          <w:rFonts w:ascii="Arial" w:cs="Arial" w:eastAsia="Arial" w:hAnsi="Arial"/>
          <w:sz w:val="16"/>
          <w:szCs w:val="16"/>
          <w:color w:val="auto"/>
        </w:rPr>
        <w:t>shall timely pay the full amount withheld or deducted to the relevant Governmental Authority in accordance with the Code, and</w:t>
      </w:r>
    </w:p>
    <w:p>
      <w:pPr>
        <w:spacing w:after="0" w:line="46" w:lineRule="exact"/>
        <w:rPr>
          <w:rFonts w:ascii="Arial" w:cs="Arial" w:eastAsia="Arial" w:hAnsi="Arial"/>
          <w:sz w:val="16"/>
          <w:szCs w:val="16"/>
          <w:color w:val="auto"/>
        </w:rPr>
      </w:pPr>
    </w:p>
    <w:p>
      <w:pPr>
        <w:ind w:left="540" w:right="20" w:firstLine="7"/>
        <w:spacing w:after="0" w:line="273" w:lineRule="auto"/>
        <w:tabs>
          <w:tab w:leader="none" w:pos="82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68" w:lineRule="exact"/>
        <w:rPr>
          <w:rFonts w:ascii="Arial" w:cs="Arial" w:eastAsia="Arial" w:hAnsi="Arial"/>
          <w:sz w:val="17"/>
          <w:szCs w:val="17"/>
          <w:color w:val="auto"/>
        </w:rPr>
      </w:pPr>
    </w:p>
    <w:p>
      <w:pPr>
        <w:ind w:right="160" w:firstLine="419"/>
        <w:spacing w:after="0" w:line="263" w:lineRule="auto"/>
        <w:tabs>
          <w:tab w:leader="none" w:pos="67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75" w:lineRule="exact"/>
        <w:rPr>
          <w:rFonts w:ascii="Arial" w:cs="Arial" w:eastAsia="Arial" w:hAnsi="Arial"/>
          <w:sz w:val="18"/>
          <w:szCs w:val="18"/>
          <w:color w:val="auto"/>
        </w:rPr>
      </w:pPr>
    </w:p>
    <w:p>
      <w:pPr>
        <w:ind w:left="660" w:hanging="241"/>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firstLine="408"/>
        <w:spacing w:after="0" w:line="272" w:lineRule="auto"/>
        <w:tabs>
          <w:tab w:leader="none" w:pos="1156" w:val="left"/>
        </w:tabs>
        <w:numPr>
          <w:ilvl w:val="2"/>
          <w:numId w:val="155"/>
        </w:numPr>
        <w:rPr>
          <w:rFonts w:ascii="Arial" w:cs="Arial" w:eastAsia="Arial" w:hAnsi="Arial"/>
          <w:sz w:val="17"/>
          <w:szCs w:val="17"/>
          <w:color w:val="auto"/>
        </w:rPr>
      </w:pPr>
      <w:r>
        <w:rPr>
          <w:rFonts w:ascii="Arial" w:cs="Arial" w:eastAsia="Arial" w:hAnsi="Arial"/>
          <w:sz w:val="17"/>
          <w:szCs w:val="17"/>
          <w:color w:val="auto"/>
        </w:rPr>
        <w:t xml:space="preserve">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69" w:lineRule="exact"/>
        <w:rPr>
          <w:rFonts w:ascii="Arial" w:cs="Arial" w:eastAsia="Arial" w:hAnsi="Arial"/>
          <w:sz w:val="17"/>
          <w:szCs w:val="17"/>
          <w:color w:val="auto"/>
        </w:rPr>
      </w:pPr>
    </w:p>
    <w:p>
      <w:pPr>
        <w:ind w:left="540" w:firstLine="408"/>
        <w:spacing w:after="0" w:line="272" w:lineRule="auto"/>
        <w:tabs>
          <w:tab w:leader="none" w:pos="1206" w:val="left"/>
        </w:tabs>
        <w:numPr>
          <w:ilvl w:val="2"/>
          <w:numId w:val="155"/>
        </w:numPr>
        <w:rPr>
          <w:rFonts w:ascii="Arial" w:cs="Arial" w:eastAsia="Arial" w:hAnsi="Arial"/>
          <w:sz w:val="17"/>
          <w:szCs w:val="17"/>
          <w:color w:val="auto"/>
        </w:rPr>
      </w:pPr>
      <w:r>
        <w:rPr>
          <w:rFonts w:ascii="Arial" w:cs="Arial" w:eastAsia="Arial" w:hAnsi="Arial"/>
          <w:sz w:val="17"/>
          <w:szCs w:val="17"/>
          <w:color w:val="auto"/>
        </w:rPr>
        <w:t xml:space="preserve">Each Lender shall, and does hereby, severally indemnify, and shall make payment in respect thereof within ten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(z)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60"/>
          </w:cols>
          <w:pgMar w:left="880" w:top="274" w:right="459" w:bottom="1440" w:gutter="0" w:footer="0" w:header="0"/>
        </w:sectPr>
      </w:pPr>
    </w:p>
    <w:bookmarkStart w:id="136" w:name="page137"/>
    <w:bookmarkEnd w:id="136"/>
    <w:p>
      <w:pPr>
        <w:ind w:lef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79" w:lineRule="exact"/>
        <w:rPr>
          <w:sz w:val="20"/>
          <w:szCs w:val="20"/>
          <w:color w:val="auto"/>
        </w:rPr>
      </w:pPr>
    </w:p>
    <w:p>
      <w:pPr>
        <w:jc w:val="both"/>
        <w:ind w:right="280" w:firstLine="419"/>
        <w:spacing w:after="0" w:line="259"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78" w:lineRule="exact"/>
        <w:rPr>
          <w:rFonts w:ascii="Arial" w:cs="Arial" w:eastAsia="Arial" w:hAnsi="Arial"/>
          <w:sz w:val="18"/>
          <w:szCs w:val="18"/>
          <w:color w:val="auto"/>
        </w:rPr>
      </w:pPr>
    </w:p>
    <w:p>
      <w:pPr>
        <w:ind w:left="660" w:hanging="241"/>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20" w:firstLine="408"/>
        <w:spacing w:after="0" w:line="269" w:lineRule="auto"/>
        <w:tabs>
          <w:tab w:leader="none" w:pos="115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3" w:lineRule="exact"/>
        <w:rPr>
          <w:rFonts w:ascii="Arial" w:cs="Arial" w:eastAsia="Arial" w:hAnsi="Arial"/>
          <w:sz w:val="17"/>
          <w:szCs w:val="17"/>
          <w:color w:val="auto"/>
        </w:rPr>
      </w:pPr>
    </w:p>
    <w:p>
      <w:pPr>
        <w:ind w:left="1220" w:hanging="272"/>
        <w:spacing w:after="0"/>
        <w:tabs>
          <w:tab w:leader="none" w:pos="12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20" w:firstLine="391"/>
        <w:spacing w:after="0" w:line="259" w:lineRule="auto"/>
        <w:tabs>
          <w:tab w:leader="none" w:pos="1658" w:val="left"/>
        </w:tabs>
        <w:numPr>
          <w:ilvl w:val="2"/>
          <w:numId w:val="156"/>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duly executed and completed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140" w:firstLine="391"/>
        <w:spacing w:after="0" w:line="259" w:lineRule="auto"/>
        <w:tabs>
          <w:tab w:leader="none" w:pos="1648" w:val="left"/>
        </w:tabs>
        <w:numPr>
          <w:ilvl w:val="2"/>
          <w:numId w:val="15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2160" w:hanging="260"/>
        <w:spacing w:after="0"/>
        <w:tabs>
          <w:tab w:leader="none" w:pos="2160" w:val="left"/>
        </w:tabs>
        <w:numPr>
          <w:ilvl w:val="4"/>
          <w:numId w:val="15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1540" w:right="40" w:hanging="1"/>
        <w:spacing w:after="0" w:line="253" w:lineRule="auto"/>
        <w:tabs>
          <w:tab w:leader="none" w:pos="1795" w:val="left"/>
        </w:tabs>
        <w:numPr>
          <w:ilvl w:val="3"/>
          <w:numId w:val="156"/>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2160" w:hanging="260"/>
        <w:spacing w:after="0"/>
        <w:tabs>
          <w:tab w:leader="none" w:pos="2160" w:val="left"/>
        </w:tabs>
        <w:numPr>
          <w:ilvl w:val="4"/>
          <w:numId w:val="157"/>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sectPr>
      </w:pPr>
    </w:p>
    <w:bookmarkStart w:id="137" w:name="page138"/>
    <w:bookmarkEnd w:id="137"/>
    <w:p>
      <w:pPr>
        <w:ind w:left="1540" w:right="80" w:firstLine="360"/>
        <w:spacing w:after="0" w:line="296" w:lineRule="auto"/>
        <w:tabs>
          <w:tab w:leader="none" w:pos="2156" w:val="left"/>
        </w:tabs>
        <w:numPr>
          <w:ilvl w:val="3"/>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originals of IRS Form W-8BEN or W-8BEN-E, as applicable; or</w:t>
      </w:r>
    </w:p>
    <w:p>
      <w:pPr>
        <w:spacing w:after="0" w:line="53" w:lineRule="exact"/>
        <w:rPr>
          <w:rFonts w:ascii="Arial" w:cs="Arial" w:eastAsia="Arial" w:hAnsi="Arial"/>
          <w:sz w:val="16"/>
          <w:szCs w:val="16"/>
          <w:color w:val="auto"/>
        </w:rPr>
      </w:pPr>
    </w:p>
    <w:p>
      <w:pPr>
        <w:ind w:left="1540" w:right="80" w:firstLine="360"/>
        <w:spacing w:after="0" w:line="293" w:lineRule="auto"/>
        <w:tabs>
          <w:tab w:leader="none" w:pos="2156" w:val="left"/>
        </w:tabs>
        <w:numPr>
          <w:ilvl w:val="3"/>
          <w:numId w:val="158"/>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F-3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F-4</w:t>
      </w:r>
      <w:r>
        <w:rPr>
          <w:rFonts w:ascii="Arial" w:cs="Arial" w:eastAsia="Arial" w:hAnsi="Arial"/>
          <w:sz w:val="16"/>
          <w:szCs w:val="16"/>
          <w:color w:val="auto"/>
        </w:rPr>
        <w:t xml:space="preserve"> on behalf of each such direct and indirect partner;</w:t>
      </w:r>
    </w:p>
    <w:p>
      <w:pPr>
        <w:spacing w:after="0" w:line="56" w:lineRule="exact"/>
        <w:rPr>
          <w:rFonts w:ascii="Arial" w:cs="Arial" w:eastAsia="Arial" w:hAnsi="Arial"/>
          <w:sz w:val="16"/>
          <w:szCs w:val="16"/>
          <w:color w:val="auto"/>
        </w:rPr>
      </w:pPr>
    </w:p>
    <w:p>
      <w:pPr>
        <w:ind w:left="980" w:firstLine="391"/>
        <w:spacing w:after="0" w:line="254" w:lineRule="auto"/>
        <w:tabs>
          <w:tab w:leader="none" w:pos="164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duly executed and completed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6" w:lineRule="exact"/>
        <w:rPr>
          <w:rFonts w:ascii="Arial" w:cs="Arial" w:eastAsia="Arial" w:hAnsi="Arial"/>
          <w:sz w:val="18"/>
          <w:szCs w:val="18"/>
          <w:color w:val="auto"/>
        </w:rPr>
      </w:pPr>
    </w:p>
    <w:p>
      <w:pPr>
        <w:ind w:left="980" w:right="20" w:firstLine="391"/>
        <w:spacing w:after="0" w:line="289" w:lineRule="auto"/>
        <w:tabs>
          <w:tab w:leader="none" w:pos="1658" w:val="left"/>
        </w:tabs>
        <w:numPr>
          <w:ilvl w:val="2"/>
          <w:numId w:val="159"/>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(D)</w:t>
      </w:r>
      <w:r>
        <w:rPr>
          <w:rFonts w:ascii="Arial" w:cs="Arial" w:eastAsia="Arial" w:hAnsi="Arial"/>
          <w:sz w:val="16"/>
          <w:szCs w:val="16"/>
          <w:color w:val="auto"/>
        </w:rPr>
        <w:t>, “FATCA” shall include any amendments made to FATCA after the date of this Agreement.</w:t>
      </w:r>
    </w:p>
    <w:p>
      <w:pPr>
        <w:spacing w:after="0" w:line="58" w:lineRule="exact"/>
        <w:rPr>
          <w:rFonts w:ascii="Arial" w:cs="Arial" w:eastAsia="Arial" w:hAnsi="Arial"/>
          <w:sz w:val="16"/>
          <w:szCs w:val="16"/>
          <w:color w:val="auto"/>
        </w:rPr>
      </w:pPr>
    </w:p>
    <w:p>
      <w:pPr>
        <w:jc w:val="both"/>
        <w:ind w:left="540" w:right="320" w:firstLine="408"/>
        <w:spacing w:after="0" w:line="263" w:lineRule="auto"/>
        <w:tabs>
          <w:tab w:leader="none" w:pos="125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75" w:lineRule="exact"/>
        <w:rPr>
          <w:rFonts w:ascii="Arial" w:cs="Arial" w:eastAsia="Arial" w:hAnsi="Arial"/>
          <w:sz w:val="18"/>
          <w:szCs w:val="18"/>
          <w:color w:val="auto"/>
        </w:rPr>
      </w:pPr>
    </w:p>
    <w:p>
      <w:pPr>
        <w:jc w:val="both"/>
        <w:ind w:right="80" w:firstLine="419"/>
        <w:spacing w:after="0" w:line="259"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0"/>
          </w:cols>
          <w:pgMar w:left="880" w:top="274" w:right="479" w:bottom="1440" w:gutter="0" w:footer="0" w:header="0"/>
        </w:sectPr>
      </w:pPr>
    </w:p>
    <w:bookmarkStart w:id="138" w:name="page139"/>
    <w:bookmarkEnd w:id="138"/>
    <w:p>
      <w:pPr>
        <w:ind w:left="440"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Recipient, agrees to repay the amount paid over to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64" w:lineRule="exact"/>
        <w:rPr>
          <w:sz w:val="20"/>
          <w:szCs w:val="20"/>
          <w:color w:val="auto"/>
        </w:rPr>
      </w:pPr>
    </w:p>
    <w:p>
      <w:pPr>
        <w:ind w:left="440" w:right="140" w:firstLine="419"/>
        <w:spacing w:after="0" w:line="263"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xml:space="preserve">.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39" w:name="page140"/>
    <w:bookmarkEnd w:id="139"/>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980" w:right="20" w:firstLine="408"/>
        <w:spacing w:after="0" w:line="263" w:lineRule="auto"/>
        <w:tabs>
          <w:tab w:leader="none" w:pos="159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p>
    <w:p>
      <w:pPr>
        <w:spacing w:after="0" w:line="75" w:lineRule="exact"/>
        <w:rPr>
          <w:rFonts w:ascii="Arial" w:cs="Arial" w:eastAsia="Arial" w:hAnsi="Arial"/>
          <w:sz w:val="18"/>
          <w:szCs w:val="18"/>
          <w:color w:val="auto"/>
        </w:rPr>
      </w:pPr>
    </w:p>
    <w:p>
      <w:pPr>
        <w:ind w:left="980" w:right="340" w:firstLine="408"/>
        <w:spacing w:after="0" w:line="263" w:lineRule="auto"/>
        <w:tabs>
          <w:tab w:leader="none" w:pos="164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980" w:right="700" w:firstLine="408"/>
        <w:spacing w:after="0" w:line="277" w:lineRule="auto"/>
        <w:tabs>
          <w:tab w:leader="none" w:pos="169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converting to, continuing or maintaining any Loan the interest on which is determined by reference to the Eurodollar Rate (or,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any Loan),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80" w:lineRule="exact"/>
        <w:rPr>
          <w:sz w:val="20"/>
          <w:szCs w:val="20"/>
          <w:color w:val="auto"/>
        </w:rPr>
      </w:pPr>
    </w:p>
    <w:p>
      <w:pPr>
        <w:ind w:left="440" w:right="20" w:firstLine="419"/>
        <w:spacing w:after="0" w:line="272" w:lineRule="auto"/>
        <w:tabs>
          <w:tab w:leader="none" w:pos="111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40" w:name="page141"/>
    <w:bookmarkEnd w:id="140"/>
    <w:p>
      <w:pPr>
        <w:ind w:left="440" w:firstLine="419"/>
        <w:spacing w:after="0" w:line="311" w:lineRule="auto"/>
        <w:tabs>
          <w:tab w:leader="none" w:pos="1107"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for Reimbursement</w:t>
      </w:r>
      <w:r>
        <w:rPr>
          <w:rFonts w:ascii="Arial" w:cs="Arial" w:eastAsia="Arial" w:hAnsi="Arial"/>
          <w:sz w:val="16"/>
          <w:szCs w:val="16"/>
          <w:color w:val="auto"/>
        </w:rPr>
        <w:t xml:space="preserve">. A certificate of a Lender setting forth the amount or amounts necessary to compensate such Lender or its holding company, as the case may be, as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delivered to the Borrower shall be conclusive absent manifest error. The Borrower shall pay such Lender the amount shown as due on any such certificate within ten (10) days after receipt thereof.</w:t>
      </w:r>
    </w:p>
    <w:p>
      <w:pPr>
        <w:spacing w:after="0" w:line="40" w:lineRule="exact"/>
        <w:rPr>
          <w:rFonts w:ascii="Arial" w:cs="Arial" w:eastAsia="Arial" w:hAnsi="Arial"/>
          <w:sz w:val="16"/>
          <w:szCs w:val="16"/>
          <w:color w:val="auto"/>
        </w:rPr>
      </w:pPr>
    </w:p>
    <w:p>
      <w:pPr>
        <w:ind w:left="440" w:right="20" w:firstLine="419"/>
        <w:spacing w:after="0" w:line="287" w:lineRule="auto"/>
        <w:tabs>
          <w:tab w:leader="none" w:pos="1118"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to demand compensation pursuant to the foregoing provisions of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the foregoing provisions of this Section for any increased costs incurred or reductions suffered more than nine</w:t>
      </w:r>
    </w:p>
    <w:p>
      <w:pPr>
        <w:spacing w:after="0" w:line="2" w:lineRule="exact"/>
        <w:rPr>
          <w:rFonts w:ascii="Arial" w:cs="Arial" w:eastAsia="Arial" w:hAnsi="Arial"/>
          <w:sz w:val="16"/>
          <w:szCs w:val="16"/>
          <w:color w:val="auto"/>
        </w:rPr>
      </w:pPr>
    </w:p>
    <w:p>
      <w:pPr>
        <w:ind w:left="440" w:right="20" w:hanging="4"/>
        <w:spacing w:after="0" w:line="302"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47" w:lineRule="exact"/>
        <w:rPr>
          <w:rFonts w:ascii="Arial" w:cs="Arial" w:eastAsia="Arial" w:hAnsi="Arial"/>
          <w:sz w:val="16"/>
          <w:szCs w:val="16"/>
          <w:color w:val="auto"/>
        </w:rPr>
      </w:pPr>
    </w:p>
    <w:p>
      <w:pPr>
        <w:ind w:left="440" w:right="20" w:firstLine="419"/>
        <w:spacing w:after="0" w:line="291" w:lineRule="auto"/>
        <w:tabs>
          <w:tab w:leader="none" w:pos="110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Reserves on Eurodollar Rate Loans</w:t>
      </w:r>
      <w:r>
        <w:rPr>
          <w:rFonts w:ascii="Arial" w:cs="Arial" w:eastAsia="Arial" w:hAnsi="Arial"/>
          <w:sz w:val="16"/>
          <w:szCs w:val="16"/>
          <w:color w:val="auto"/>
        </w:rPr>
        <w:t>. 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6"/>
          <w:szCs w:val="16"/>
          <w:u w:val="single" w:color="auto"/>
          <w:color w:val="auto"/>
        </w:rPr>
        <w:t>Eurocurrency</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received at least ten (10) days’ prior notice (with a copy to the Administrative Agent) of such additional interest from such Lender. If a Lender fails to give notice ten (10) days prior to the relevant Interest Payment Date, such additional interest shall be due and payable ten (10) days from receipt of such notice.</w:t>
      </w:r>
    </w:p>
    <w:p>
      <w:pPr>
        <w:spacing w:after="0" w:line="16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demand of any Lender (with a copy to the Administrative Agent) from time to time, the Borrower shall promptly compensate such Lender for and hold such Lender harmless from any reasonable and documented out of pocket loss, cost or expense incurred by it as a result of:</w:t>
      </w:r>
    </w:p>
    <w:p>
      <w:pPr>
        <w:spacing w:after="0" w:line="76" w:lineRule="exact"/>
        <w:rPr>
          <w:sz w:val="20"/>
          <w:szCs w:val="20"/>
          <w:color w:val="auto"/>
        </w:rPr>
      </w:pPr>
    </w:p>
    <w:p>
      <w:pPr>
        <w:ind w:left="440" w:right="300" w:firstLine="419"/>
        <w:spacing w:after="0" w:line="277" w:lineRule="auto"/>
        <w:tabs>
          <w:tab w:leader="none" w:pos="11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4"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8" w:lineRule="auto"/>
        <w:tabs>
          <w:tab w:leader="none" w:pos="1107"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Each Lender may fund any Borrowing through any Lending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exercise of this option shall not affect the obligation of the Borrower to repay the Borrowing in accordance with the terms of this Agreement.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60" w:lineRule="exact"/>
        <w:rPr>
          <w:rFonts w:ascii="Arial" w:cs="Arial" w:eastAsia="Arial" w:hAnsi="Arial"/>
          <w:sz w:val="16"/>
          <w:szCs w:val="16"/>
          <w:color w:val="auto"/>
        </w:rPr>
      </w:pPr>
    </w:p>
    <w:p>
      <w:pPr>
        <w:ind w:left="440" w:right="60" w:firstLine="419"/>
        <w:spacing w:after="0" w:line="259"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CLOSING AND BORROWING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Conditions of Closing and Initial Borrowing</w:t>
      </w:r>
      <w:r>
        <w:rPr>
          <w:rFonts w:ascii="Arial" w:cs="Arial" w:eastAsia="Arial" w:hAnsi="Arial"/>
          <w:sz w:val="16"/>
          <w:szCs w:val="16"/>
          <w:color w:val="auto"/>
        </w:rPr>
        <w:t>. The effectiveness of this Agreement and the obligation of each Lender to make its Loans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are subject to satisfaction of the following conditions precedent, unless waived in accordance with Section 10.01:</w:t>
      </w:r>
    </w:p>
    <w:p>
      <w:pPr>
        <w:spacing w:after="0" w:line="103" w:lineRule="exact"/>
        <w:rPr>
          <w:sz w:val="20"/>
          <w:szCs w:val="20"/>
          <w:color w:val="auto"/>
        </w:rPr>
      </w:pPr>
    </w:p>
    <w:p>
      <w:pPr>
        <w:ind w:left="440" w:right="20" w:firstLine="419"/>
        <w:spacing w:after="0" w:line="259" w:lineRule="auto"/>
        <w:tabs>
          <w:tab w:leader="none" w:pos="110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Administrative Agent’s (or its counsel’s) receipt of the following, each of which shall be originals or telecopies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600" w:hanging="212"/>
        <w:spacing w:after="0"/>
        <w:tabs>
          <w:tab w:leader="none" w:pos="16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executed counterparts of this Agreement, the ABL Intercreditor Agreement and the Guaranty;</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Term Note executed by the Borrower in favor of each Term Lender requesting a Term Note;</w:t>
      </w:r>
    </w:p>
    <w:p>
      <w:pPr>
        <w:spacing w:after="0" w:line="117" w:lineRule="exact"/>
        <w:rPr>
          <w:rFonts w:ascii="Arial" w:cs="Arial" w:eastAsia="Arial" w:hAnsi="Arial"/>
          <w:sz w:val="18"/>
          <w:szCs w:val="18"/>
          <w:color w:val="auto"/>
        </w:rPr>
      </w:pPr>
    </w:p>
    <w:p>
      <w:pPr>
        <w:ind w:left="980" w:right="400" w:firstLine="408"/>
        <w:spacing w:after="0" w:line="342" w:lineRule="auto"/>
        <w:tabs>
          <w:tab w:leader="none" w:pos="169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a security agreement (together with each other security agreement and security agreement supplement delivered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in each case as amended,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duly executed by each Loan Party party thereto, together with:</w:t>
      </w:r>
    </w:p>
    <w:p>
      <w:pPr>
        <w:spacing w:after="0" w:line="15" w:lineRule="exact"/>
        <w:rPr>
          <w:rFonts w:ascii="Arial" w:cs="Arial" w:eastAsia="Arial" w:hAnsi="Arial"/>
          <w:sz w:val="16"/>
          <w:szCs w:val="16"/>
          <w:color w:val="auto"/>
        </w:rPr>
      </w:pPr>
    </w:p>
    <w:p>
      <w:pPr>
        <w:jc w:val="both"/>
        <w:ind w:left="1420" w:right="420" w:firstLine="391"/>
        <w:spacing w:after="0" w:line="263" w:lineRule="auto"/>
        <w:tabs>
          <w:tab w:leader="none" w:pos="2098" w:val="left"/>
        </w:tabs>
        <w:numPr>
          <w:ilvl w:val="2"/>
          <w:numId w:val="169"/>
        </w:numPr>
        <w:rPr>
          <w:rFonts w:ascii="Arial" w:cs="Arial" w:eastAsia="Arial" w:hAnsi="Arial"/>
          <w:sz w:val="18"/>
          <w:szCs w:val="18"/>
          <w:color w:val="auto"/>
        </w:rPr>
      </w:pPr>
      <w:r>
        <w:rPr>
          <w:rFonts w:ascii="Arial" w:cs="Arial" w:eastAsia="Arial" w:hAnsi="Arial"/>
          <w:sz w:val="18"/>
          <w:szCs w:val="18"/>
          <w:color w:val="auto"/>
        </w:rPr>
        <w:t>subject to Section 6.17, certificates and instruments representing the Collateral consisting of Certificated Securities or Instruments (each such term as defined in the UCC) accompanied by undated stock powers, allonges or instruments of transfer executed in blank;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42" w:name="page143"/>
    <w:bookmarkEnd w:id="142"/>
    <w:p>
      <w:pPr>
        <w:ind w:left="420" w:right="140" w:firstLine="391"/>
        <w:spacing w:after="0" w:line="263" w:lineRule="auto"/>
        <w:tabs>
          <w:tab w:leader="none" w:pos="1088"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 UCC financing statements in form appropriate for filing under the Uniform Commercial Code of all appropriate jurisdictions that the Administrative Agent may reasonably deem necessary in order to perfect the Liens created under the Security Agreement, covering the Collateral described in the Security Agreement;</w:t>
      </w:r>
    </w:p>
    <w:p>
      <w:pPr>
        <w:spacing w:after="0" w:line="75" w:lineRule="exact"/>
        <w:rPr>
          <w:rFonts w:ascii="Arial" w:cs="Arial" w:eastAsia="Arial" w:hAnsi="Arial"/>
          <w:sz w:val="18"/>
          <w:szCs w:val="18"/>
          <w:color w:val="auto"/>
        </w:rPr>
      </w:pPr>
    </w:p>
    <w:p>
      <w:pPr>
        <w:ind w:left="420" w:right="120" w:firstLine="391"/>
        <w:spacing w:after="0" w:line="255" w:lineRule="auto"/>
        <w:tabs>
          <w:tab w:leader="none" w:pos="108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certified copies of UCC,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reasonably deems necessary or appropriate, none of which encumber the Collateral covered or intended to be covered by the Collateral Documents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20" w:right="140" w:firstLine="391"/>
        <w:spacing w:after="0" w:line="277" w:lineRule="auto"/>
        <w:tabs>
          <w:tab w:leader="none" w:pos="109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subject to Section 6.17, the Deposit Account Control Agreements and the Securities Account Control Agreement, in each case as referred to in the Security Agreement and duly executed by the appropriate parties; and</w:t>
      </w:r>
    </w:p>
    <w:p>
      <w:pPr>
        <w:spacing w:after="0" w:line="62" w:lineRule="exact"/>
        <w:rPr>
          <w:rFonts w:ascii="Arial" w:cs="Arial" w:eastAsia="Arial" w:hAnsi="Arial"/>
          <w:sz w:val="18"/>
          <w:szCs w:val="18"/>
          <w:color w:val="auto"/>
        </w:rPr>
      </w:pPr>
    </w:p>
    <w:p>
      <w:pPr>
        <w:ind w:left="420" w:right="180" w:firstLine="391"/>
        <w:spacing w:after="0" w:line="296" w:lineRule="auto"/>
        <w:tabs>
          <w:tab w:leader="none" w:pos="10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evidence that all other actions, recordings and filings that the Administrative Agent may deem necessary or desirable in order to perfect or protect the Liens created under the Security Agreement have been or will be taken by the Administrative Agent (or its counsel) after the Closing Date (including receipt of duly executed payoff letters, UCC-3 termination statements, evidence and endorsement of insurance policies and landlords’ and bailees’ waiver and consent agreements to the extent requested by the Administrative Agent in writing not later than three (3) Business Days prior to the Closing Date);</w:t>
      </w:r>
    </w:p>
    <w:p>
      <w:pPr>
        <w:spacing w:after="0" w:line="53" w:lineRule="exact"/>
        <w:rPr>
          <w:rFonts w:ascii="Arial" w:cs="Arial" w:eastAsia="Arial" w:hAnsi="Arial"/>
          <w:sz w:val="16"/>
          <w:szCs w:val="16"/>
          <w:color w:val="auto"/>
        </w:rPr>
      </w:pPr>
    </w:p>
    <w:p>
      <w:pPr>
        <w:jc w:val="both"/>
        <w:ind w:left="-20" w:right="20" w:firstLine="408"/>
        <w:spacing w:after="0" w:line="257" w:lineRule="auto"/>
        <w:tabs>
          <w:tab w:leader="none" w:pos="68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Patent Security Agreement and Trademark Security Agreement (collectively, and together with each other intellectual property security agreement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and each, individually, an “</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duly executed by each Loan Party, together with evidence that all action that the Administrative Agent may reasonably deem necessary or desirable in order to perfect the Liens created under the Intellectual Property Security Agreement has been taken;</w:t>
      </w:r>
    </w:p>
    <w:p>
      <w:pPr>
        <w:spacing w:after="0" w:line="79" w:lineRule="exact"/>
        <w:rPr>
          <w:rFonts w:ascii="Arial" w:cs="Arial" w:eastAsia="Arial" w:hAnsi="Arial"/>
          <w:sz w:val="18"/>
          <w:szCs w:val="18"/>
          <w:color w:val="auto"/>
        </w:rPr>
      </w:pPr>
    </w:p>
    <w:p>
      <w:pPr>
        <w:ind w:left="640" w:hanging="252"/>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Section 6.17, a Mortgage in respect of each Mortgaged Property described on Schedule 4.01(a)(v);</w:t>
      </w:r>
    </w:p>
    <w:p>
      <w:pPr>
        <w:spacing w:after="0" w:line="117" w:lineRule="exact"/>
        <w:rPr>
          <w:rFonts w:ascii="Arial" w:cs="Arial" w:eastAsia="Arial" w:hAnsi="Arial"/>
          <w:sz w:val="18"/>
          <w:szCs w:val="18"/>
          <w:color w:val="auto"/>
        </w:rPr>
      </w:pPr>
    </w:p>
    <w:p>
      <w:pPr>
        <w:ind w:left="-20" w:right="20" w:firstLine="408"/>
        <w:spacing w:after="0" w:line="259" w:lineRule="auto"/>
        <w:tabs>
          <w:tab w:leader="none" w:pos="68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78" w:lineRule="exact"/>
        <w:rPr>
          <w:rFonts w:ascii="Arial" w:cs="Arial" w:eastAsia="Arial" w:hAnsi="Arial"/>
          <w:sz w:val="18"/>
          <w:szCs w:val="18"/>
          <w:color w:val="auto"/>
        </w:rPr>
      </w:pPr>
    </w:p>
    <w:p>
      <w:pPr>
        <w:ind w:left="-20" w:firstLine="408"/>
        <w:spacing w:after="0" w:line="279" w:lineRule="auto"/>
        <w:tabs>
          <w:tab w:leader="none" w:pos="73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63" w:lineRule="exact"/>
        <w:rPr>
          <w:rFonts w:ascii="Arial" w:cs="Arial" w:eastAsia="Arial" w:hAnsi="Arial"/>
          <w:sz w:val="17"/>
          <w:szCs w:val="17"/>
          <w:color w:val="auto"/>
        </w:rPr>
      </w:pPr>
    </w:p>
    <w:p>
      <w:pPr>
        <w:ind w:left="-20" w:right="380" w:firstLine="408"/>
        <w:spacing w:after="0" w:line="263" w:lineRule="auto"/>
        <w:tabs>
          <w:tab w:leader="none" w:pos="78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favorable opinion of Bass, Berry &amp; Sims PLC, counsel to the Loan Parties addressed to the Administrative Agent for the benefit of each Lender, as to such matters concerning the Loan Parties and the Loan Documents as the Administrative Agent may reasonably request;</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980"/>
          </w:cols>
          <w:pgMar w:left="1440" w:top="274" w:right="479" w:bottom="1440" w:gutter="0" w:footer="0" w:header="0"/>
        </w:sectPr>
      </w:pPr>
    </w:p>
    <w:bookmarkStart w:id="143" w:name="page144"/>
    <w:bookmarkEnd w:id="143"/>
    <w:p>
      <w:pPr>
        <w:ind w:left="-20" w:right="20" w:firstLine="408"/>
        <w:spacing w:after="0" w:line="257" w:lineRule="auto"/>
        <w:tabs>
          <w:tab w:leader="none" w:pos="686"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certificate signed by a Responsible Officer of the Borrower (A) certifying that (1) each of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in each other Loan Document and in any document furnished at any time in connection with this Agreement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w:t>
      </w:r>
    </w:p>
    <w:p>
      <w:pPr>
        <w:spacing w:after="0" w:line="79" w:lineRule="exact"/>
        <w:rPr>
          <w:rFonts w:ascii="Arial" w:cs="Arial" w:eastAsia="Arial" w:hAnsi="Arial"/>
          <w:sz w:val="18"/>
          <w:szCs w:val="18"/>
          <w:color w:val="auto"/>
        </w:rPr>
      </w:pPr>
    </w:p>
    <w:p>
      <w:pPr>
        <w:ind w:left="-20" w:right="140" w:firstLine="408"/>
        <w:spacing w:after="0" w:line="259"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unaudited consolidated balance sheets and related consolidated statements of income and cash flows for the fiscal quarter ended December 31, 2020 and each fiscal quarter ended after December 31, 2020 and at least 45 days prior to the Closing Date (if any) of the Borrower and its Subsidiaries, on a consolidated basis (collectively, the “</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and the Audited Financial Statements;</w:t>
      </w:r>
    </w:p>
    <w:p>
      <w:pPr>
        <w:spacing w:after="0" w:line="78" w:lineRule="exact"/>
        <w:rPr>
          <w:rFonts w:ascii="Arial" w:cs="Arial" w:eastAsia="Arial" w:hAnsi="Arial"/>
          <w:sz w:val="18"/>
          <w:szCs w:val="18"/>
          <w:color w:val="auto"/>
        </w:rPr>
      </w:pPr>
    </w:p>
    <w:p>
      <w:pPr>
        <w:ind w:left="-20" w:right="20" w:firstLine="408"/>
        <w:spacing w:after="0" w:line="293" w:lineRule="auto"/>
        <w:tabs>
          <w:tab w:leader="none" w:pos="68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balance sheet as of the last day of the most recent fiscal quarter ended December 31, 2020 and related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consolidated statements of income and cash flows of the Borrower and its Subsidiaries as of and for the most recent four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period ended December 31, 2020,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Arial" w:cs="Arial" w:eastAsia="Arial" w:hAnsi="Arial"/>
          <w:sz w:val="16"/>
          <w:szCs w:val="16"/>
          <w:u w:val="single" w:color="auto"/>
          <w:color w:val="auto"/>
        </w:rPr>
        <w:t>Borrower Pro Forma Financial Statements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20" w:firstLine="408"/>
        <w:spacing w:after="0" w:line="259" w:lineRule="auto"/>
        <w:tabs>
          <w:tab w:leader="none" w:pos="7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78" w:lineRule="exact"/>
        <w:rPr>
          <w:rFonts w:ascii="Arial" w:cs="Arial" w:eastAsia="Arial" w:hAnsi="Arial"/>
          <w:sz w:val="18"/>
          <w:szCs w:val="18"/>
          <w:color w:val="auto"/>
        </w:rPr>
      </w:pPr>
    </w:p>
    <w:p>
      <w:pPr>
        <w:ind w:left="-20" w:right="120" w:firstLine="408"/>
        <w:spacing w:after="0" w:line="275" w:lineRule="auto"/>
        <w:tabs>
          <w:tab w:leader="none" w:pos="78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 certificate of a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accurately present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68" w:lineRule="exact"/>
        <w:rPr>
          <w:rFonts w:ascii="Arial" w:cs="Arial" w:eastAsia="Arial" w:hAnsi="Arial"/>
          <w:sz w:val="17"/>
          <w:szCs w:val="17"/>
          <w:color w:val="auto"/>
        </w:rPr>
      </w:pPr>
    </w:p>
    <w:p>
      <w:pPr>
        <w:ind w:left="-20" w:right="20" w:firstLine="408"/>
        <w:spacing w:after="0" w:line="257" w:lineRule="auto"/>
        <w:tabs>
          <w:tab w:leader="none" w:pos="77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evidence (including customary payoff letters) that (1) the Existing Credit Agreement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 and (2) the Borrower’s Series B preferred Equity Interests shall have been, or concurrently with the funding of the Loans will be, redeemed or refinanced in full;</w:t>
      </w:r>
    </w:p>
    <w:p>
      <w:pPr>
        <w:spacing w:after="0" w:line="79" w:lineRule="exact"/>
        <w:rPr>
          <w:rFonts w:ascii="Arial" w:cs="Arial" w:eastAsia="Arial" w:hAnsi="Arial"/>
          <w:sz w:val="18"/>
          <w:szCs w:val="18"/>
          <w:color w:val="auto"/>
        </w:rPr>
      </w:pPr>
    </w:p>
    <w:p>
      <w:pPr>
        <w:ind w:left="740" w:hanging="352"/>
        <w:spacing w:after="0"/>
        <w:tabs>
          <w:tab w:leader="none" w:pos="7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80" w:hanging="392"/>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Committed Loan Notice in accordance with the requirements hereof; and</w:t>
      </w:r>
    </w:p>
    <w:p>
      <w:pPr>
        <w:spacing w:after="0" w:line="117" w:lineRule="exact"/>
        <w:rPr>
          <w:rFonts w:ascii="Arial" w:cs="Arial" w:eastAsia="Arial" w:hAnsi="Arial"/>
          <w:sz w:val="18"/>
          <w:szCs w:val="18"/>
          <w:color w:val="auto"/>
        </w:rPr>
      </w:pPr>
    </w:p>
    <w:p>
      <w:pPr>
        <w:ind w:left="-20" w:right="260" w:firstLine="408"/>
        <w:spacing w:after="0" w:line="277" w:lineRule="auto"/>
        <w:tabs>
          <w:tab w:leader="none" w:pos="82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executed funds flow statement with respect to all Loans to be advanced on the Closing Date and all other Transactions to occur on the Closing Date.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00"/>
          </w:cols>
          <w:pgMar w:left="1440" w:top="274" w:right="459" w:bottom="1440" w:gutter="0" w:footer="0" w:header="0"/>
        </w:sectPr>
      </w:pPr>
    </w:p>
    <w:bookmarkStart w:id="144" w:name="page145"/>
    <w:bookmarkEnd w:id="144"/>
    <w:p>
      <w:pPr>
        <w:ind w:right="10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Arial" w:cs="Arial" w:eastAsia="Arial" w:hAnsi="Arial"/>
          <w:sz w:val="16"/>
          <w:szCs w:val="16"/>
          <w:u w:val="single" w:color="auto"/>
          <w:color w:val="auto"/>
        </w:rPr>
        <w:t>Section 6.17</w:t>
      </w:r>
      <w:r>
        <w:rPr>
          <w:rFonts w:ascii="Arial" w:cs="Arial" w:eastAsia="Arial" w:hAnsi="Arial"/>
          <w:sz w:val="16"/>
          <w:szCs w:val="16"/>
          <w:color w:val="auto"/>
        </w:rPr>
        <w:t>.</w:t>
      </w:r>
    </w:p>
    <w:p>
      <w:pPr>
        <w:spacing w:after="0" w:line="57" w:lineRule="exact"/>
        <w:rPr>
          <w:sz w:val="20"/>
          <w:szCs w:val="20"/>
          <w:color w:val="auto"/>
        </w:rPr>
      </w:pPr>
    </w:p>
    <w:p>
      <w:pPr>
        <w:ind w:left="440" w:right="140" w:firstLine="419"/>
        <w:spacing w:after="0" w:line="311" w:lineRule="auto"/>
        <w:tabs>
          <w:tab w:leader="none" w:pos="11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rules and Anti-Money Laundering Laws;</w:t>
      </w:r>
    </w:p>
    <w:p>
      <w:pPr>
        <w:spacing w:after="0" w:line="40" w:lineRule="exact"/>
        <w:rPr>
          <w:rFonts w:ascii="Arial" w:cs="Arial" w:eastAsia="Arial" w:hAnsi="Arial"/>
          <w:sz w:val="16"/>
          <w:szCs w:val="16"/>
          <w:color w:val="auto"/>
        </w:rPr>
      </w:pPr>
    </w:p>
    <w:p>
      <w:pPr>
        <w:ind w:left="440" w:right="40" w:firstLine="419"/>
        <w:spacing w:after="0" w:line="273" w:lineRule="auto"/>
        <w:tabs>
          <w:tab w:leader="none" w:pos="110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Borrower shall have paid (i) all fees required to be paid to the Administrative Agent on or before the Closing Date (including, without limitation, all reasonable and documented out of pocket fees, charges and disbursements of counsel to the Administrative Agent (directly to such counsel if requested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additional amounts of such fees, charges and disbursements as shall constitute its reasonable estimate of such reasonable and documented out of pocket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69"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Securities Purchase Agreement evidencing the issuance of the Series D Preferred Stock shall have been duly executed and delivered by the parties thereto and shall be in full force and effect;</w:t>
      </w:r>
    </w:p>
    <w:p>
      <w:pPr>
        <w:spacing w:after="0" w:line="62" w:lineRule="exact"/>
        <w:rPr>
          <w:rFonts w:ascii="Arial" w:cs="Arial" w:eastAsia="Arial" w:hAnsi="Arial"/>
          <w:sz w:val="18"/>
          <w:szCs w:val="18"/>
          <w:color w:val="auto"/>
        </w:rPr>
      </w:pPr>
    </w:p>
    <w:p>
      <w:pPr>
        <w:ind w:left="440" w:right="60" w:firstLine="419"/>
        <w:spacing w:after="0" w:line="259"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w:t>
      </w:r>
    </w:p>
    <w:p>
      <w:pPr>
        <w:spacing w:after="0" w:line="78" w:lineRule="exact"/>
        <w:rPr>
          <w:rFonts w:ascii="Arial" w:cs="Arial" w:eastAsia="Arial" w:hAnsi="Arial"/>
          <w:sz w:val="18"/>
          <w:szCs w:val="18"/>
          <w:color w:val="auto"/>
        </w:rPr>
      </w:pPr>
    </w:p>
    <w:p>
      <w:pPr>
        <w:ind w:left="440" w:right="300" w:firstLine="419"/>
        <w:spacing w:after="0" w:line="277"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ABL Loan Documents required by the terms of the ABL Credit Agreement shall have been duly executed and delivered by each Loan Party party thereto to the ABL Administrative Agent and shall be in full force and effect; and</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Since December 31, 2020, there has been no event or circumstance either individually or in the aggregate that has had or would reasonably be expected to have a Material Adverse Effect.</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 detailed calculation, in form satisfactory to the Administrative Agent, of the Consolidated Net Leverage Ratio and Consolidated Secured Net Leverage Ratio, in each case,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the Transactions.</w:t>
      </w:r>
    </w:p>
    <w:p>
      <w:pPr>
        <w:spacing w:after="0" w:line="170"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Corporate Existence; Subsidiaries; Foreign Qualification</w:t>
      </w:r>
      <w:r>
        <w:rPr>
          <w:rFonts w:ascii="Arial" w:cs="Arial" w:eastAsia="Arial" w:hAnsi="Arial"/>
          <w:sz w:val="18"/>
          <w:szCs w:val="18"/>
          <w:color w:val="auto"/>
        </w:rPr>
        <w:t>.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where the character of its property or its business activities makes such qualification necessary, except where a failure to so qualify, either individually or in the aggregate, would not reasonably be expected to have a Material Adverse Effect. Each first-tier Foreign Subsidiary that is organized in Brazil or Mexico and the second-tier Foreign Subsidiary that is organized in Poland is validly existing under the laws of its jurisdiction of organization.</w:t>
      </w:r>
    </w:p>
    <w:p>
      <w:pPr>
        <w:spacing w:after="0" w:line="195"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Corporate Authority</w:t>
      </w:r>
      <w:r>
        <w:rPr>
          <w:rFonts w:ascii="Arial" w:cs="Arial" w:eastAsia="Arial" w:hAnsi="Arial"/>
          <w:sz w:val="17"/>
          <w:szCs w:val="17"/>
          <w:color w:val="auto"/>
        </w:rPr>
        <w:t xml:space="preserve">. Each Loan Party has the corporate or organizational, as applicable,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subject to applicable moratorium or other laws affecting creditors’ rights generally and subject to general principles of equity, regardless of whether considered in a proceeding in equity or at law. The execution, delivery and performance of the Loan Documents do not conflict with, result in a breach in any of the provisions of, constitute a default under, or result in the creation of a Lien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hereof) upon any assets or property of any Loan Party under the provisions of, (a) such Loan Party’s Organization Documents, (b) any material agreement to which any Loan Party is a party (including the ABL Loan Documents), (c) any order, injunction, writ or decree of any Governmental Authority or (d) any Law, except with respect to any conflict, breach, default or violation referred to herein, solely to the extent that such conflicts, breaches, defaults or violations, either individually or in the aggregate, would not reasonably be expected to have a Material Adverse Effect.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Each Loan Party and each of their Subsidiaries:</w:t>
      </w:r>
    </w:p>
    <w:p>
      <w:pPr>
        <w:spacing w:after="0" w:line="117" w:lineRule="exact"/>
        <w:rPr>
          <w:sz w:val="20"/>
          <w:szCs w:val="20"/>
          <w:color w:val="auto"/>
        </w:rPr>
      </w:pPr>
    </w:p>
    <w:p>
      <w:pPr>
        <w:ind w:left="440" w:right="20" w:firstLine="419"/>
        <w:spacing w:after="0" w:line="263" w:lineRule="auto"/>
        <w:tabs>
          <w:tab w:leader="none" w:pos="110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0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is not in violation of or in default beyond any applicable cure period under any agreement to which it is a party or by which its assets are subject or bound (including the ABL Loan Documents), except with respect to any violation or default that, either individually or in the aggregate, would not have a Material Adverse Effect;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is in material compliance with all applicable Anti-Money Laundering Laws.</w:t>
      </w:r>
    </w:p>
    <w:p>
      <w:pPr>
        <w:spacing w:after="0" w:line="225"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 xml:space="preserve">5.04. </w:t>
      </w:r>
      <w:r>
        <w:rPr>
          <w:rFonts w:ascii="Arial" w:cs="Arial" w:eastAsia="Arial" w:hAnsi="Arial"/>
          <w:sz w:val="16"/>
          <w:szCs w:val="16"/>
          <w:u w:val="single" w:color="auto"/>
          <w:color w:val="auto"/>
        </w:rPr>
        <w:t>Litigation and Administrative Proceedings</w:t>
      </w:r>
      <w:r>
        <w:rPr>
          <w:rFonts w:ascii="Arial" w:cs="Arial" w:eastAsia="Arial" w:hAnsi="Arial"/>
          <w:sz w:val="16"/>
          <w:szCs w:val="16"/>
          <w:color w:val="auto"/>
        </w:rPr>
        <w:t xml:space="preserve">. There are no actions, suits or proceedings by or before any arbitrator or Governmental Authority pending against or, to the knowledge of any Loan Party, threatened in writing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matters set forth on </w:t>
      </w:r>
      <w:r>
        <w:rPr>
          <w:rFonts w:ascii="Arial" w:cs="Arial" w:eastAsia="Arial" w:hAnsi="Arial"/>
          <w:sz w:val="16"/>
          <w:szCs w:val="16"/>
          <w:u w:val="single" w:color="auto"/>
          <w:color w:val="auto"/>
        </w:rPr>
        <w:t>Schedule 5.04</w:t>
      </w:r>
      <w:r>
        <w:rPr>
          <w:rFonts w:ascii="Arial" w:cs="Arial" w:eastAsia="Arial" w:hAnsi="Arial"/>
          <w:sz w:val="16"/>
          <w:szCs w:val="16"/>
          <w:color w:val="auto"/>
        </w:rPr>
        <w:t>) or (ii) that involve any Loan Document or the Transactions.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46" w:name="page147"/>
    <w:bookmarkEnd w:id="146"/>
    <w:p>
      <w:pPr>
        <w:ind w:left="4"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5.05.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Each Loan Party and each of their Subsidiaries has good title to and ownership of, or a valid leasehold interest in, all material property it purports to own, which property is free and clear of all Liens, except those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hereof, in each case, except where the failure to have such title, interest, or right would not reasonably be expected to have, individually or in the aggregate, a Material Adverse Effect. As of the Closing Date, the Loan Parties and their Subsidiaries own the real property listed on </w:t>
      </w:r>
      <w:r>
        <w:rPr>
          <w:rFonts w:ascii="Arial" w:cs="Arial" w:eastAsia="Arial" w:hAnsi="Arial"/>
          <w:sz w:val="17"/>
          <w:szCs w:val="17"/>
          <w:u w:val="single" w:color="auto"/>
          <w:color w:val="auto"/>
        </w:rPr>
        <w:t>Schedule 5.05</w:t>
      </w:r>
      <w:r>
        <w:rPr>
          <w:rFonts w:ascii="Arial" w:cs="Arial" w:eastAsia="Arial" w:hAnsi="Arial"/>
          <w:sz w:val="17"/>
          <w:szCs w:val="17"/>
          <w:color w:val="auto"/>
        </w:rPr>
        <w:t xml:space="preserve"> hereto.</w:t>
      </w:r>
    </w:p>
    <w:p>
      <w:pPr>
        <w:spacing w:after="0" w:line="171"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u w:val="single" w:color="auto"/>
          <w:color w:val="auto"/>
        </w:rPr>
        <w:t>Liens and Security Interests</w:t>
      </w:r>
      <w:r>
        <w:rPr>
          <w:rFonts w:ascii="Arial" w:cs="Arial" w:eastAsia="Arial" w:hAnsi="Arial"/>
          <w:sz w:val="17"/>
          <w:szCs w:val="17"/>
          <w:color w:val="auto"/>
        </w:rPr>
        <w:t>. On and after the Closing Date, except for Liens permitted pursuant to Section 7.01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legal, valid and enforceable and, subject to the last paragraph of Section 4.01(a), (A) perfected first-priority Lien on the Collateral (subject to the priority of any Liens permitted under Section 7.01) and (B) perfected second-priority Lien on the ABL Priority Collateral (subject to the ABL Intercreditor Agreement). No Loan Party thereof has entered into any contract or agreement (other than a contract or agreement entered into in connection with the purchase or lease of fixed assets that prohibits Liens on such fixed assets) that exists on or will become effective after the Closing Date pursuant to a commitment or agreement effective as of the Closing Date that would prohibit the Administrative Agent or the Lenders from acquiring a Lien on, or a collateral assignment of, any of the property or assets of any Loan Party thereof. Each Person that is a guarantor or a borrower under the ABL Loan Documents is a Loan Party hereunder.</w:t>
      </w:r>
    </w:p>
    <w:p>
      <w:pPr>
        <w:spacing w:after="0" w:line="182"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Tax Returns</w:t>
      </w:r>
      <w:r>
        <w:rPr>
          <w:rFonts w:ascii="Arial" w:cs="Arial" w:eastAsia="Arial" w:hAnsi="Arial"/>
          <w:sz w:val="17"/>
          <w:szCs w:val="17"/>
          <w:color w:val="auto"/>
        </w:rPr>
        <w:t>. Except as would not, individually or in the aggregate, reasonably be expected to result in a Material Adverse Effect,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76"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hereto (i) no Loan Party or any Subsidiary has received written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w:t>
      </w:r>
    </w:p>
    <w:p>
      <w:pPr>
        <w:spacing w:after="0" w:line="2" w:lineRule="exact"/>
        <w:rPr>
          <w:sz w:val="20"/>
          <w:szCs w:val="20"/>
          <w:color w:val="auto"/>
        </w:rPr>
      </w:pPr>
    </w:p>
    <w:p>
      <w:pPr>
        <w:ind w:left="4" w:right="260" w:hanging="4"/>
        <w:spacing w:after="0" w:line="255" w:lineRule="auto"/>
        <w:tabs>
          <w:tab w:leader="none" w:pos="29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19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Locations</w:t>
      </w:r>
      <w:r>
        <w:rPr>
          <w:rFonts w:ascii="Arial" w:cs="Arial" w:eastAsia="Arial" w:hAnsi="Arial"/>
          <w:sz w:val="18"/>
          <w:szCs w:val="18"/>
          <w:color w:val="auto"/>
        </w:rPr>
        <w:t>. As of the Closing Date, the Loan Parties have places of business or maintain their accounts, inventory and equipment at the locations (including third party locations) set forth on the schedules to the Security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Employee Benefits Plans</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147" w:name="page148"/>
    <w:bookmarkEnd w:id="147"/>
    <w:p>
      <w:pPr>
        <w:ind w:left="4"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5.12. </w:t>
      </w:r>
      <w:r>
        <w:rPr>
          <w:rFonts w:ascii="Arial" w:cs="Arial" w:eastAsia="Arial" w:hAnsi="Arial"/>
          <w:sz w:val="16"/>
          <w:szCs w:val="16"/>
          <w:u w:val="single" w:color="auto"/>
          <w:color w:val="auto"/>
        </w:rPr>
        <w:t>Consents or Approvals</w:t>
      </w:r>
      <w:r>
        <w:rPr>
          <w:rFonts w:ascii="Arial" w:cs="Arial" w:eastAsia="Arial" w:hAnsi="Arial"/>
          <w:sz w:val="16"/>
          <w:szCs w:val="16"/>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 except for (i) such as have been obtained or made and are in full force and effect,</w:t>
      </w:r>
    </w:p>
    <w:p>
      <w:pPr>
        <w:spacing w:after="0" w:line="2" w:lineRule="exact"/>
        <w:rPr>
          <w:sz w:val="20"/>
          <w:szCs w:val="20"/>
          <w:color w:val="auto"/>
        </w:rPr>
      </w:pPr>
    </w:p>
    <w:p>
      <w:pPr>
        <w:jc w:val="both"/>
        <w:ind w:left="4" w:hanging="4"/>
        <w:spacing w:after="0" w:line="277" w:lineRule="auto"/>
        <w:tabs>
          <w:tab w:leader="none" w:pos="26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filings that are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each Loan Party is, individually and collectively with its Subsidiaries on a consolidated basis, Solvent.</w:t>
      </w:r>
    </w:p>
    <w:p>
      <w:pPr>
        <w:spacing w:after="0" w:line="248"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 The Audited Financial Statements and the Borrower Interim Financial Statements furnished to the Administrative Agent and the Lenders, are true and complete, have been prepared in accordance with GAAP, and fairly present, in all material respects, the financial condition of the Borrower and its Subsidiaries as of the dates of such financial statements and the results of their operations for the periods then ending, subject to normal year-end audit adjustments and the absence of footnotes. Since the dates of such Borrower Interim Financial Statements, there has been no material adverse change in the Borrower’s or any of its Subsidiary’s financial condition, properties or business or any change in any Borrower’s or any of its Subsidiary’s accounting procedures. Since December 31, 2020, there has been no event or circumstance either individually or in the aggregate that has had or would reasonably be expected to have a Material Adverse Effect.</w:t>
      </w:r>
    </w:p>
    <w:p>
      <w:pPr>
        <w:spacing w:after="0" w:line="166"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Regulations</w:t>
      </w:r>
      <w:r>
        <w:rPr>
          <w:rFonts w:ascii="Arial" w:cs="Arial" w:eastAsia="Arial" w:hAnsi="Arial"/>
          <w:sz w:val="16"/>
          <w:szCs w:val="16"/>
          <w:color w:val="auto"/>
        </w:rPr>
        <w:t xml:space="preserve">. No Loan Party or Subsidiary thereof is engaged principally or as one of its important activities, in the business of extending credit for the purpose of purchasing or carrying any “margin stock” (within the meaning of Regulation U of the FRB of the United States). Neither the granting of the Loans (or any conversion thereof) nor the use of the proceeds of the Loans will violate, or be inconsistent with, the provisions of Regulation T, U or X or any other Regulation of the FRB. Following the application of the proceeds of the Loans, not more than 25% of the value of the assets (either of the Borrower only or of the Borrower and its Subsidiaries on a consolidated basis) 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2" w:lineRule="exact"/>
        <w:rPr>
          <w:sz w:val="20"/>
          <w:szCs w:val="20"/>
          <w:color w:val="auto"/>
        </w:rPr>
      </w:pPr>
    </w:p>
    <w:p>
      <w:pPr>
        <w:ind w:left="4" w:right="520"/>
        <w:spacing w:after="0" w:line="260" w:lineRule="auto"/>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subject to any restriction contained in any agreement or instrument between the Borrower and any Lender or Affiliate of a Lender relating to Indebtedness within the scope of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will be margin stock.</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Arial" w:cs="Arial" w:eastAsia="Arial" w:hAnsi="Arial"/>
          <w:sz w:val="18"/>
          <w:szCs w:val="18"/>
          <w:u w:val="single" w:color="auto"/>
          <w:color w:val="auto"/>
        </w:rPr>
        <w:t>Schedule 5.17</w:t>
      </w:r>
      <w:r>
        <w:rPr>
          <w:rFonts w:ascii="Arial" w:cs="Arial" w:eastAsia="Arial" w:hAnsi="Arial"/>
          <w:sz w:val="18"/>
          <w:szCs w:val="18"/>
          <w:color w:val="auto"/>
        </w:rPr>
        <w:t xml:space="preserve"> hereto sets forth all patents, trademarks, registered copyrights, and service marks, owned by each Loan Party as of the Closing Date.</w:t>
      </w:r>
    </w:p>
    <w:p>
      <w:pPr>
        <w:spacing w:after="0" w:line="187"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As of the Closing Date, except where the failure to do so, individually or in the aggregate, would not reasonably be expected to result in a Material Adverse Effect,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Arial" w:cs="Arial" w:eastAsia="Arial" w:hAnsi="Arial"/>
          <w:sz w:val="16"/>
          <w:szCs w:val="16"/>
          <w:u w:val="single" w:color="auto"/>
          <w:color w:val="auto"/>
        </w:rPr>
        <w:t>Schedule 5.18</w:t>
      </w:r>
      <w:r>
        <w:rPr>
          <w:rFonts w:ascii="Arial" w:cs="Arial" w:eastAsia="Arial" w:hAnsi="Arial"/>
          <w:sz w:val="16"/>
          <w:szCs w:val="16"/>
          <w:color w:val="auto"/>
        </w:rPr>
        <w:t xml:space="preserve"> hereto sets forth all material insurance carried by the Loan Parties and their Subsidiaries on the Closing Date.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 As of the Closing Date, there are no strikes, lockouts or slowdowns against any Loan Party or any Subsidiary pending or, to the knowledge of any Loan Party, threatened in writing.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5.21. </w:t>
      </w:r>
      <w:r>
        <w:rPr>
          <w:rFonts w:ascii="Arial" w:cs="Arial" w:eastAsia="Arial" w:hAnsi="Arial"/>
          <w:sz w:val="18"/>
          <w:szCs w:val="18"/>
          <w:u w:val="single" w:color="auto"/>
          <w:color w:val="auto"/>
        </w:rPr>
        <w:t>Sanctions; Anti-Money Laundering Laws; Anti-Corruption Laws</w:t>
      </w:r>
      <w:r>
        <w:rPr>
          <w:rFonts w:ascii="Arial" w:cs="Arial" w:eastAsia="Arial" w:hAnsi="Arial"/>
          <w:sz w:val="18"/>
          <w:szCs w:val="18"/>
          <w:color w:val="auto"/>
        </w:rPr>
        <w:t>.</w:t>
      </w:r>
    </w:p>
    <w:p>
      <w:pPr>
        <w:spacing w:after="0" w:line="225" w:lineRule="exact"/>
        <w:rPr>
          <w:sz w:val="20"/>
          <w:szCs w:val="20"/>
          <w:color w:val="auto"/>
        </w:rPr>
      </w:pPr>
    </w:p>
    <w:p>
      <w:pPr>
        <w:jc w:val="both"/>
        <w:ind w:left="440" w:right="100" w:firstLine="419"/>
        <w:spacing w:after="0" w:line="291" w:lineRule="auto"/>
        <w:tabs>
          <w:tab w:leader="none" w:pos="110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None of the Loan Parties or any of their Subsidiaries or any of the respective directors, officers or, to the knowledge of any Loan Party, any other Related Party of any of the Loan Parties or any of their Subsidiaries: (i) is a Sanctioned Person or (ii) is or has, within the previous five</w:t>
      </w:r>
    </w:p>
    <w:p>
      <w:pPr>
        <w:ind w:left="440" w:right="40" w:hanging="4"/>
        <w:spacing w:after="0" w:line="253"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years, engaged in any transaction or dealing with, involving or for the benefit of any Sanctioned Person. No Loan, and no proceeds from any Loan, have been used, directly or indirectly, or lent, contributed, provided or otherwise made available to any Subsidiary, joint venture partner or other Person, to fund any activity or business with, involving or for the benefit of any Sanctioned Person or any Designated Jurisdiction, or in any other manner that would constitute or give rise to any violation by any Person (including any Person participating in the transaction, whether as Lender, Administrative Agent or otherwise) of any Sanctions.</w:t>
      </w:r>
    </w:p>
    <w:p>
      <w:pPr>
        <w:spacing w:after="0" w:line="82" w:lineRule="exact"/>
        <w:rPr>
          <w:rFonts w:ascii="Arial" w:cs="Arial" w:eastAsia="Arial" w:hAnsi="Arial"/>
          <w:sz w:val="18"/>
          <w:szCs w:val="18"/>
          <w:color w:val="auto"/>
        </w:rPr>
      </w:pPr>
    </w:p>
    <w:p>
      <w:pPr>
        <w:ind w:left="440" w:right="100" w:firstLine="419"/>
        <w:spacing w:after="0" w:line="259" w:lineRule="auto"/>
        <w:tabs>
          <w:tab w:leader="none" w:pos="11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None of the Loan Parties or any of their Subsidiaries: (i) is under investigation by any Governmental Authority for, or has been charged with, or convicted of, money laundering or terrorist-related activities under any applicable Anti-Money Laundering Laws, (ii) has been assessed civil penalties under any applicable Anti-Money Laundering Laws or (iii) has had any of its funds seized or forfeited in an action under any applicable Anti-Money Laundering Laws.</w:t>
      </w:r>
    </w:p>
    <w:p>
      <w:pPr>
        <w:spacing w:after="0" w:line="78" w:lineRule="exact"/>
        <w:rPr>
          <w:rFonts w:ascii="Arial" w:cs="Arial" w:eastAsia="Arial" w:hAnsi="Arial"/>
          <w:sz w:val="18"/>
          <w:szCs w:val="18"/>
          <w:color w:val="auto"/>
        </w:rPr>
      </w:pPr>
    </w:p>
    <w:p>
      <w:pPr>
        <w:ind w:left="440" w:firstLine="419"/>
        <w:spacing w:after="0" w:line="254" w:lineRule="auto"/>
        <w:tabs>
          <w:tab w:leader="none" w:pos="110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None of the Loan Parties or any of their Subsidiaries or any of the respective directors, officers or, to the knowledge of any Loan Party, any other Related Party of any of the Loan Parties or any of their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any other applicable Anti-Corruption Laws; or (iv) made any bribe, rebate, payoff, influence payment, kickback or other unlawful payment. No Loan, and no proceeds from any Loan, have been used, directly or indirectly, in any manner that would constitute a violation of applicable Anti-Corruption Laws.</w:t>
      </w:r>
    </w:p>
    <w:p>
      <w:pPr>
        <w:spacing w:after="0" w:line="86"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None of the Loan Parties or any of their Subsidiaries or any of the respective directors, officers or, to the knowledge of any Loan Party, any other Related Party of any of the Loan Parties or any of their Subsidiaries: is or has been, within the previous five (5) years, subject to any action, claim, charge, proceeding, litigation or judgment with regard to any actual or alleged violation of applicable Sanctions, applicable Anti-Money Laundering Laws or applicable Anti-Corruption Laws.</w:t>
      </w:r>
    </w:p>
    <w:p>
      <w:pPr>
        <w:spacing w:after="0" w:line="78" w:lineRule="exact"/>
        <w:rPr>
          <w:rFonts w:ascii="Arial" w:cs="Arial" w:eastAsia="Arial" w:hAnsi="Arial"/>
          <w:sz w:val="18"/>
          <w:szCs w:val="18"/>
          <w:color w:val="auto"/>
        </w:rPr>
      </w:pPr>
    </w:p>
    <w:p>
      <w:pPr>
        <w:ind w:left="440" w:right="260" w:firstLine="419"/>
        <w:spacing w:after="0" w:line="277" w:lineRule="auto"/>
        <w:tabs>
          <w:tab w:leader="none" w:pos="110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Loan Parties have implemented and maintain in effect policies and procedures designed to promote and achieve compliance with applicable Sanctions, applicable Anti-Money Laundering Laws and applicable Anti-Corruption Laws.</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Certain Treasury Regulation Matters</w:t>
      </w:r>
      <w:r>
        <w:rPr>
          <w:rFonts w:ascii="Arial" w:cs="Arial" w:eastAsia="Arial" w:hAnsi="Arial"/>
          <w:sz w:val="17"/>
          <w:szCs w:val="17"/>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Accurate and Complete Statements</w:t>
      </w:r>
      <w:r>
        <w:rPr>
          <w:rFonts w:ascii="Arial" w:cs="Arial" w:eastAsia="Arial" w:hAnsi="Arial"/>
          <w:sz w:val="17"/>
          <w:szCs w:val="17"/>
          <w:color w:val="auto"/>
        </w:rPr>
        <w:t xml:space="preserve">. No report, financial statement, certificate or other information furnished by or on behalf of any Loan Party or any Subsidiary to the Administrative Agent or any Lender in connection with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representation is made with respect to general economic or industry information and (b) with respect to projected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149" w:name="page150"/>
    <w:bookmarkEnd w:id="149"/>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5.25.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Loan Party or Subsidiary thereof is an “investment company” or a company “controlled” by an “investment company” within the meaning of the Investment Company Act of 1940,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Defaults</w:t>
      </w:r>
      <w:r>
        <w:rPr>
          <w:rFonts w:ascii="Arial" w:cs="Arial" w:eastAsia="Arial" w:hAnsi="Arial"/>
          <w:sz w:val="18"/>
          <w:szCs w:val="18"/>
          <w:color w:val="auto"/>
        </w:rPr>
        <w:t>. No Default exists hereunder, nor will any exist immediately after the execution and delivery hereof.</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(a)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62" w:lineRule="exact"/>
        <w:rPr>
          <w:sz w:val="20"/>
          <w:szCs w:val="20"/>
          <w:color w:val="auto"/>
        </w:rPr>
      </w:pPr>
    </w:p>
    <w:p>
      <w:pPr>
        <w:ind w:left="440" w:firstLine="419"/>
        <w:spacing w:after="0" w:line="254" w:lineRule="auto"/>
        <w:tabs>
          <w:tab w:leader="none" w:pos="11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ninety-five (95) days after the end of each fiscal year of the Borrower (commencing with the fiscal year ending December 31, 2020), an annual audit report of the Borrower and its Subsidiaries for that year prepared on a consolidated basis, in accordance with GAAP, and certified by an opinion of an independent public accountant of recognized national or regional standing (or otherwise reasonably satisfactory to the Administrative Agent) that is not subject to any qualification, exception or explanatory paragraph as to “going concern” or scope of the audit (other than any “emphasis of matter” paragraph or qualification, or any exception or explanatory paragraph that is solely with respect to, or resulting solely from (i) an upcoming maturity date under any Indebtedness or (ii) any potential or actual inability to satisfy any financial covenant (including the Financial Covenant)), which report shall include balance sheets and statements of income (loss), stockholders’ equity and cash-flow for that period;</w:t>
      </w:r>
    </w:p>
    <w:p>
      <w:pPr>
        <w:spacing w:after="0" w:line="83"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fifty (50) days after the end of each of the first three fiscal quarter periods of each fiscal year of the Borrower (commencing with the fiscal quarter ending March 31, 2021),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subject to normal year-end adjustments and the absence of footnotes, and certified by a Responsible Officer of the Borrower; and</w:t>
      </w:r>
    </w:p>
    <w:p>
      <w:pPr>
        <w:spacing w:after="0" w:line="84" w:lineRule="exact"/>
        <w:rPr>
          <w:rFonts w:ascii="Arial" w:cs="Arial" w:eastAsia="Arial" w:hAnsi="Arial"/>
          <w:sz w:val="18"/>
          <w:szCs w:val="18"/>
          <w:color w:val="auto"/>
        </w:rPr>
      </w:pPr>
    </w:p>
    <w:p>
      <w:pPr>
        <w:ind w:left="440" w:right="540" w:firstLine="419"/>
        <w:spacing w:after="0" w:line="263" w:lineRule="auto"/>
        <w:tabs>
          <w:tab w:leader="none" w:pos="11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year of the Borrower a copy of the plan and forecast (including a projected consolidated balance sheet, income statement and cash flow statement) of the Borrower for each month of the upcoming fiscal year in form reasonably satisfactory to the Administrative Agent.</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50" w:name="page151"/>
    <w:bookmarkEnd w:id="150"/>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62" w:lineRule="exact"/>
        <w:rPr>
          <w:sz w:val="20"/>
          <w:szCs w:val="20"/>
          <w:color w:val="auto"/>
        </w:rPr>
      </w:pPr>
    </w:p>
    <w:p>
      <w:pPr>
        <w:ind w:left="1100" w:hanging="241"/>
        <w:spacing w:after="0"/>
        <w:tabs>
          <w:tab w:leader="none" w:pos="11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firstLine="419"/>
        <w:spacing w:after="0" w:line="286" w:lineRule="auto"/>
        <w:tabs>
          <w:tab w:leader="none" w:pos="111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(commencing with the delivery of the financial statements for the fiscal quarter ended March 31, 2021),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w:t>
      </w:r>
    </w:p>
    <w:p>
      <w:pPr>
        <w:spacing w:after="0" w:line="1" w:lineRule="exact"/>
        <w:rPr>
          <w:rFonts w:ascii="Arial" w:cs="Arial" w:eastAsia="Arial" w:hAnsi="Arial"/>
          <w:sz w:val="16"/>
          <w:szCs w:val="16"/>
          <w:color w:val="auto"/>
        </w:rPr>
      </w:pPr>
    </w:p>
    <w:p>
      <w:pPr>
        <w:ind w:left="440" w:right="80" w:hanging="4"/>
        <w:spacing w:after="0" w:line="290" w:lineRule="auto"/>
        <w:tabs>
          <w:tab w:leader="none" w:pos="6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provide that no Default exists or, if a Default exists, specifying the nature and extent thereof; (y) set forth (i) any change in the identity of any of the Immaterial Subsidiaries during such period and (ii) a detailed calculation of the Consolidated Net Leverage Ratio and the Consolidated Secured Net Leverage Ratio in each case as of the last day of such period, and solely with respect to the delivery concurrently with the financial statements referred to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that is not set forth on </w:t>
      </w:r>
      <w:r>
        <w:rPr>
          <w:rFonts w:ascii="Arial" w:cs="Arial" w:eastAsia="Arial" w:hAnsi="Arial"/>
          <w:sz w:val="16"/>
          <w:szCs w:val="16"/>
          <w:u w:val="single" w:color="auto"/>
          <w:color w:val="auto"/>
        </w:rPr>
        <w:t>Schedule 5.17</w:t>
      </w:r>
      <w:r>
        <w:rPr>
          <w:rFonts w:ascii="Arial" w:cs="Arial" w:eastAsia="Arial" w:hAnsi="Arial"/>
          <w:sz w:val="16"/>
          <w:szCs w:val="16"/>
          <w:color w:val="auto"/>
        </w:rPr>
        <w:t xml:space="preserve"> hereto or on any previously delivered Compliance Certificate;</w:t>
      </w:r>
    </w:p>
    <w:p>
      <w:pPr>
        <w:spacing w:after="0" w:line="55" w:lineRule="exact"/>
        <w:rPr>
          <w:rFonts w:ascii="Arial" w:cs="Arial" w:eastAsia="Arial" w:hAnsi="Arial"/>
          <w:sz w:val="16"/>
          <w:szCs w:val="16"/>
          <w:color w:val="auto"/>
        </w:rPr>
      </w:pPr>
    </w:p>
    <w:p>
      <w:pPr>
        <w:ind w:left="440" w:right="340" w:firstLine="419"/>
        <w:spacing w:after="0" w:line="263" w:lineRule="auto"/>
        <w:tabs>
          <w:tab w:leader="none" w:pos="110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promptly after request therefor, copies of any detailed audit reports or management letters submitted to the board of directors (or the audit committee of the board of directors) of the Borrower by independent accountants in connection with any audit of the Borrower or any Subsidiary as the Administrative Agent may reasonably request;</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78" w:lineRule="exact"/>
        <w:rPr>
          <w:rFonts w:ascii="Arial" w:cs="Arial" w:eastAsia="Arial" w:hAnsi="Arial"/>
          <w:sz w:val="18"/>
          <w:szCs w:val="18"/>
          <w:color w:val="auto"/>
        </w:rPr>
      </w:pPr>
    </w:p>
    <w:p>
      <w:pPr>
        <w:ind w:left="440" w:right="160" w:firstLine="419"/>
        <w:spacing w:after="0" w:line="259" w:lineRule="auto"/>
        <w:tabs>
          <w:tab w:leader="none" w:pos="110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(other than any routine ministerial statements or reports) furnished to any holder of obligations pursuant to a Material Indebtedness Agreement of any Loan Party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80" w:hanging="221"/>
        <w:spacing w:after="0"/>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440" w:right="220" w:firstLine="419"/>
        <w:spacing w:after="0" w:line="259" w:lineRule="auto"/>
        <w:tabs>
          <w:tab w:leader="none" w:pos="111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receipt thereof by any Loan Party or any Subsidiary thereof, copies of each written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78" w:lineRule="exact"/>
        <w:rPr>
          <w:rFonts w:ascii="Arial" w:cs="Arial" w:eastAsia="Arial" w:hAnsi="Arial"/>
          <w:sz w:val="18"/>
          <w:szCs w:val="18"/>
          <w:color w:val="auto"/>
        </w:rPr>
      </w:pPr>
    </w:p>
    <w:p>
      <w:pPr>
        <w:ind w:left="440" w:right="420" w:firstLine="419"/>
        <w:spacing w:after="0" w:line="257" w:lineRule="auto"/>
        <w:tabs>
          <w:tab w:leader="none" w:pos="111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so requested by the Administrative Agent, not later than five (5) Business Days after receipt thereof by any Loan Party or any Subsidiary thereof, copies of all material notices, requests and other documents (including amendments, waivers and other modifications) so received under or pursuant to any Related Document or any Material Indebtedness Agreement and, from time to time upon request by the Administrative Agent, such information and reports regarding any Related Document or any Material Indebtedness Agreement as the Administrative Agent may reasonably request;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151" w:name="page152"/>
    <w:bookmarkEnd w:id="151"/>
    <w:p>
      <w:pPr>
        <w:ind w:left="444" w:right="20" w:firstLine="419"/>
        <w:spacing w:after="0" w:line="289" w:lineRule="auto"/>
        <w:tabs>
          <w:tab w:leader="none" w:pos="1082"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after receipt of any written notice of any investigation by a Governmental Authority or any litigation or proceeding commenced or threatened in writing against any Loan Party or any Subsidiary that (i) seeks damages in excess of $4,000,000, (ii) seeks injunctive relief that has resulted, or, either individually or in the aggregate, would reasonably be expected to result, in a Material Adverse Effect, (iii) is asserted or instituted against any Plan, its fiduciaries or its assets that has resulted, or, either individually or in the aggregate, would reasonably be expected to result, in a Material Adverse Effect, (iv) alleges criminal misconduct by any Loan Party or any Subsidiary, (v) alleges the violation of, or seeks to impose remedies under, any Environmental Law or related Requirement of Law, or seeks to impose Environmental Liability that has resulted, or, either individually or in the aggregate, would reasonably be expected to result, in a Material Adverse Effect, (vi) asserts liability on the part of any Loan Party or any Subsidiary in excess of $4,000,000 in respect of any tax, fee, assessment, or other governmental charge, or (vii) involves any product recall that has resulted, or, either individually or in the aggregate, would reasonably be expected to result, in a Material Adverse Effect;</w:t>
      </w:r>
    </w:p>
    <w:p>
      <w:pPr>
        <w:spacing w:after="0" w:line="58" w:lineRule="exact"/>
        <w:rPr>
          <w:rFonts w:ascii="Arial" w:cs="Arial" w:eastAsia="Arial" w:hAnsi="Arial"/>
          <w:sz w:val="16"/>
          <w:szCs w:val="16"/>
          <w:color w:val="auto"/>
        </w:rPr>
      </w:pPr>
    </w:p>
    <w:p>
      <w:pPr>
        <w:ind w:left="444" w:firstLine="419"/>
        <w:spacing w:after="0" w:line="271" w:lineRule="auto"/>
        <w:tabs>
          <w:tab w:leader="none" w:pos="108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within forty-five (45) days after the end of each fiscal year of the Borrower, (i) a report supplementing </w:t>
      </w:r>
      <w:r>
        <w:rPr>
          <w:rFonts w:ascii="Arial" w:cs="Arial" w:eastAsia="Arial" w:hAnsi="Arial"/>
          <w:sz w:val="17"/>
          <w:szCs w:val="17"/>
          <w:u w:val="single" w:color="auto"/>
          <w:color w:val="auto"/>
        </w:rPr>
        <w:t>Schedule 5.05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7"/>
          <w:szCs w:val="17"/>
          <w:u w:val="single" w:color="auto"/>
          <w:color w:val="auto"/>
        </w:rPr>
        <w:t>Schedules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70" w:lineRule="exact"/>
        <w:rPr>
          <w:rFonts w:ascii="Arial" w:cs="Arial" w:eastAsia="Arial" w:hAnsi="Arial"/>
          <w:sz w:val="17"/>
          <w:szCs w:val="17"/>
          <w:color w:val="auto"/>
        </w:rPr>
      </w:pPr>
    </w:p>
    <w:p>
      <w:pPr>
        <w:ind w:left="444" w:right="60" w:firstLine="419"/>
        <w:spacing w:after="0" w:line="279" w:lineRule="auto"/>
        <w:tabs>
          <w:tab w:leader="none" w:pos="112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Arial" w:cs="Arial" w:eastAsia="Arial" w:hAnsi="Arial"/>
          <w:sz w:val="17"/>
          <w:szCs w:val="17"/>
          <w:u w:val="single" w:color="auto"/>
          <w:color w:val="auto"/>
        </w:rPr>
        <w:t>Section 6.08(b)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7.10</w:t>
      </w:r>
      <w:r>
        <w:rPr>
          <w:rFonts w:ascii="Arial" w:cs="Arial" w:eastAsia="Arial" w:hAnsi="Arial"/>
          <w:sz w:val="17"/>
          <w:szCs w:val="17"/>
          <w:color w:val="auto"/>
        </w:rPr>
        <w:t>, such Loan Party or Subsidiary will deliver reasonably prompt notice to the Administrative Agent and the Lenders of such violation; and</w:t>
      </w:r>
    </w:p>
    <w:p>
      <w:pPr>
        <w:spacing w:after="0" w:line="63" w:lineRule="exact"/>
        <w:rPr>
          <w:rFonts w:ascii="Arial" w:cs="Arial" w:eastAsia="Arial" w:hAnsi="Arial"/>
          <w:sz w:val="17"/>
          <w:szCs w:val="17"/>
          <w:color w:val="auto"/>
        </w:rPr>
      </w:pPr>
    </w:p>
    <w:p>
      <w:pPr>
        <w:ind w:left="444" w:right="100" w:firstLine="419"/>
        <w:spacing w:after="0" w:line="257" w:lineRule="auto"/>
        <w:tabs>
          <w:tab w:leader="none" w:pos="108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rules and Anti-Money Laundering Laws, including the USA PATRIOT Act and the Beneficial Ownership Regulation.</w:t>
      </w:r>
    </w:p>
    <w:p>
      <w:pPr>
        <w:spacing w:after="0" w:line="188"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or</w:t>
      </w:r>
    </w:p>
    <w:p>
      <w:pPr>
        <w:spacing w:after="0" w:line="1" w:lineRule="exact"/>
        <w:rPr>
          <w:sz w:val="20"/>
          <w:szCs w:val="20"/>
          <w:color w:val="auto"/>
        </w:rPr>
      </w:pPr>
    </w:p>
    <w:p>
      <w:pPr>
        <w:ind w:left="4" w:right="20" w:hanging="4"/>
        <w:spacing w:after="0" w:line="252" w:lineRule="auto"/>
        <w:tabs>
          <w:tab w:leader="none" w:pos="31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152" w:name="page153"/>
    <w:bookmarkEnd w:id="152"/>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hereby acknowledges that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(x) all such Borrower Materials that are to be made available to Public Lenders shall be clearly and conspicuously marked “PUBLIC” which, at a minimum, means that the word “PUBLIC” shall appear prominently on the first page thereof and (y) by marking Borrower Materials “PUBLIC,” the 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10.07</w:t>
      </w:r>
      <w:r>
        <w:rPr>
          <w:rFonts w:ascii="Arial" w:cs="Arial" w:eastAsia="Arial" w:hAnsi="Arial"/>
          <w:sz w:val="17"/>
          <w:szCs w:val="17"/>
          <w:color w:val="auto"/>
        </w:rPr>
        <w:t>).</w:t>
      </w:r>
    </w:p>
    <w:p>
      <w:pPr>
        <w:spacing w:after="0" w:line="18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a Responsible Officer of the Borrower or any of its Subsidiaries has knowledge thereof, notify the Administrative Agent and each Lender:</w:t>
      </w:r>
    </w:p>
    <w:p>
      <w:pPr>
        <w:spacing w:after="0" w:line="62" w:lineRule="exact"/>
        <w:rPr>
          <w:sz w:val="20"/>
          <w:szCs w:val="20"/>
          <w:color w:val="auto"/>
        </w:rPr>
      </w:pPr>
    </w:p>
    <w:p>
      <w:pPr>
        <w:ind w:left="1100" w:hanging="241"/>
        <w:spacing w:after="0"/>
        <w:tabs>
          <w:tab w:leader="none" w:pos="11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occurrence of any Default within five (5) Business Days after any Loan Party’s actual knowledge thereof;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of any matter that has resulted, or, either individually or in the aggregate, would reasonably be expected to result, in a Material Adverse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02" w:lineRule="exact"/>
        <w:rPr>
          <w:rFonts w:ascii="Arial" w:cs="Arial" w:eastAsia="Arial" w:hAnsi="Arial"/>
          <w:sz w:val="16"/>
          <w:szCs w:val="16"/>
          <w:color w:val="auto"/>
        </w:rPr>
      </w:pPr>
    </w:p>
    <w:p>
      <w:pPr>
        <w:ind w:left="440" w:right="600" w:firstLine="419"/>
        <w:spacing w:after="0" w:line="342" w:lineRule="auto"/>
        <w:tabs>
          <w:tab w:leader="none" w:pos="110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occurrence of any ERISA Event that, alone or together with any other ERISA Events that have occurred, could reasonably be expected to result in liability of the Loan Parties and their Subsidiaries in an aggregate amount exceeding $4,000,000;</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117" w:lineRule="exact"/>
        <w:rPr>
          <w:rFonts w:ascii="Arial" w:cs="Arial" w:eastAsia="Arial" w:hAnsi="Arial"/>
          <w:sz w:val="18"/>
          <w:szCs w:val="18"/>
          <w:color w:val="auto"/>
        </w:rPr>
      </w:pPr>
    </w:p>
    <w:p>
      <w:pPr>
        <w:ind w:left="440" w:firstLine="419"/>
        <w:spacing w:after="0" w:line="259" w:lineRule="auto"/>
        <w:tabs>
          <w:tab w:leader="none" w:pos="110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incurrence or issuance of any Indebtedness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and (iii) receipt of any Extraordinary Receipt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jc w:val="both"/>
        <w:ind w:left="440" w:right="300" w:firstLine="419"/>
        <w:spacing w:after="0" w:line="263" w:lineRule="auto"/>
        <w:tabs>
          <w:tab w:leader="none" w:pos="10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6.03(f)</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53" w:name="page154"/>
    <w:bookmarkEnd w:id="153"/>
    <w:p>
      <w:pPr>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49"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Other than any Immaterial Subsidiary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w:t>
      </w:r>
    </w:p>
    <w:p>
      <w:pPr>
        <w:spacing w:after="0" w:line="1" w:lineRule="exact"/>
        <w:rPr>
          <w:sz w:val="20"/>
          <w:szCs w:val="20"/>
          <w:color w:val="auto"/>
        </w:rPr>
      </w:pPr>
    </w:p>
    <w:p>
      <w:pPr>
        <w:ind w:left="4" w:right="220" w:hanging="4"/>
        <w:spacing w:after="0" w:line="323" w:lineRule="auto"/>
        <w:tabs>
          <w:tab w:leader="none" w:pos="24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preserve or renew all of its registered material patents, trademarks, trade names and service marks in accordance with the Security Agreement, the non-preservation of which, either individually or in the aggregate, would reasonably be expected to have a Material Adverse Effect.</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117" w:lineRule="exact"/>
        <w:rPr>
          <w:sz w:val="20"/>
          <w:szCs w:val="20"/>
          <w:color w:val="auto"/>
        </w:rPr>
      </w:pPr>
    </w:p>
    <w:p>
      <w:pPr>
        <w:ind w:left="444" w:right="80" w:firstLine="419"/>
        <w:spacing w:after="0" w:line="285" w:lineRule="auto"/>
        <w:tabs>
          <w:tab w:leader="none" w:pos="111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w:t>
      </w:r>
    </w:p>
    <w:p>
      <w:pPr>
        <w:spacing w:after="0" w:line="1" w:lineRule="exact"/>
        <w:rPr>
          <w:rFonts w:ascii="Arial" w:cs="Arial" w:eastAsia="Arial" w:hAnsi="Arial"/>
          <w:sz w:val="16"/>
          <w:szCs w:val="16"/>
          <w:color w:val="auto"/>
        </w:rPr>
      </w:pPr>
    </w:p>
    <w:p>
      <w:pPr>
        <w:ind w:left="444" w:hanging="4"/>
        <w:spacing w:after="0" w:line="252" w:lineRule="auto"/>
        <w:tabs>
          <w:tab w:leader="none" w:pos="78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days’ prior written notice of cancellation to the Administrative Agent and the Lenders except for cancellation with respect to the nonpayment of premium (which shall provide for ten (10) days’ prior written notice of cancellation).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w:t>
      </w:r>
    </w:p>
    <w:p>
      <w:pPr>
        <w:spacing w:after="0" w:line="84" w:lineRule="exact"/>
        <w:rPr>
          <w:rFonts w:ascii="Arial" w:cs="Arial" w:eastAsia="Arial" w:hAnsi="Arial"/>
          <w:sz w:val="18"/>
          <w:szCs w:val="18"/>
          <w:color w:val="auto"/>
        </w:rPr>
      </w:pPr>
    </w:p>
    <w:p>
      <w:pPr>
        <w:ind w:left="444" w:right="60" w:firstLine="419"/>
        <w:spacing w:after="0" w:line="287" w:lineRule="auto"/>
        <w:tabs>
          <w:tab w:leader="none" w:pos="112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w:t>
      </w:r>
    </w:p>
    <w:p>
      <w:pPr>
        <w:spacing w:after="0" w:line="2" w:lineRule="exact"/>
        <w:rPr>
          <w:rFonts w:ascii="Arial" w:cs="Arial" w:eastAsia="Arial" w:hAnsi="Arial"/>
          <w:sz w:val="16"/>
          <w:szCs w:val="16"/>
          <w:color w:val="auto"/>
        </w:rPr>
      </w:pPr>
    </w:p>
    <w:p>
      <w:pPr>
        <w:jc w:val="both"/>
        <w:ind w:left="444" w:right="220"/>
        <w:spacing w:after="0" w:line="277" w:lineRule="auto"/>
        <w:rPr>
          <w:rFonts w:ascii="Arial" w:cs="Arial" w:eastAsia="Arial" w:hAnsi="Arial"/>
          <w:sz w:val="16"/>
          <w:szCs w:val="16"/>
          <w:color w:val="auto"/>
        </w:rPr>
      </w:pPr>
      <w:r>
        <w:rPr>
          <w:rFonts w:ascii="Arial" w:cs="Arial" w:eastAsia="Arial" w:hAnsi="Arial"/>
          <w:sz w:val="17"/>
          <w:szCs w:val="17"/>
          <w:color w:val="auto"/>
        </w:rPr>
        <w:t>(i)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left="444" w:right="160" w:firstLine="419"/>
        <w:spacing w:after="0" w:line="255" w:lineRule="auto"/>
        <w:tabs>
          <w:tab w:leader="none" w:pos="11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Comply in all material respects with the requirements of all Laws (including, without limitation, ERISA and Environmental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compliance with applicable Sanctions, applicable Anti-Corruption Laws, and applicable Anti-Money Laundering Laws shall be subject to </w:t>
      </w:r>
      <w:r>
        <w:rPr>
          <w:rFonts w:ascii="Arial" w:cs="Arial" w:eastAsia="Arial" w:hAnsi="Arial"/>
          <w:sz w:val="18"/>
          <w:szCs w:val="18"/>
          <w:u w:val="single" w:color="auto"/>
          <w:color w:val="auto"/>
        </w:rPr>
        <w:t>Section 6.08(b).</w:t>
      </w:r>
    </w:p>
    <w:p>
      <w:pPr>
        <w:spacing w:after="0" w:line="84" w:lineRule="exact"/>
        <w:rPr>
          <w:rFonts w:ascii="Arial" w:cs="Arial" w:eastAsia="Arial" w:hAnsi="Arial"/>
          <w:sz w:val="18"/>
          <w:szCs w:val="18"/>
          <w:color w:val="auto"/>
        </w:rPr>
      </w:pPr>
    </w:p>
    <w:p>
      <w:pPr>
        <w:ind w:left="444" w:right="100" w:firstLine="419"/>
        <w:spacing w:after="0" w:line="263" w:lineRule="auto"/>
        <w:tabs>
          <w:tab w:leader="none" w:pos="112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Comply with applicable Sanctions and applicable Anti-Corruption Laws in all respects and applicable Anti-Money Laundering Laws in all material respects, and maintain policies and procedures designed to promote and achieve compliance with applicable Sanctions, applicable Anti-Corruption Laws, and applicable Anti-Money Laundering Laws.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4"/>
          </w:cols>
          <w:pgMar w:left="436" w:top="274" w:right="479" w:bottom="1440" w:gutter="0" w:footer="0" w:header="0"/>
        </w:sectPr>
      </w:pPr>
    </w:p>
    <w:bookmarkStart w:id="154" w:name="page155"/>
    <w:bookmarkEnd w:id="1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308" w:lineRule="auto"/>
        <w:tabs>
          <w:tab w:leader="none" w:pos="110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Maintain proper books of record and account, in which full, true and correct entries in conformity with GAAP consistently applied shall be made of all financial transactions and matters involving the assets and business of each Loan Party, as the case may be.</w:t>
      </w:r>
    </w:p>
    <w:p>
      <w:pPr>
        <w:spacing w:after="0" w:line="38" w:lineRule="exact"/>
        <w:rPr>
          <w:rFonts w:ascii="Arial" w:cs="Arial" w:eastAsia="Arial" w:hAnsi="Arial"/>
          <w:sz w:val="17"/>
          <w:szCs w:val="17"/>
          <w:color w:val="auto"/>
        </w:rPr>
      </w:pPr>
    </w:p>
    <w:p>
      <w:pPr>
        <w:ind w:left="440" w:right="440" w:firstLine="419"/>
        <w:spacing w:after="0" w:line="277" w:lineRule="auto"/>
        <w:tabs>
          <w:tab w:leader="none" w:pos="11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Loan Parties, as the case may be.</w:t>
      </w:r>
    </w:p>
    <w:p>
      <w:pPr>
        <w:spacing w:after="0" w:line="17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Upon reasonable prior notice,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and (b) examine and inspect any Loan Party’s or Subsidiary’s properties, inventory and equipment, wherever located, in each case, at the expense of the Borrower and upon reasonable advance notice to such Loan Party or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an Event of Default does not exist, such examinations and inspections shall be limited to not more than one time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66"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Use the proceeds of (a) the Term Loans solely for the repayment in full of 100% of the principal amount of Existing Credit Agreement Indebtedness and associated fees and expenses on the Closing Date and (b) to the extent any portion of the Loans is remaining after giving effect to the items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for working capital and other general corporate purposes of the Borrower and its Subsidiaries (including for capital expenditures, permitted acquisitions, the repayment or refinancing of Indebtedness and the making of Investments).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6" w:lineRule="auto"/>
        <w:tabs>
          <w:tab w:leader="none" w:pos="1107"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Guaranties and Security Documents</w:t>
      </w:r>
      <w:r>
        <w:rPr>
          <w:rFonts w:ascii="Arial" w:cs="Arial" w:eastAsia="Arial" w:hAnsi="Arial"/>
          <w:sz w:val="16"/>
          <w:szCs w:val="16"/>
          <w:color w:val="auto"/>
        </w:rPr>
        <w:t xml:space="preserve">. Each Domestic Subsidiary (other than any Immaterial Subsidiary) created, acquired or held subsequent to the Closing Date, and each Domestic Subsidiary that at any time ceases to be an Immaterial Subsidiary (including by virtue of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shall within forty-five (45)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reasonably be deemed necessary or advisable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Guaranty or Collateral Documents shall be required from any subsidiary of the Borrower that is an Excluded Subsidiary. Notwithstanding anything herein or in the ABL Loan Documents to the contrary and subject to the Lien priorities specified within the ABL Intercreditor Agreement, (x) no Person shall become a Guarantor (as defined in the ABL Credit Agreement) under the ABL Credit Agreement if they are not a Guarantor hereunder, and (y) no Person shall grant Liens to the ABL Agent in any property of such Loan Party that constitutes Collateral (as defined in the ABL Credit Agreement) under the ABL Credit Agreement or the ABL Loan Documents if they do not grant Liens to the Administrative Agent in such property of such Loan Party that constitutes Collateral under this Agreement or the Loan Documents.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55" w:name="page156"/>
    <w:bookmarkEnd w:id="155"/>
    <w:p>
      <w:pPr>
        <w:ind w:right="60" w:firstLine="419"/>
        <w:spacing w:after="0" w:line="269" w:lineRule="auto"/>
        <w:tabs>
          <w:tab w:leader="none" w:pos="67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Pledge of Equity Interests</w:t>
      </w:r>
      <w:r>
        <w:rPr>
          <w:rFonts w:ascii="Arial" w:cs="Arial" w:eastAsia="Arial" w:hAnsi="Arial"/>
          <w:sz w:val="17"/>
          <w:szCs w:val="17"/>
          <w:color w:val="auto"/>
        </w:rPr>
        <w:t xml:space="preserve">. Subject to Section 6.17, with respect to the creation or acquisition of a Subsidiary, the appropriate Loan Party shall within forty-five (45) days (or such longer period as the Administrative Agent shall approve in its sole discretion) after such creation or acquisition execute a Security Agreement (or a Security Agreement Supplement) and, in connection therewith, pledge all of its Equity Interests in such Subsidiary to the Administrative Agent as security for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organized in Mexico, Brazil and Poland or Foreign Subsidiary Holding Company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The Borrower shall deliver to the Administrative Agent the share certificates (or other evidence of equity) evidencing any of the Equity Interests pledged pursuant to this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if such Equity Interests are certificated or so evidenced.</w:t>
      </w:r>
    </w:p>
    <w:p>
      <w:pPr>
        <w:spacing w:after="0" w:line="70" w:lineRule="exact"/>
        <w:rPr>
          <w:rFonts w:ascii="Arial" w:cs="Arial" w:eastAsia="Arial" w:hAnsi="Arial"/>
          <w:sz w:val="17"/>
          <w:szCs w:val="17"/>
          <w:color w:val="auto"/>
        </w:rPr>
      </w:pPr>
    </w:p>
    <w:p>
      <w:pPr>
        <w:ind w:right="40" w:firstLine="419"/>
        <w:spacing w:after="0" w:line="296" w:lineRule="auto"/>
        <w:tabs>
          <w:tab w:leader="none" w:pos="667"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Perfection or Registration of Interest in Foreign Equity Interests</w:t>
      </w:r>
      <w:r>
        <w:rPr>
          <w:rFonts w:ascii="Arial" w:cs="Arial" w:eastAsia="Arial" w:hAnsi="Arial"/>
          <w:sz w:val="16"/>
          <w:szCs w:val="16"/>
          <w:color w:val="auto"/>
        </w:rPr>
        <w:t>. Subject to Section 6.17, with respect to any foreign Equity Interests pledged to the Administrative Agent by the Borrower or any Domestic Subsidiary that is a Loan Party,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53" w:lineRule="exact"/>
        <w:rPr>
          <w:rFonts w:ascii="Arial" w:cs="Arial" w:eastAsia="Arial" w:hAnsi="Arial"/>
          <w:sz w:val="16"/>
          <w:szCs w:val="16"/>
          <w:color w:val="auto"/>
        </w:rPr>
      </w:pPr>
    </w:p>
    <w:p>
      <w:pPr>
        <w:ind w:right="340" w:firstLine="419"/>
        <w:spacing w:after="0" w:line="279" w:lineRule="auto"/>
        <w:tabs>
          <w:tab w:leader="none" w:pos="67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Pledged Intercompany Notes</w:t>
      </w:r>
      <w:r>
        <w:rPr>
          <w:rFonts w:ascii="Arial" w:cs="Arial" w:eastAsia="Arial" w:hAnsi="Arial"/>
          <w:sz w:val="17"/>
          <w:szCs w:val="17"/>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 if such Pledged Intercompany Note is evidenced in writing and has a stated principal amount equal to or greater than $100,000.</w:t>
      </w:r>
    </w:p>
    <w:p>
      <w:pPr>
        <w:spacing w:after="0" w:line="63" w:lineRule="exact"/>
        <w:rPr>
          <w:rFonts w:ascii="Arial" w:cs="Arial" w:eastAsia="Arial" w:hAnsi="Arial"/>
          <w:sz w:val="17"/>
          <w:szCs w:val="17"/>
          <w:color w:val="auto"/>
        </w:rPr>
      </w:pPr>
    </w:p>
    <w:p>
      <w:pPr>
        <w:ind w:left="660" w:hanging="241"/>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Collateral Generally</w:t>
      </w:r>
      <w:r>
        <w:rPr>
          <w:rFonts w:ascii="Arial" w:cs="Arial" w:eastAsia="Arial" w:hAnsi="Arial"/>
          <w:sz w:val="18"/>
          <w:szCs w:val="18"/>
          <w:color w:val="auto"/>
        </w:rPr>
        <w:t>. The Borrower shall:</w:t>
      </w:r>
    </w:p>
    <w:p>
      <w:pPr>
        <w:spacing w:after="0" w:line="117" w:lineRule="exact"/>
        <w:rPr>
          <w:rFonts w:ascii="Arial" w:cs="Arial" w:eastAsia="Arial" w:hAnsi="Arial"/>
          <w:sz w:val="18"/>
          <w:szCs w:val="18"/>
          <w:color w:val="auto"/>
        </w:rPr>
      </w:pPr>
    </w:p>
    <w:p>
      <w:pPr>
        <w:ind w:left="540" w:right="20" w:firstLine="408"/>
        <w:spacing w:after="0" w:line="279" w:lineRule="auto"/>
        <w:tabs>
          <w:tab w:leader="none" w:pos="115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63" w:lineRule="exact"/>
        <w:rPr>
          <w:rFonts w:ascii="Arial" w:cs="Arial" w:eastAsia="Arial" w:hAnsi="Arial"/>
          <w:sz w:val="17"/>
          <w:szCs w:val="17"/>
          <w:color w:val="auto"/>
        </w:rPr>
      </w:pPr>
    </w:p>
    <w:p>
      <w:pPr>
        <w:ind w:left="540" w:firstLine="408"/>
        <w:spacing w:after="0" w:line="277" w:lineRule="auto"/>
        <w:tabs>
          <w:tab w:leader="none" w:pos="120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62" w:lineRule="exact"/>
        <w:rPr>
          <w:rFonts w:ascii="Arial" w:cs="Arial" w:eastAsia="Arial" w:hAnsi="Arial"/>
          <w:sz w:val="18"/>
          <w:szCs w:val="18"/>
          <w:color w:val="auto"/>
        </w:rPr>
      </w:pPr>
    </w:p>
    <w:p>
      <w:pPr>
        <w:jc w:val="both"/>
        <w:ind w:left="540" w:right="420" w:firstLine="408"/>
        <w:spacing w:after="0" w:line="301" w:lineRule="auto"/>
        <w:tabs>
          <w:tab w:leader="none" w:pos="125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promptly notify the Administrative Agent in writing upon the creation by any Loan Party of a deposit account or securities account not listed on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49" w:lineRule="exact"/>
        <w:rPr>
          <w:rFonts w:ascii="Arial" w:cs="Arial" w:eastAsia="Arial" w:hAnsi="Arial"/>
          <w:sz w:val="16"/>
          <w:szCs w:val="16"/>
          <w:color w:val="auto"/>
        </w:rPr>
      </w:pPr>
    </w:p>
    <w:p>
      <w:pPr>
        <w:ind w:left="540" w:right="200" w:firstLine="408"/>
        <w:spacing w:after="0" w:line="279" w:lineRule="auto"/>
        <w:tabs>
          <w:tab w:leader="none" w:pos="124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promptly notify the Administrative Agent in writing whenever assets of a Loan Party having a value in excess of $250,000 are located at a location of a third party (other than another Loan Party) that is not listed on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hereto and use commercially reasonable efforts to cause to be executed any bailee’s waiver, processor’s waiver, consignee’s waiver or similar document or notice or reserves that reasonably may be required by the Administrative Agent or the Required Lenders;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0"/>
          </w:cols>
          <w:pgMar w:left="880" w:top="274" w:right="459" w:bottom="1440" w:gutter="0" w:footer="0" w:header="0"/>
        </w:sectPr>
      </w:pPr>
    </w:p>
    <w:bookmarkStart w:id="156" w:name="page157"/>
    <w:bookmarkEnd w:id="156"/>
    <w:p>
      <w:pPr>
        <w:jc w:val="both"/>
        <w:ind w:left="540" w:right="180" w:firstLine="408"/>
        <w:spacing w:after="0" w:line="263" w:lineRule="auto"/>
        <w:tabs>
          <w:tab w:leader="none" w:pos="11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notify the Administrative Agent in writing of any information that the Borrower or any of its Subsidiaries has or may receive in writing with respect to the Collateral that would reasonably be expected to materially and adversely affect the value thereof or the rights of the Administrative Agent and the Lenders with respect thereto;</w:t>
      </w:r>
    </w:p>
    <w:p>
      <w:pPr>
        <w:spacing w:after="0" w:line="75" w:lineRule="exact"/>
        <w:rPr>
          <w:rFonts w:ascii="Arial" w:cs="Arial" w:eastAsia="Arial" w:hAnsi="Arial"/>
          <w:sz w:val="18"/>
          <w:szCs w:val="18"/>
          <w:color w:val="auto"/>
        </w:rPr>
      </w:pPr>
    </w:p>
    <w:p>
      <w:pPr>
        <w:ind w:left="540" w:right="80" w:firstLine="408"/>
        <w:spacing w:after="0" w:line="293" w:lineRule="auto"/>
        <w:tabs>
          <w:tab w:leader="none" w:pos="124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promptly deliver to the Administrative Agent, to hold as security for the Obligations, within ten (10)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56" w:lineRule="exact"/>
        <w:rPr>
          <w:rFonts w:ascii="Arial" w:cs="Arial" w:eastAsia="Arial" w:hAnsi="Arial"/>
          <w:sz w:val="16"/>
          <w:szCs w:val="16"/>
          <w:color w:val="auto"/>
        </w:rPr>
      </w:pPr>
    </w:p>
    <w:p>
      <w:pPr>
        <w:jc w:val="both"/>
        <w:ind w:left="540" w:right="100" w:firstLine="408"/>
        <w:spacing w:after="0" w:line="263" w:lineRule="auto"/>
        <w:tabs>
          <w:tab w:leader="none" w:pos="12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promptly provide to the Administrative Agent, after written request therefor,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75" w:lineRule="exact"/>
        <w:rPr>
          <w:rFonts w:ascii="Arial" w:cs="Arial" w:eastAsia="Arial" w:hAnsi="Arial"/>
          <w:sz w:val="18"/>
          <w:szCs w:val="18"/>
          <w:color w:val="auto"/>
        </w:rPr>
      </w:pPr>
    </w:p>
    <w:p>
      <w:pPr>
        <w:ind w:left="540" w:right="100" w:firstLine="408"/>
        <w:spacing w:after="0" w:line="257" w:lineRule="auto"/>
        <w:tabs>
          <w:tab w:leader="none" w:pos="13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80"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that constitutes Collateral,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reasonable expenses with respect to the foregoing (whether prior to, upon, or subsequent to any Default), and the Borrower shall promptly repay, reimburse, and indemnify the Administrative Agent and the Lenders for any and all such reasonable and documented out of pocket expenses.</w:t>
      </w:r>
    </w:p>
    <w:p>
      <w:pPr>
        <w:spacing w:after="0" w:line="73" w:lineRule="exact"/>
        <w:rPr>
          <w:sz w:val="20"/>
          <w:szCs w:val="20"/>
          <w:color w:val="auto"/>
        </w:rPr>
      </w:pPr>
    </w:p>
    <w:p>
      <w:pPr>
        <w:ind w:firstLine="419"/>
        <w:spacing w:after="0" w:line="286" w:lineRule="auto"/>
        <w:tabs>
          <w:tab w:leader="none" w:pos="648"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Property Acquired Subsequent to the Closing Date and Right to Take Additional Collateral</w:t>
      </w:r>
      <w:r>
        <w:rPr>
          <w:rFonts w:ascii="Arial" w:cs="Arial" w:eastAsia="Arial" w:hAnsi="Arial"/>
          <w:sz w:val="16"/>
          <w:szCs w:val="16"/>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Lien on any Material Real Property or personal property of each Loan Party,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ninety (90) days (or such later time as may be specified by the Administrative Agent in its sole but reasonable discretion), and (ii) in all other cases, within ten (10)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reasonably require. The Borrower shall pay all recordation, legal and other expenses in connection therewith.</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60"/>
          </w:cols>
          <w:pgMar w:left="880" w:top="274" w:right="459" w:bottom="1440" w:gutter="0" w:footer="0" w:header="0"/>
        </w:sectPr>
      </w:pPr>
    </w:p>
    <w:bookmarkStart w:id="157" w:name="page158"/>
    <w:bookmarkEnd w:id="157"/>
    <w:p>
      <w:pPr>
        <w:ind w:left="440" w:right="40" w:firstLine="419"/>
        <w:spacing w:after="0" w:line="289" w:lineRule="auto"/>
        <w:tabs>
          <w:tab w:leader="none" w:pos="1118"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Designation of Immaterial Subsidiaries</w:t>
      </w:r>
      <w:r>
        <w:rPr>
          <w:rFonts w:ascii="Arial" w:cs="Arial" w:eastAsia="Arial" w:hAnsi="Arial"/>
          <w:sz w:val="16"/>
          <w:szCs w:val="16"/>
          <w:color w:val="auto"/>
        </w:rPr>
        <w:t xml:space="preserve">. In the event that the Immaterial Subsidiaries, when taken as a whole, (i) 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EBITDA attributable to, and net book value of the assets held by, the remaining Immaterial Subsidiaries, when taken as a whole, shall be less than the required percentages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(g)</w:t>
      </w:r>
      <w:r>
        <w:rPr>
          <w:rFonts w:ascii="Arial" w:cs="Arial" w:eastAsia="Arial" w:hAnsi="Arial"/>
          <w:sz w:val="16"/>
          <w:szCs w:val="16"/>
          <w:color w:val="auto"/>
        </w:rPr>
        <w:t>. Notwithstanding anything contained herein to the contrary and for the avoidance of doubt, no Subsidiary shall constitute either an Immaterial Subsidiary if such Subsidiary guarantees or provides a Lien on its assets or otherwise provide credit support with respect to any other Indebtedness of any Loan Party.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no Loan Party shall be required to pledge or grant a Lien on any Excluded Assets.</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xml:space="preserv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Arial" w:cs="Arial" w:eastAsia="Arial" w:hAnsi="Arial"/>
          <w:sz w:val="17"/>
          <w:szCs w:val="17"/>
          <w:u w:val="single" w:color="auto"/>
          <w:color w:val="auto"/>
        </w:rPr>
        <w:t>Section 6.13</w:t>
      </w:r>
      <w:r>
        <w:rPr>
          <w:rFonts w:ascii="Arial" w:cs="Arial" w:eastAsia="Arial" w:hAnsi="Arial"/>
          <w:sz w:val="17"/>
          <w:szCs w:val="17"/>
          <w:color w:val="auto"/>
        </w:rPr>
        <w:t>, “</w:t>
      </w:r>
      <w:r>
        <w:rPr>
          <w:rFonts w:ascii="Arial" w:cs="Arial" w:eastAsia="Arial" w:hAnsi="Arial"/>
          <w:sz w:val="17"/>
          <w:szCs w:val="17"/>
          <w:u w:val="single" w:color="auto"/>
          <w:color w:val="auto"/>
        </w:rPr>
        <w:t>litigation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demand, claim, notice, suit, suit in equity action, administrative action, investigation or inquiry whether brought by any Governmental Authority or private Person, or otherwise.</w:t>
      </w:r>
    </w:p>
    <w:p>
      <w:pPr>
        <w:spacing w:after="0" w:line="18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Regarding Collateral</w:t>
      </w:r>
      <w:r>
        <w:rPr>
          <w:rFonts w:ascii="Arial" w:cs="Arial" w:eastAsia="Arial" w:hAnsi="Arial"/>
          <w:sz w:val="18"/>
          <w:szCs w:val="18"/>
          <w:color w:val="auto"/>
        </w:rPr>
        <w:t>. Provide the Administrative Agent and the Lenders with at least ten (10) days’ prior written notice before any change its legal name, organizational structure or its state, province or other jurisdiction of organization. The Borrower shall promptly notify the Administrative Agent of (a) any change in any location where a portion of any Loan Party’s assets having a value in excess of $250,000 are maintained, and any new locations where any portion of any Loan Party’s assets having a value in excess of $250,000 are to be maintained; (b) any change in the location of the office where any Loan Party’s material records pertaining to its accounts are kept; and (c) any change in the location of any Loan Party’s chief executive office.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75" w:lineRule="auto"/>
        <w:tabs>
          <w:tab w:leader="none" w:pos="110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the purposes of the Loan Documents.</w:t>
      </w:r>
    </w:p>
    <w:p>
      <w:pPr>
        <w:spacing w:after="0" w:line="68" w:lineRule="exact"/>
        <w:rPr>
          <w:rFonts w:ascii="Arial" w:cs="Arial" w:eastAsia="Arial" w:hAnsi="Arial"/>
          <w:sz w:val="17"/>
          <w:szCs w:val="17"/>
          <w:color w:val="auto"/>
        </w:rPr>
      </w:pPr>
    </w:p>
    <w:p>
      <w:pPr>
        <w:jc w:val="both"/>
        <w:ind w:left="440" w:firstLine="419"/>
        <w:spacing w:after="0" w:line="286" w:lineRule="auto"/>
        <w:tabs>
          <w:tab w:leader="none" w:pos="111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reasonably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but reasonable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58" w:name="page159"/>
    <w:bookmarkEnd w:id="158"/>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in each case within the time limits specified on such schedule.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(upon the happening of a contingency or otherwise) any Lien upon any of its property or assets,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440" w:right="20" w:firstLine="419"/>
        <w:spacing w:after="0" w:line="277" w:lineRule="auto"/>
        <w:tabs>
          <w:tab w:leader="none" w:pos="11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1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1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on property or assets of a (i) Subsidiary to secure obligations of such Subsidiary to a Loan Party and (ii) Foreign Subsidiary to secure obligations of such Foreign Subsidiary;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purchase money Liens on fixed assets securing the loans and Indebtedness under Financing Lease Obligations pursuant to</w:t>
      </w:r>
    </w:p>
    <w:p>
      <w:pPr>
        <w:spacing w:after="0" w:line="23" w:lineRule="exact"/>
        <w:rPr>
          <w:sz w:val="20"/>
          <w:szCs w:val="20"/>
          <w:color w:val="auto"/>
        </w:rPr>
      </w:pPr>
    </w:p>
    <w:p>
      <w:pPr>
        <w:ind w:left="440" w:right="200"/>
        <w:spacing w:after="0" w:line="260" w:lineRule="auto"/>
        <w:rPr>
          <w:sz w:val="20"/>
          <w:szCs w:val="20"/>
          <w:color w:val="auto"/>
        </w:rPr>
      </w:pP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is limited to the purchase price and only attaches to the property being acquired or financed thereby;</w:t>
      </w:r>
    </w:p>
    <w:p>
      <w:pPr>
        <w:spacing w:after="0" w:line="77" w:lineRule="exact"/>
        <w:rPr>
          <w:sz w:val="20"/>
          <w:szCs w:val="20"/>
          <w:color w:val="auto"/>
        </w:rPr>
      </w:pPr>
    </w:p>
    <w:p>
      <w:pPr>
        <w:ind w:left="1100" w:hanging="241"/>
        <w:spacing w:after="0"/>
        <w:tabs>
          <w:tab w:leader="none" w:pos="11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Lien of the Administrative Agent, for the benefit of the Secured Parties;</w:t>
      </w:r>
    </w:p>
    <w:p>
      <w:pPr>
        <w:spacing w:after="0" w:line="117" w:lineRule="exact"/>
        <w:rPr>
          <w:rFonts w:ascii="Arial" w:cs="Arial" w:eastAsia="Arial" w:hAnsi="Arial"/>
          <w:sz w:val="18"/>
          <w:szCs w:val="18"/>
          <w:color w:val="auto"/>
        </w:rPr>
      </w:pPr>
    </w:p>
    <w:p>
      <w:pPr>
        <w:ind w:left="440" w:firstLine="419"/>
        <w:spacing w:after="0" w:line="257" w:lineRule="auto"/>
        <w:tabs>
          <w:tab w:leader="none" w:pos="10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Liens existing on the Closing Date as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79"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0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Liens in respect of any writ of execution, attachment, garnishment, judgment or judicial award solely to the extent not constituting an Event of Default under </w:t>
      </w:r>
      <w:r>
        <w:rPr>
          <w:rFonts w:ascii="Arial" w:cs="Arial" w:eastAsia="Arial" w:hAnsi="Arial"/>
          <w:sz w:val="18"/>
          <w:szCs w:val="18"/>
          <w:u w:val="single" w:color="auto"/>
          <w:color w:val="auto"/>
        </w:rPr>
        <w:t>Section 8.01(h)(i)</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159" w:name="page160"/>
    <w:bookmarkEnd w:id="159"/>
    <w:p>
      <w:pPr>
        <w:ind w:left="4" w:right="500" w:firstLine="419"/>
        <w:spacing w:after="0" w:line="277" w:lineRule="auto"/>
        <w:tabs>
          <w:tab w:leader="none" w:pos="641"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arising solely from precautionary UCC financing statements filed with respect to any consignment agreement entered into by Borrower or any Subsidiary in the ordinary course of business;</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Liens on the Collateral or any portion thereof securing Indebtedness under </w:t>
      </w:r>
      <w:r>
        <w:rPr>
          <w:rFonts w:ascii="Arial" w:cs="Arial" w:eastAsia="Arial" w:hAnsi="Arial"/>
          <w:sz w:val="16"/>
          <w:szCs w:val="16"/>
          <w:u w:val="single" w:color="auto"/>
          <w:color w:val="auto"/>
        </w:rPr>
        <w:t>Section 7.02(k</w:t>
      </w:r>
      <w:r>
        <w:rPr>
          <w:rFonts w:ascii="Arial" w:cs="Arial" w:eastAsia="Arial" w:hAnsi="Arial"/>
          <w:sz w:val="16"/>
          <w:szCs w:val="16"/>
          <w:color w:val="auto"/>
        </w:rPr>
        <w:t>) (subject to the ABL Intercreditor Agreement);</w:t>
      </w:r>
    </w:p>
    <w:p>
      <w:pPr>
        <w:spacing w:after="0" w:line="140" w:lineRule="exact"/>
        <w:rPr>
          <w:rFonts w:ascii="Arial" w:cs="Arial" w:eastAsia="Arial" w:hAnsi="Arial"/>
          <w:sz w:val="16"/>
          <w:szCs w:val="16"/>
          <w:color w:val="auto"/>
        </w:rPr>
      </w:pPr>
    </w:p>
    <w:p>
      <w:pPr>
        <w:ind w:left="4" w:right="80" w:firstLine="419"/>
        <w:spacing w:after="0" w:line="259" w:lineRule="auto"/>
        <w:tabs>
          <w:tab w:leader="none" w:pos="64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Liens on tangible property of a Person existing at the time such Person is acquired by the Borrower or a Subsidiary pursuant to an Acquisition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Arial" w:cs="Arial" w:eastAsia="Arial" w:hAnsi="Arial"/>
          <w:sz w:val="18"/>
          <w:szCs w:val="18"/>
          <w:u w:val="single" w:color="auto"/>
          <w:color w:val="auto"/>
        </w:rPr>
        <w:t>Section 7.02(l)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40" w:firstLine="419"/>
        <w:spacing w:after="0" w:line="277" w:lineRule="auto"/>
        <w:tabs>
          <w:tab w:leader="none" w:pos="73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other Liens securing Indebtedness permitted by </w:t>
      </w:r>
      <w:r>
        <w:rPr>
          <w:rFonts w:ascii="Arial" w:cs="Arial" w:eastAsia="Arial" w:hAnsi="Arial"/>
          <w:sz w:val="18"/>
          <w:szCs w:val="18"/>
          <w:u w:val="single" w:color="auto"/>
          <w:color w:val="auto"/>
        </w:rPr>
        <w:t>Section 7.02(m)</w:t>
      </w:r>
      <w:r>
        <w:rPr>
          <w:rFonts w:ascii="Arial" w:cs="Arial" w:eastAsia="Arial" w:hAnsi="Arial"/>
          <w:sz w:val="18"/>
          <w:szCs w:val="18"/>
          <w:color w:val="auto"/>
        </w:rPr>
        <w:t xml:space="preserve"> the amount of which does not exceed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must be junior to the Liens securing the Obligations and the ABL Obligations;</w:t>
      </w:r>
    </w:p>
    <w:p>
      <w:pPr>
        <w:spacing w:after="0" w:line="62" w:lineRule="exact"/>
        <w:rPr>
          <w:rFonts w:ascii="Arial" w:cs="Arial" w:eastAsia="Arial" w:hAnsi="Arial"/>
          <w:sz w:val="18"/>
          <w:szCs w:val="18"/>
          <w:color w:val="auto"/>
        </w:rPr>
      </w:pPr>
    </w:p>
    <w:p>
      <w:pPr>
        <w:ind w:left="4" w:firstLine="419"/>
        <w:spacing w:after="0" w:line="291" w:lineRule="auto"/>
        <w:tabs>
          <w:tab w:leader="none" w:pos="68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other non-consensual Liens not securing Indebtedness, (i) the amount of which does not exceed $5,000,000 in the aggregate, and (ii) the existence of which, either individually or in the aggregate, will not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w:t>
      </w:r>
      <w:r>
        <w:rPr>
          <w:rFonts w:ascii="Arial" w:cs="Arial" w:eastAsia="Arial" w:hAnsi="Arial"/>
          <w:sz w:val="16"/>
          <w:szCs w:val="16"/>
          <w:u w:val="single" w:color="auto"/>
          <w:color w:val="auto"/>
        </w:rPr>
        <w:t>clause</w:t>
      </w:r>
    </w:p>
    <w:p>
      <w:pPr>
        <w:ind w:left="4" w:right="140" w:hanging="4"/>
        <w:spacing w:after="0" w:line="253" w:lineRule="auto"/>
        <w:tabs>
          <w:tab w:leader="none" w:pos="258" w:val="left"/>
        </w:tabs>
        <w:numPr>
          <w:ilvl w:val="0"/>
          <w:numId w:val="199"/>
        </w:numPr>
        <w:rPr>
          <w:rFonts w:ascii="Arial" w:cs="Arial" w:eastAsia="Arial" w:hAnsi="Arial"/>
          <w:sz w:val="18"/>
          <w:szCs w:val="18"/>
          <w:u w:val="single" w:color="auto"/>
          <w:color w:val="auto"/>
        </w:rPr>
      </w:pPr>
      <w:r>
        <w:rPr>
          <w:rFonts w:ascii="Arial" w:cs="Arial" w:eastAsia="Arial" w:hAnsi="Arial"/>
          <w:sz w:val="18"/>
          <w:szCs w:val="18"/>
          <w:color w:val="auto"/>
        </w:rPr>
        <w:t xml:space="preserve">is permitted only for so long as is reasonably necessary for the affected Loan Party or the affected Subsidiary, using its best efforts, to remove or eliminate such Lien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Lien not otherwise permitted by this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82" w:lineRule="exact"/>
        <w:rPr>
          <w:rFonts w:ascii="Arial" w:cs="Arial" w:eastAsia="Arial" w:hAnsi="Arial"/>
          <w:sz w:val="18"/>
          <w:szCs w:val="18"/>
          <w:u w:val="single" w:color="auto"/>
          <w:color w:val="auto"/>
        </w:rPr>
      </w:pPr>
    </w:p>
    <w:p>
      <w:pPr>
        <w:ind w:left="684" w:hanging="261"/>
        <w:spacing w:after="0"/>
        <w:tabs>
          <w:tab w:leader="none" w:pos="68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for the avoidance of doubt, any Lien on a Sold Account;</w:t>
      </w:r>
    </w:p>
    <w:p>
      <w:pPr>
        <w:spacing w:after="0" w:line="117" w:lineRule="exact"/>
        <w:rPr>
          <w:rFonts w:ascii="Arial" w:cs="Arial" w:eastAsia="Arial" w:hAnsi="Arial"/>
          <w:sz w:val="18"/>
          <w:szCs w:val="18"/>
          <w:color w:val="auto"/>
        </w:rPr>
      </w:pPr>
    </w:p>
    <w:p>
      <w:pPr>
        <w:ind w:left="4" w:right="280" w:firstLine="419"/>
        <w:spacing w:after="0" w:line="259" w:lineRule="auto"/>
        <w:tabs>
          <w:tab w:leader="none" w:pos="68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securing Indebtedness that has been 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permitted by this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is permitted only for so long as is reasonably necessary for the affected Loan Party or the affected Subsidiary, using its best efforts, to remove, discharge or otherwise eliminate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Lien permitted by this </w:t>
      </w:r>
      <w:r>
        <w:rPr>
          <w:rFonts w:ascii="Arial" w:cs="Arial" w:eastAsia="Arial" w:hAnsi="Arial"/>
          <w:sz w:val="18"/>
          <w:szCs w:val="18"/>
          <w:u w:val="single" w:color="auto"/>
          <w:color w:val="auto"/>
        </w:rPr>
        <w:t>clause (p)</w:t>
      </w:r>
      <w:r>
        <w:rPr>
          <w:rFonts w:ascii="Arial" w:cs="Arial" w:eastAsia="Arial" w:hAnsi="Arial"/>
          <w:sz w:val="18"/>
          <w:szCs w:val="18"/>
          <w:color w:val="auto"/>
        </w:rPr>
        <w:t xml:space="preserve"> be permitted for more than ninety (90) days;</w:t>
      </w:r>
    </w:p>
    <w:p>
      <w:pPr>
        <w:spacing w:after="0" w:line="78" w:lineRule="exact"/>
        <w:rPr>
          <w:rFonts w:ascii="Arial" w:cs="Arial" w:eastAsia="Arial" w:hAnsi="Arial"/>
          <w:sz w:val="18"/>
          <w:szCs w:val="18"/>
          <w:color w:val="auto"/>
        </w:rPr>
      </w:pPr>
    </w:p>
    <w:p>
      <w:pPr>
        <w:ind w:left="4" w:right="40" w:firstLine="419"/>
        <w:spacing w:after="0" w:line="277" w:lineRule="auto"/>
        <w:tabs>
          <w:tab w:leader="none" w:pos="68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4" w:right="120" w:firstLine="419"/>
        <w:spacing w:after="0" w:line="277" w:lineRule="auto"/>
        <w:tabs>
          <w:tab w:leader="none" w:pos="65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4-210 of the UCC in effect in the relevant jurisdiction covering only the items being collected upon;</w:t>
      </w:r>
    </w:p>
    <w:p>
      <w:pPr>
        <w:spacing w:after="0" w:line="62" w:lineRule="exact"/>
        <w:rPr>
          <w:rFonts w:ascii="Arial" w:cs="Arial" w:eastAsia="Arial" w:hAnsi="Arial"/>
          <w:sz w:val="18"/>
          <w:szCs w:val="18"/>
          <w:color w:val="auto"/>
        </w:rPr>
      </w:pPr>
    </w:p>
    <w:p>
      <w:pPr>
        <w:ind w:left="664" w:hanging="241"/>
        <w:spacing w:after="0"/>
        <w:tabs>
          <w:tab w:leader="none" w:pos="6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hereunder;</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other Liens securing Indebtedness permitted by </w:t>
      </w:r>
      <w:r>
        <w:rPr>
          <w:rFonts w:ascii="Arial" w:cs="Arial" w:eastAsia="Arial" w:hAnsi="Arial"/>
          <w:sz w:val="17"/>
          <w:szCs w:val="17"/>
          <w:u w:val="single" w:color="auto"/>
          <w:color w:val="auto"/>
        </w:rPr>
        <w:t>Section 7.02(f)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shall extend to, or cover, any Collateral;</w:t>
      </w:r>
    </w:p>
    <w:p>
      <w:pPr>
        <w:spacing w:after="0" w:line="128" w:lineRule="exact"/>
        <w:rPr>
          <w:rFonts w:ascii="Arial" w:cs="Arial" w:eastAsia="Arial" w:hAnsi="Arial"/>
          <w:sz w:val="17"/>
          <w:szCs w:val="17"/>
          <w:color w:val="auto"/>
        </w:rPr>
      </w:pPr>
    </w:p>
    <w:p>
      <w:pPr>
        <w:ind w:left="684" w:hanging="261"/>
        <w:spacing w:after="0"/>
        <w:tabs>
          <w:tab w:leader="none" w:pos="68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Liens granted pursuant to the Precious Metal Consignment Agreements so long as such Lien does not secure Indebtedness;</w:t>
      </w:r>
    </w:p>
    <w:p>
      <w:pPr>
        <w:spacing w:after="0" w:line="128" w:lineRule="exact"/>
        <w:rPr>
          <w:rFonts w:ascii="Arial" w:cs="Arial" w:eastAsia="Arial" w:hAnsi="Arial"/>
          <w:sz w:val="17"/>
          <w:szCs w:val="17"/>
          <w:color w:val="auto"/>
        </w:rPr>
      </w:pPr>
    </w:p>
    <w:p>
      <w:pPr>
        <w:ind w:left="4" w:right="320" w:firstLine="419"/>
        <w:spacing w:after="0" w:line="342" w:lineRule="auto"/>
        <w:tabs>
          <w:tab w:leader="none" w:pos="68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non-consensual statutory or civil law Lien arising in the Netherlands under Netherland’s General Banking Conditions (other than arising under article 26 thereof) so long as such Lien does not secure Indebtedness and arises in the ordinary course of business; and</w:t>
      </w:r>
    </w:p>
    <w:p>
      <w:pPr>
        <w:spacing w:after="0" w:line="15" w:lineRule="exact"/>
        <w:rPr>
          <w:rFonts w:ascii="Arial" w:cs="Arial" w:eastAsia="Arial" w:hAnsi="Arial"/>
          <w:sz w:val="16"/>
          <w:szCs w:val="16"/>
          <w:color w:val="auto"/>
        </w:rPr>
      </w:pPr>
    </w:p>
    <w:p>
      <w:pPr>
        <w:ind w:left="4984" w:right="60" w:hanging="4561"/>
        <w:spacing w:after="0" w:line="449" w:lineRule="auto"/>
        <w:tabs>
          <w:tab w:leader="none" w:pos="72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Liens on the Collateral securing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must be junior to the Liens securing the Obligations. 71</w:t>
      </w:r>
    </w:p>
    <w:p>
      <w:pPr>
        <w:sectPr>
          <w:pgSz w:w="11900" w:h="16838" w:orient="portrait"/>
          <w:cols w:equalWidth="0" w:num="1">
            <w:col w:w="10584"/>
          </w:cols>
          <w:pgMar w:left="876" w:top="274" w:right="439" w:bottom="1440" w:gutter="0" w:footer="0" w:header="0"/>
        </w:sectPr>
      </w:pPr>
    </w:p>
    <w:bookmarkStart w:id="160" w:name="page161"/>
    <w:bookmarkEnd w:id="160"/>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4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have outstanding any Indebtedness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1100" w:hanging="241"/>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Loans and any other Obligation under this Agreement or under any other Loan Document;</w:t>
      </w:r>
    </w:p>
    <w:p>
      <w:pPr>
        <w:spacing w:after="0" w:line="117" w:lineRule="exact"/>
        <w:rPr>
          <w:rFonts w:ascii="Arial" w:cs="Arial" w:eastAsia="Arial" w:hAnsi="Arial"/>
          <w:sz w:val="18"/>
          <w:szCs w:val="18"/>
          <w:color w:val="auto"/>
        </w:rPr>
      </w:pPr>
    </w:p>
    <w:p>
      <w:pPr>
        <w:jc w:val="both"/>
        <w:ind w:left="440" w:right="80" w:firstLine="419"/>
        <w:spacing w:after="0" w:line="257" w:lineRule="auto"/>
        <w:tabs>
          <w:tab w:leader="none" w:pos="11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loans granted to or Indebtedness under Financing Lease Obligations entered into by the Borrower or any of its Subsidiaries for the purchase or lease of fixed assets and any Refinance Indebtedness in respect thereof permitted by clause (g) below, which loans and Indebtedness under Financing Lease Obligations shall only be secured by the fixed assets being purchased or leased, so long as the aggregate principal amount of all such loans and Indebtedness under Financing Lease Obligations for the Borrower and all of its Subsidiaries shall not exceed $20,000,000 at any time outstanding;</w:t>
      </w:r>
    </w:p>
    <w:p>
      <w:pPr>
        <w:spacing w:after="0" w:line="79" w:lineRule="exact"/>
        <w:rPr>
          <w:rFonts w:ascii="Arial" w:cs="Arial" w:eastAsia="Arial" w:hAnsi="Arial"/>
          <w:sz w:val="18"/>
          <w:szCs w:val="18"/>
          <w:color w:val="auto"/>
        </w:rPr>
      </w:pPr>
    </w:p>
    <w:p>
      <w:pPr>
        <w:ind w:left="1100" w:hanging="241"/>
        <w:spacing w:after="0"/>
        <w:tabs>
          <w:tab w:leader="none" w:pos="11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Indebtedness existing on the Closing Date, in addition to the other Indebtedness permitted to be incurred pursuant to this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hereto and any Refinance Indebtedness in respect thereof permitted by clause (g) below;</w:t>
      </w:r>
    </w:p>
    <w:p>
      <w:pPr>
        <w:spacing w:after="0" w:line="103" w:lineRule="exact"/>
        <w:rPr>
          <w:sz w:val="20"/>
          <w:szCs w:val="20"/>
          <w:color w:val="auto"/>
        </w:rPr>
      </w:pPr>
    </w:p>
    <w:p>
      <w:pPr>
        <w:ind w:left="440" w:right="40" w:firstLine="419"/>
        <w:spacing w:after="0" w:line="255" w:lineRule="auto"/>
        <w:tabs>
          <w:tab w:leader="none" w:pos="111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Indebtedness of (i) any Loan Party owing to any other Loan Party, (ii) any Subsidiary that is not a Loan Party owing to any other Subsidiary that is not a Loan Party, (iii) any Loan Party to any Subsidiary that is not a Loan Party (provided that such Indebtedness is subordinate to the Loans on terms reasonably satisfactory to the Administrative Agent) and (iv) any Subsidiary that is not a Loan Party owing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Indebtedness incurred pursuant to this </w:t>
      </w:r>
      <w:r>
        <w:rPr>
          <w:rFonts w:ascii="Arial" w:cs="Arial" w:eastAsia="Arial" w:hAnsi="Arial"/>
          <w:sz w:val="18"/>
          <w:szCs w:val="18"/>
          <w:u w:val="single" w:color="auto"/>
          <w:color w:val="auto"/>
        </w:rPr>
        <w:t>clause (d)(iv)</w:t>
      </w:r>
      <w:r>
        <w:rPr>
          <w:rFonts w:ascii="Arial" w:cs="Arial" w:eastAsia="Arial" w:hAnsi="Arial"/>
          <w:sz w:val="18"/>
          <w:szCs w:val="18"/>
          <w:color w:val="auto"/>
        </w:rPr>
        <w:t xml:space="preserve"> (including any outstanding amounts under the Non-Loan Party Investments Cap) shall not exceed $15,000,000 in any fiscal year and $50,000,000 during the term of this Agreement (this </w:t>
      </w:r>
      <w:r>
        <w:rPr>
          <w:rFonts w:ascii="Arial" w:cs="Arial" w:eastAsia="Arial" w:hAnsi="Arial"/>
          <w:sz w:val="18"/>
          <w:szCs w:val="18"/>
          <w:u w:val="single" w:color="auto"/>
          <w:color w:val="auto"/>
        </w:rPr>
        <w:t>clause (d)(iv)</w:t>
      </w:r>
      <w:r>
        <w:rPr>
          <w:rFonts w:ascii="Arial" w:cs="Arial" w:eastAsia="Arial" w:hAnsi="Arial"/>
          <w:sz w:val="18"/>
          <w:szCs w:val="18"/>
          <w:color w:val="auto"/>
        </w:rPr>
        <w:t>, the “</w:t>
      </w:r>
      <w:r>
        <w:rPr>
          <w:rFonts w:ascii="Arial" w:cs="Arial" w:eastAsia="Arial" w:hAnsi="Arial"/>
          <w:sz w:val="18"/>
          <w:szCs w:val="18"/>
          <w:u w:val="single" w:color="auto"/>
          <w:color w:val="auto"/>
        </w:rPr>
        <w:t>Non-Loan Party Debt Cap</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100" w:hanging="241"/>
        <w:spacing w:after="0"/>
        <w:tabs>
          <w:tab w:leader="none" w:pos="11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Incremental Term Loans permitted under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00" w:firstLine="419"/>
        <w:spacing w:after="0" w:line="308" w:lineRule="auto"/>
        <w:tabs>
          <w:tab w:leader="none" w:pos="108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Indebtedness under any Swap Contract, so long as such Swap Contract shall have been entered into in the ordinary course of business and not for speculative purposes and any Refinance Indebtedness in respect thereof permitted by clause (g) below;</w:t>
      </w:r>
    </w:p>
    <w:p>
      <w:pPr>
        <w:spacing w:after="0" w:line="38" w:lineRule="exact"/>
        <w:rPr>
          <w:rFonts w:ascii="Arial" w:cs="Arial" w:eastAsia="Arial" w:hAnsi="Arial"/>
          <w:sz w:val="17"/>
          <w:szCs w:val="17"/>
          <w:color w:val="auto"/>
        </w:rPr>
      </w:pPr>
    </w:p>
    <w:p>
      <w:pPr>
        <w:ind w:left="440" w:right="240" w:firstLine="419"/>
        <w:spacing w:after="0" w:line="291" w:lineRule="auto"/>
        <w:tabs>
          <w:tab w:leader="none" w:pos="111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Indebtedness that represents extensions, renewals, refinancing or replacements (such Indebtedness being so extended, renewed, refinanced or replaced being referred to herein as the “</w:t>
      </w:r>
      <w:r>
        <w:rPr>
          <w:rFonts w:ascii="Arial" w:cs="Arial" w:eastAsia="Arial" w:hAnsi="Arial"/>
          <w:sz w:val="16"/>
          <w:szCs w:val="16"/>
          <w:u w:val="single" w:color="auto"/>
          <w:color w:val="auto"/>
        </w:rPr>
        <w:t>Refinance Indebtedness</w:t>
      </w:r>
      <w:r>
        <w:rPr>
          <w:rFonts w:ascii="Arial" w:cs="Arial" w:eastAsia="Arial" w:hAnsi="Arial"/>
          <w:sz w:val="16"/>
          <w:szCs w:val="16"/>
          <w:color w:val="auto"/>
        </w:rPr>
        <w:t>”) of any of the Indebtedness described in clauses (b), (c), (f) and</w:t>
      </w:r>
    </w:p>
    <w:p>
      <w:pPr>
        <w:ind w:left="440" w:hanging="4"/>
        <w:spacing w:after="0" w:line="268" w:lineRule="auto"/>
        <w:tabs>
          <w:tab w:leader="none" w:pos="6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hereof (such Indebtedness being referred to herein as the “</w:t>
      </w:r>
      <w:r>
        <w:rPr>
          <w:rFonts w:ascii="Arial" w:cs="Arial" w:eastAsia="Arial" w:hAnsi="Arial"/>
          <w:sz w:val="17"/>
          <w:szCs w:val="17"/>
          <w:u w:val="single" w:color="auto"/>
          <w:color w:val="auto"/>
        </w:rPr>
        <w:t>Original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Obligations or the Guarantees thereof or Liens thereof, then the terms and conditions of such Refinance Indebtedness must include terms and conditions that are at least as favorable to the Administrative Agent and the Lenders as those that were applicable to such Original Indebtedness;</w:t>
      </w:r>
    </w:p>
    <w:p>
      <w:pPr>
        <w:spacing w:after="0" w:line="73" w:lineRule="exact"/>
        <w:rPr>
          <w:rFonts w:ascii="Arial" w:cs="Arial" w:eastAsia="Arial" w:hAnsi="Arial"/>
          <w:sz w:val="17"/>
          <w:szCs w:val="17"/>
          <w:color w:val="auto"/>
        </w:rPr>
      </w:pPr>
    </w:p>
    <w:p>
      <w:pPr>
        <w:ind w:left="1120" w:hanging="261"/>
        <w:spacing w:after="0"/>
        <w:tabs>
          <w:tab w:leader="none" w:pos="112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Indebtedness incurred in connection with the financing of insurance premiums, not to exceed $5,000,000 at any time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161" w:name="page162"/>
    <w:bookmarkEnd w:id="161"/>
    <w:p>
      <w:pPr>
        <w:ind w:left="4" w:right="140" w:firstLine="419"/>
        <w:spacing w:after="0" w:line="287" w:lineRule="auto"/>
        <w:tabs>
          <w:tab w:leader="none" w:pos="641" w:val="left"/>
        </w:tabs>
        <w:numPr>
          <w:ilvl w:val="1"/>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contingent obligations consisting of Guarantees executed by (i) any Loan Party with respect to Indebtedness otherwise permitted by this Agreement and (ii) any Subsidiary with respect to any Indebtedness of a Subsidiary otherwise permitted by this Agreement (provided that Guarantees by the Borrower or any other Loan Party of Indebtedness of any Subsidiary that is not a Loan Party shall be subject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7.02(d));</w:t>
      </w:r>
    </w:p>
    <w:p>
      <w:pPr>
        <w:spacing w:after="0" w:line="102" w:lineRule="exact"/>
        <w:rPr>
          <w:rFonts w:ascii="Arial" w:cs="Arial" w:eastAsia="Arial" w:hAnsi="Arial"/>
          <w:sz w:val="16"/>
          <w:szCs w:val="16"/>
          <w:color w:val="auto"/>
        </w:rPr>
      </w:pPr>
    </w:p>
    <w:p>
      <w:pPr>
        <w:ind w:left="4" w:right="160" w:firstLine="419"/>
        <w:spacing w:after="0" w:line="277" w:lineRule="auto"/>
        <w:tabs>
          <w:tab w:leader="none" w:pos="64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Indebtedness of any Loan Party in respect of performance bonds, bid bonds, appeal bonds, surety bonds and similar obligations, in each case provided in the ordinary course of business;</w:t>
      </w:r>
    </w:p>
    <w:p>
      <w:pPr>
        <w:spacing w:after="0" w:line="62" w:lineRule="exact"/>
        <w:rPr>
          <w:rFonts w:ascii="Arial" w:cs="Arial" w:eastAsia="Arial" w:hAnsi="Arial"/>
          <w:sz w:val="18"/>
          <w:szCs w:val="18"/>
          <w:color w:val="auto"/>
        </w:rPr>
      </w:pPr>
    </w:p>
    <w:p>
      <w:pPr>
        <w:ind w:left="4" w:right="300" w:firstLine="419"/>
        <w:spacing w:after="0" w:line="263" w:lineRule="auto"/>
        <w:tabs>
          <w:tab w:leader="none" w:pos="68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so long as the ABL Facility is subject to the terms and conditions of the ABL Intercreditor Agreement, Indebtedness in respect of the ABL Facility in an aggregate principal amount not to exceed the ABL Cap (as defined in the ABL Intercreditor Agreement) at any time outstanding and any permitted Refinancing (as defined in the ABL Intercreditor Agreement);</w:t>
      </w:r>
    </w:p>
    <w:p>
      <w:pPr>
        <w:spacing w:after="0" w:line="75" w:lineRule="exact"/>
        <w:rPr>
          <w:rFonts w:ascii="Arial" w:cs="Arial" w:eastAsia="Arial" w:hAnsi="Arial"/>
          <w:sz w:val="18"/>
          <w:szCs w:val="18"/>
          <w:color w:val="auto"/>
        </w:rPr>
      </w:pPr>
    </w:p>
    <w:p>
      <w:pPr>
        <w:ind w:left="4" w:firstLine="419"/>
        <w:spacing w:after="0" w:line="284" w:lineRule="auto"/>
        <w:tabs>
          <w:tab w:leader="none" w:pos="641"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Indebtedness of any Person that becomes a Subsidiary of the Borrower after the date hereof pursuant to an Acquisition permitted under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and any Refinance Indebtedness in respect thereof permitted by clause (g)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existing at the time such Person becomes a Subsidiary of the Borrower (and is not incurred in contemplation of such Person’s becoming a Subsidiary of the Borrower), (ii) no Event of Default has occurred and is continuing, (iii)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to the application of the proceeds thereof (but disregarding any costs constituting proceeds thereof for the purposes of netting), the Borrower and its Subsidiaries shall be in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compliance with the Financial Covenant and (iv) the aggregate principal amount of Indebtedness outstanding in reliance on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4" w:right="300" w:hanging="4"/>
        <w:spacing w:after="0" w:line="255" w:lineRule="auto"/>
        <w:tabs>
          <w:tab w:leader="none" w:pos="218" w:val="left"/>
        </w:tabs>
        <w:numPr>
          <w:ilvl w:val="0"/>
          <w:numId w:val="204"/>
        </w:numPr>
        <w:rPr>
          <w:rFonts w:ascii="Arial" w:cs="Arial" w:eastAsia="Arial" w:hAnsi="Arial"/>
          <w:sz w:val="18"/>
          <w:szCs w:val="18"/>
          <w:u w:val="single" w:color="auto"/>
          <w:color w:val="auto"/>
        </w:rPr>
      </w:pPr>
      <w:r>
        <w:rPr>
          <w:rFonts w:ascii="Arial" w:cs="Arial" w:eastAsia="Arial" w:hAnsi="Arial"/>
          <w:sz w:val="18"/>
          <w:szCs w:val="18"/>
          <w:color w:val="auto"/>
        </w:rPr>
        <w:t>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81" w:lineRule="exact"/>
        <w:rPr>
          <w:rFonts w:ascii="Arial" w:cs="Arial" w:eastAsia="Arial" w:hAnsi="Arial"/>
          <w:sz w:val="18"/>
          <w:szCs w:val="18"/>
          <w:u w:val="single" w:color="auto"/>
          <w:color w:val="auto"/>
        </w:rPr>
      </w:pPr>
    </w:p>
    <w:p>
      <w:pPr>
        <w:ind w:left="4" w:right="40" w:firstLine="419"/>
        <w:spacing w:after="0" w:line="301" w:lineRule="auto"/>
        <w:tabs>
          <w:tab w:leader="none" w:pos="73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for the Borrower and all of its Subsidiaries not to exceed $15,000,000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Indebtedness is secured, it may only be secured by a Lien on the Collateral that is junior to the Liens securing the Obligations and subject to (i) no Event of Default has occurred and is continuing and (ii)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to any Indebtedness incurred in connection therewith), the Borrower and its Subsidiaries shall be in compliance with Financial Covenant;</w:t>
      </w:r>
    </w:p>
    <w:p>
      <w:pPr>
        <w:spacing w:after="0" w:line="49" w:lineRule="exact"/>
        <w:rPr>
          <w:rFonts w:ascii="Arial" w:cs="Arial" w:eastAsia="Arial" w:hAnsi="Arial"/>
          <w:sz w:val="16"/>
          <w:szCs w:val="16"/>
          <w:color w:val="auto"/>
        </w:rPr>
      </w:pPr>
    </w:p>
    <w:p>
      <w:pPr>
        <w:ind w:left="4" w:right="60" w:firstLine="419"/>
        <w:spacing w:after="0" w:line="285" w:lineRule="auto"/>
        <w:tabs>
          <w:tab w:leader="none" w:pos="68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w:t>
      </w:r>
    </w:p>
    <w:p>
      <w:pPr>
        <w:spacing w:after="0" w:line="1" w:lineRule="exact"/>
        <w:rPr>
          <w:rFonts w:ascii="Arial" w:cs="Arial" w:eastAsia="Arial" w:hAnsi="Arial"/>
          <w:sz w:val="16"/>
          <w:szCs w:val="16"/>
          <w:color w:val="auto"/>
        </w:rPr>
      </w:pPr>
    </w:p>
    <w:p>
      <w:pPr>
        <w:ind w:left="4" w:right="60" w:hanging="4"/>
        <w:spacing w:after="0" w:line="253" w:lineRule="auto"/>
        <w:tabs>
          <w:tab w:leader="none" w:pos="3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landlords, licensors, licensees and other parties pursuant to agreements entered into in the ordinary course of business by the Borrower or any of its Subsidiaries, and (iv) other Persons under agreements relating to Acquisitions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foregoing is only permitted to the extent that such indemnity obligation is not incurred in connection with the borrowing of money or the extension of credit;</w:t>
      </w:r>
    </w:p>
    <w:p>
      <w:pPr>
        <w:spacing w:after="0" w:line="84" w:lineRule="exact"/>
        <w:rPr>
          <w:rFonts w:ascii="Arial" w:cs="Arial" w:eastAsia="Arial" w:hAnsi="Arial"/>
          <w:sz w:val="18"/>
          <w:szCs w:val="18"/>
          <w:color w:val="auto"/>
        </w:rPr>
      </w:pPr>
    </w:p>
    <w:p>
      <w:pPr>
        <w:ind w:left="4" w:right="520" w:firstLine="419"/>
        <w:spacing w:after="0" w:line="277" w:lineRule="auto"/>
        <w:tabs>
          <w:tab w:leader="none" w:pos="68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for the avoidance of doubt, any Indebtedness under any Qualified Receivables Transaction, not to exceed $20,000,000 at any time outstanding; and</w:t>
      </w:r>
    </w:p>
    <w:p>
      <w:pPr>
        <w:spacing w:after="0" w:line="62" w:lineRule="exact"/>
        <w:rPr>
          <w:rFonts w:ascii="Arial" w:cs="Arial" w:eastAsia="Arial" w:hAnsi="Arial"/>
          <w:sz w:val="18"/>
          <w:szCs w:val="18"/>
          <w:color w:val="auto"/>
        </w:rPr>
      </w:pPr>
    </w:p>
    <w:p>
      <w:pPr>
        <w:ind w:left="4" w:right="40" w:firstLine="419"/>
        <w:spacing w:after="0" w:line="263" w:lineRule="auto"/>
        <w:tabs>
          <w:tab w:leader="none" w:pos="68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64"/>
          </w:cols>
          <w:pgMar w:left="876" w:top="274"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7.03. </w:t>
      </w: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or hold any Investments except:</w:t>
      </w:r>
    </w:p>
    <w:p>
      <w:pPr>
        <w:spacing w:after="0" w:line="117" w:lineRule="exact"/>
        <w:rPr>
          <w:rFonts w:ascii="Arial" w:cs="Arial" w:eastAsia="Arial" w:hAnsi="Arial"/>
          <w:sz w:val="18"/>
          <w:szCs w:val="18"/>
          <w:color w:val="auto"/>
        </w:rPr>
      </w:pPr>
    </w:p>
    <w:p>
      <w:pPr>
        <w:ind w:left="540" w:right="340" w:firstLine="408"/>
        <w:spacing w:after="0" w:line="277" w:lineRule="auto"/>
        <w:tabs>
          <w:tab w:leader="none" w:pos="1156"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62" w:lineRule="exact"/>
        <w:rPr>
          <w:rFonts w:ascii="Arial" w:cs="Arial" w:eastAsia="Arial" w:hAnsi="Arial"/>
          <w:sz w:val="18"/>
          <w:szCs w:val="18"/>
          <w:color w:val="auto"/>
        </w:rPr>
      </w:pPr>
    </w:p>
    <w:p>
      <w:pPr>
        <w:ind w:left="540" w:right="200" w:firstLine="408"/>
        <w:spacing w:after="0" w:line="286" w:lineRule="auto"/>
        <w:tabs>
          <w:tab w:leader="none" w:pos="1206" w:val="left"/>
        </w:tabs>
        <w:numPr>
          <w:ilvl w:val="2"/>
          <w:numId w:val="206"/>
        </w:numPr>
        <w:rPr>
          <w:rFonts w:ascii="Arial" w:cs="Arial" w:eastAsia="Arial" w:hAnsi="Arial"/>
          <w:sz w:val="16"/>
          <w:szCs w:val="16"/>
          <w:color w:val="auto"/>
        </w:rPr>
      </w:pPr>
      <w:r>
        <w:rPr>
          <w:rFonts w:ascii="Arial" w:cs="Arial" w:eastAsia="Arial" w:hAnsi="Arial"/>
          <w:sz w:val="16"/>
          <w:szCs w:val="16"/>
          <w:color w:val="auto"/>
        </w:rPr>
        <w:t>any investment in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w:t>
      </w:r>
    </w:p>
    <w:p>
      <w:pPr>
        <w:spacing w:after="0" w:line="1" w:lineRule="exact"/>
        <w:rPr>
          <w:rFonts w:ascii="Arial" w:cs="Arial" w:eastAsia="Arial" w:hAnsi="Arial"/>
          <w:sz w:val="16"/>
          <w:szCs w:val="16"/>
          <w:color w:val="auto"/>
        </w:rPr>
      </w:pPr>
    </w:p>
    <w:p>
      <w:pPr>
        <w:ind w:left="540" w:firstLine="7"/>
        <w:spacing w:after="0" w:line="288" w:lineRule="auto"/>
        <w:tabs>
          <w:tab w:leader="none" w:pos="82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 (D) fully collateralized repurchase agreements with a term of not more than 30 days for securities described in clause (A) above and entered into with a financial institution satisfying the criteria described in clause (C) above, (E) 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60" w:lineRule="exact"/>
        <w:rPr>
          <w:rFonts w:ascii="Arial" w:cs="Arial" w:eastAsia="Arial" w:hAnsi="Arial"/>
          <w:sz w:val="16"/>
          <w:szCs w:val="16"/>
          <w:color w:val="auto"/>
        </w:rPr>
      </w:pPr>
    </w:p>
    <w:p>
      <w:pPr>
        <w:ind w:left="540" w:right="140" w:firstLine="408"/>
        <w:spacing w:after="0" w:line="259" w:lineRule="auto"/>
        <w:tabs>
          <w:tab w:leader="none" w:pos="1256" w:val="left"/>
        </w:tabs>
        <w:numPr>
          <w:ilvl w:val="2"/>
          <w:numId w:val="207"/>
        </w:numPr>
        <w:rPr>
          <w:rFonts w:ascii="Arial" w:cs="Arial" w:eastAsia="Arial" w:hAnsi="Arial"/>
          <w:sz w:val="18"/>
          <w:szCs w:val="18"/>
          <w:color w:val="auto"/>
        </w:rPr>
      </w:pPr>
      <w:r>
        <w:rPr>
          <w:rFonts w:ascii="Arial" w:cs="Arial" w:eastAsia="Arial" w:hAnsi="Arial"/>
          <w:sz w:val="18"/>
          <w:szCs w:val="18"/>
          <w:color w:val="auto"/>
        </w:rPr>
        <w:t xml:space="preserve">the holding of each of the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40" w:right="340" w:firstLine="408"/>
        <w:spacing w:after="0" w:line="342" w:lineRule="auto"/>
        <w:tabs>
          <w:tab w:leader="none" w:pos="1246" w:val="left"/>
        </w:tabs>
        <w:numPr>
          <w:ilvl w:val="2"/>
          <w:numId w:val="207"/>
        </w:numPr>
        <w:rPr>
          <w:rFonts w:ascii="Arial" w:cs="Arial" w:eastAsia="Arial" w:hAnsi="Arial"/>
          <w:sz w:val="16"/>
          <w:szCs w:val="16"/>
          <w:color w:val="auto"/>
        </w:rPr>
      </w:pPr>
      <w:r>
        <w:rPr>
          <w:rFonts w:ascii="Arial" w:cs="Arial" w:eastAsia="Arial" w:hAnsi="Arial"/>
          <w:sz w:val="16"/>
          <w:szCs w:val="16"/>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5" w:lineRule="exact"/>
        <w:rPr>
          <w:rFonts w:ascii="Arial" w:cs="Arial" w:eastAsia="Arial" w:hAnsi="Arial"/>
          <w:sz w:val="16"/>
          <w:szCs w:val="16"/>
          <w:color w:val="auto"/>
        </w:rPr>
      </w:pPr>
    </w:p>
    <w:p>
      <w:pPr>
        <w:ind w:left="540" w:right="140" w:firstLine="408"/>
        <w:spacing w:after="0" w:line="296" w:lineRule="auto"/>
        <w:tabs>
          <w:tab w:leader="none" w:pos="1196" w:val="left"/>
        </w:tabs>
        <w:numPr>
          <w:ilvl w:val="2"/>
          <w:numId w:val="207"/>
        </w:numPr>
        <w:rPr>
          <w:rFonts w:ascii="Arial" w:cs="Arial" w:eastAsia="Arial" w:hAnsi="Arial"/>
          <w:sz w:val="16"/>
          <w:szCs w:val="16"/>
          <w:color w:val="auto"/>
        </w:rPr>
      </w:pPr>
      <w:r>
        <w:rPr>
          <w:rFonts w:ascii="Arial" w:cs="Arial" w:eastAsia="Arial" w:hAnsi="Arial"/>
          <w:sz w:val="16"/>
          <w:szCs w:val="16"/>
          <w:color w:val="auto"/>
        </w:rPr>
        <w:t xml:space="preserve">Investments, including a guaranty of Indebtedness by (i) any Loan Party in any other Loan Party, (ii) any Subsidiary that is not a Loan Party in any other Subsidiary that is not a Loan Party, (iii) any Subsidiary that is not a Loan Party in any Loan Party and (iv) any Loan Party in any other Subsidiary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all Investments incurred pursuant to this </w:t>
      </w:r>
      <w:r>
        <w:rPr>
          <w:rFonts w:ascii="Arial" w:cs="Arial" w:eastAsia="Arial" w:hAnsi="Arial"/>
          <w:sz w:val="16"/>
          <w:szCs w:val="16"/>
          <w:u w:val="single" w:color="auto"/>
          <w:color w:val="auto"/>
        </w:rPr>
        <w:t>clause (a)(v)</w:t>
      </w:r>
      <w:r>
        <w:rPr>
          <w:rFonts w:ascii="Arial" w:cs="Arial" w:eastAsia="Arial" w:hAnsi="Arial"/>
          <w:sz w:val="16"/>
          <w:szCs w:val="16"/>
          <w:color w:val="auto"/>
        </w:rPr>
        <w:t xml:space="preserve"> (including any outstanding amounts under the Non-Loan Party Debt Cap) shall not exceed $15,000,000 in any fiscal year and $50,000,000 during the term of this Agreement (this </w:t>
      </w:r>
      <w:r>
        <w:rPr>
          <w:rFonts w:ascii="Arial" w:cs="Arial" w:eastAsia="Arial" w:hAnsi="Arial"/>
          <w:sz w:val="16"/>
          <w:szCs w:val="16"/>
          <w:u w:val="single" w:color="auto"/>
          <w:color w:val="auto"/>
        </w:rPr>
        <w:t>clause (a)(v)(iv)</w:t>
      </w:r>
      <w:r>
        <w:rPr>
          <w:rFonts w:ascii="Arial" w:cs="Arial" w:eastAsia="Arial" w:hAnsi="Arial"/>
          <w:sz w:val="16"/>
          <w:szCs w:val="16"/>
          <w:color w:val="auto"/>
        </w:rPr>
        <w:t>, the “</w:t>
      </w:r>
      <w:r>
        <w:rPr>
          <w:rFonts w:ascii="Arial" w:cs="Arial" w:eastAsia="Arial" w:hAnsi="Arial"/>
          <w:sz w:val="16"/>
          <w:szCs w:val="16"/>
          <w:u w:val="single" w:color="auto"/>
          <w:color w:val="auto"/>
        </w:rPr>
        <w:t>Non-Loan Party Investments Cap</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1260" w:hanging="312"/>
        <w:spacing w:after="0"/>
        <w:tabs>
          <w:tab w:leader="none" w:pos="126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investments received in connection with Dispositions permitted by Section 7.05;</w:t>
      </w:r>
    </w:p>
    <w:p>
      <w:pPr>
        <w:spacing w:after="0" w:line="117" w:lineRule="exact"/>
        <w:rPr>
          <w:rFonts w:ascii="Arial" w:cs="Arial" w:eastAsia="Arial" w:hAnsi="Arial"/>
          <w:sz w:val="18"/>
          <w:szCs w:val="18"/>
          <w:color w:val="auto"/>
        </w:rPr>
      </w:pPr>
    </w:p>
    <w:p>
      <w:pPr>
        <w:ind w:left="540" w:right="380" w:firstLine="408"/>
        <w:spacing w:after="0" w:line="286" w:lineRule="auto"/>
        <w:tabs>
          <w:tab w:leader="none" w:pos="1296" w:val="left"/>
        </w:tabs>
        <w:numPr>
          <w:ilvl w:val="2"/>
          <w:numId w:val="207"/>
        </w:numPr>
        <w:rPr>
          <w:rFonts w:ascii="Arial" w:cs="Arial" w:eastAsia="Arial" w:hAnsi="Arial"/>
          <w:sz w:val="17"/>
          <w:szCs w:val="17"/>
          <w:color w:val="auto"/>
        </w:rPr>
      </w:pPr>
      <w:r>
        <w:rPr>
          <w:rFonts w:ascii="Arial" w:cs="Arial" w:eastAsia="Arial" w:hAnsi="Arial"/>
          <w:sz w:val="17"/>
          <w:szCs w:val="17"/>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57" w:lineRule="exact"/>
        <w:rPr>
          <w:rFonts w:ascii="Arial" w:cs="Arial" w:eastAsia="Arial" w:hAnsi="Arial"/>
          <w:sz w:val="17"/>
          <w:szCs w:val="17"/>
          <w:color w:val="auto"/>
        </w:rPr>
      </w:pPr>
    </w:p>
    <w:p>
      <w:pPr>
        <w:ind w:left="1360" w:hanging="412"/>
        <w:spacing w:after="0"/>
        <w:tabs>
          <w:tab w:leader="none" w:pos="1360" w:val="left"/>
        </w:tabs>
        <w:numPr>
          <w:ilvl w:val="2"/>
          <w:numId w:val="207"/>
        </w:numPr>
        <w:rPr>
          <w:rFonts w:ascii="Arial" w:cs="Arial" w:eastAsia="Arial" w:hAnsi="Arial"/>
          <w:sz w:val="17"/>
          <w:szCs w:val="17"/>
          <w:color w:val="auto"/>
        </w:rPr>
      </w:pPr>
      <w:r>
        <w:rPr>
          <w:rFonts w:ascii="Arial" w:cs="Arial" w:eastAsia="Arial" w:hAnsi="Arial"/>
          <w:sz w:val="17"/>
          <w:szCs w:val="17"/>
          <w:color w:val="auto"/>
        </w:rPr>
        <w:t xml:space="preserve">the holding of any Equity Interests that has been acquired pursuant to an Acquisition permitted by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hereof;</w:t>
      </w:r>
    </w:p>
    <w:p>
      <w:pPr>
        <w:spacing w:after="0" w:line="128" w:lineRule="exact"/>
        <w:rPr>
          <w:rFonts w:ascii="Arial" w:cs="Arial" w:eastAsia="Arial" w:hAnsi="Arial"/>
          <w:sz w:val="17"/>
          <w:szCs w:val="17"/>
          <w:color w:val="auto"/>
        </w:rPr>
      </w:pPr>
    </w:p>
    <w:p>
      <w:pPr>
        <w:ind w:left="540" w:right="140" w:firstLine="408"/>
        <w:spacing w:after="0" w:line="263" w:lineRule="auto"/>
        <w:tabs>
          <w:tab w:leader="none" w:pos="1246" w:val="left"/>
        </w:tabs>
        <w:numPr>
          <w:ilvl w:val="2"/>
          <w:numId w:val="207"/>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or the holding of any Subsidiary as a result of an Acquisition made pursuant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so long as, in each case, if required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such Subsidiary becomes a Guarantor promptly following such Acquisition;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80"/>
          </w:cols>
          <w:pgMar w:left="880" w:top="274" w:right="439" w:bottom="1440" w:gutter="0" w:footer="0" w:header="0"/>
        </w:sectPr>
      </w:pPr>
    </w:p>
    <w:bookmarkStart w:id="163" w:name="page164"/>
    <w:bookmarkEnd w:id="163"/>
    <w:p>
      <w:pPr>
        <w:ind w:left="980" w:right="560" w:firstLine="408"/>
        <w:spacing w:after="0" w:line="277" w:lineRule="auto"/>
        <w:tabs>
          <w:tab w:leader="none" w:pos="16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Investments existing on the Closing Date, in addition to the other Investments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80" w:right="200" w:firstLine="408"/>
        <w:spacing w:after="0" w:line="263" w:lineRule="auto"/>
        <w:tabs>
          <w:tab w:leader="none" w:pos="16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5" w:lineRule="exact"/>
        <w:rPr>
          <w:rFonts w:ascii="Arial" w:cs="Arial" w:eastAsia="Arial" w:hAnsi="Arial"/>
          <w:sz w:val="18"/>
          <w:szCs w:val="18"/>
          <w:color w:val="auto"/>
        </w:rPr>
      </w:pPr>
    </w:p>
    <w:p>
      <w:pPr>
        <w:ind w:left="1740" w:hanging="352"/>
        <w:spacing w:after="0"/>
        <w:tabs>
          <w:tab w:leader="none" w:pos="1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80" w:right="320" w:firstLine="408"/>
        <w:spacing w:after="0" w:line="263" w:lineRule="auto"/>
        <w:tabs>
          <w:tab w:leader="none" w:pos="178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Investments in Wuxi Weifu Autocam Precision Machinery Components Co., Ltd. (the “</w:t>
      </w:r>
      <w:r>
        <w:rPr>
          <w:rFonts w:ascii="Arial" w:cs="Arial" w:eastAsia="Arial" w:hAnsi="Arial"/>
          <w:sz w:val="18"/>
          <w:szCs w:val="18"/>
          <w:u w:val="single" w:color="auto"/>
          <w:color w:val="auto"/>
        </w:rPr>
        <w:t>Wuxi Weifu JV</w:t>
      </w:r>
      <w:r>
        <w:rPr>
          <w:rFonts w:ascii="Arial" w:cs="Arial" w:eastAsia="Arial" w:hAnsi="Arial"/>
          <w:sz w:val="18"/>
          <w:szCs w:val="18"/>
          <w:color w:val="auto"/>
        </w:rPr>
        <w:t>”), so long as (A) no Default has occurred and is continuing or would result therefrom and (B) the aggregate amount of such Investments is limited to those made using reinvestment dividends or other distributions received from the Wuxi Weifu JV;</w:t>
      </w:r>
    </w:p>
    <w:p>
      <w:pPr>
        <w:spacing w:after="0" w:line="75" w:lineRule="exact"/>
        <w:rPr>
          <w:rFonts w:ascii="Arial" w:cs="Arial" w:eastAsia="Arial" w:hAnsi="Arial"/>
          <w:sz w:val="18"/>
          <w:szCs w:val="18"/>
          <w:color w:val="auto"/>
        </w:rPr>
      </w:pPr>
    </w:p>
    <w:p>
      <w:pPr>
        <w:ind w:left="980" w:right="100" w:firstLine="408"/>
        <w:spacing w:after="0" w:line="277" w:lineRule="auto"/>
        <w:tabs>
          <w:tab w:leader="none" w:pos="17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Investments in the form of a Swap Contract, so long as such Swap Contract shall have been entered into in the ordinary course of business and not for speculative purposes;</w:t>
      </w:r>
    </w:p>
    <w:p>
      <w:pPr>
        <w:spacing w:after="0" w:line="62" w:lineRule="exact"/>
        <w:rPr>
          <w:rFonts w:ascii="Arial" w:cs="Arial" w:eastAsia="Arial" w:hAnsi="Arial"/>
          <w:sz w:val="18"/>
          <w:szCs w:val="18"/>
          <w:color w:val="auto"/>
        </w:rPr>
      </w:pPr>
    </w:p>
    <w:p>
      <w:pPr>
        <w:ind w:left="980" w:right="80" w:firstLine="408"/>
        <w:spacing w:after="0" w:line="259" w:lineRule="auto"/>
        <w:tabs>
          <w:tab w:leader="none" w:pos="172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840" w:hanging="452"/>
        <w:spacing w:after="0"/>
        <w:tabs>
          <w:tab w:leader="none" w:pos="18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other Investments constituting Acquisitions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80" w:hanging="492"/>
        <w:spacing w:after="0"/>
        <w:tabs>
          <w:tab w:leader="none" w:pos="18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investments constituting deposits described in Section 7.01(h) and Section 7.01(q).</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the amount of any Investment in Equity Interests shall be based upon the initial amount invested and shall not include any appreciation in value or return on such investment.</w:t>
      </w:r>
    </w:p>
    <w:p>
      <w:pPr>
        <w:spacing w:after="0" w:line="62" w:lineRule="exact"/>
        <w:rPr>
          <w:sz w:val="20"/>
          <w:szCs w:val="20"/>
          <w:color w:val="auto"/>
        </w:rPr>
      </w:pPr>
    </w:p>
    <w:p>
      <w:pPr>
        <w:jc w:val="both"/>
        <w:ind w:left="440" w:right="160" w:firstLine="419"/>
        <w:spacing w:after="0" w:line="263" w:lineRule="auto"/>
        <w:tabs>
          <w:tab w:leader="none" w:pos="111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Effect an Acquisition (other than any Acquisition permitted under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exist prior to or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Indebtedness incurred in connection therewith), the Borrower and its Subsidiaries may make</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 Acquisition so long as:</w:t>
      </w:r>
    </w:p>
    <w:p>
      <w:pPr>
        <w:spacing w:after="0" w:line="117" w:lineRule="exact"/>
        <w:rPr>
          <w:rFonts w:ascii="Arial" w:cs="Arial" w:eastAsia="Arial" w:hAnsi="Arial"/>
          <w:sz w:val="18"/>
          <w:szCs w:val="18"/>
          <w:color w:val="auto"/>
        </w:rPr>
      </w:pPr>
    </w:p>
    <w:p>
      <w:pPr>
        <w:ind w:left="2040" w:hanging="229"/>
        <w:spacing w:after="0"/>
        <w:tabs>
          <w:tab w:leader="none" w:pos="2040" w:val="left"/>
        </w:tabs>
        <w:numPr>
          <w:ilvl w:val="2"/>
          <w:numId w:val="209"/>
        </w:numPr>
        <w:rPr>
          <w:rFonts w:ascii="Arial" w:cs="Arial" w:eastAsia="Arial" w:hAnsi="Arial"/>
          <w:sz w:val="17"/>
          <w:szCs w:val="17"/>
          <w:color w:val="auto"/>
        </w:rPr>
      </w:pPr>
      <w:r>
        <w:rPr>
          <w:rFonts w:ascii="Arial" w:cs="Arial" w:eastAsia="Arial" w:hAnsi="Arial"/>
          <w:sz w:val="17"/>
          <w:szCs w:val="17"/>
          <w:color w:val="auto"/>
        </w:rPr>
        <w:t>in the case of a merger, amalgamation or other combination including the Borrower, the Borrower shall be the surviving</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entity;</w:t>
      </w:r>
    </w:p>
    <w:p>
      <w:pPr>
        <w:spacing w:after="0" w:line="102" w:lineRule="exact"/>
        <w:rPr>
          <w:rFonts w:ascii="Arial" w:cs="Arial" w:eastAsia="Arial" w:hAnsi="Arial"/>
          <w:sz w:val="17"/>
          <w:szCs w:val="17"/>
          <w:color w:val="auto"/>
        </w:rPr>
      </w:pPr>
    </w:p>
    <w:p>
      <w:pPr>
        <w:ind w:left="1420" w:right="100" w:firstLine="391"/>
        <w:spacing w:after="0" w:line="277" w:lineRule="auto"/>
        <w:tabs>
          <w:tab w:leader="none" w:pos="2013" w:val="left"/>
        </w:tabs>
        <w:numPr>
          <w:ilvl w:val="2"/>
          <w:numId w:val="209"/>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Loan Party (other than the Borrower), a Loan Party shall be the surviving entity;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164" w:name="page165"/>
    <w:bookmarkEnd w:id="164"/>
    <w:p>
      <w:pPr>
        <w:ind w:left="1420" w:right="40" w:firstLine="38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the business to be acquired shall be similar to the lines of business of the Borrower and its Subsidiaries or reasonably related and/or complementary or ancillary to such lines of business and reasonable extensions and expansions thereof;</w:t>
      </w:r>
    </w:p>
    <w:p>
      <w:pPr>
        <w:spacing w:after="0" w:line="38" w:lineRule="exact"/>
        <w:rPr>
          <w:sz w:val="20"/>
          <w:szCs w:val="20"/>
          <w:color w:val="auto"/>
        </w:rPr>
      </w:pPr>
    </w:p>
    <w:p>
      <w:pPr>
        <w:ind w:left="1420" w:right="180" w:firstLine="383"/>
        <w:spacing w:after="0" w:line="277" w:lineRule="auto"/>
        <w:rPr>
          <w:sz w:val="20"/>
          <w:szCs w:val="20"/>
          <w:color w:val="auto"/>
        </w:rPr>
      </w:pPr>
      <w:r>
        <w:rPr>
          <w:rFonts w:ascii="Arial" w:cs="Arial" w:eastAsia="Arial" w:hAnsi="Arial"/>
          <w:sz w:val="18"/>
          <w:szCs w:val="18"/>
          <w:color w:val="auto"/>
        </w:rPr>
        <w:t>D. the Borrower and its Subsidiaries shall be in full compliance with the Loan Documents both prior to and subsequent to the transaction;</w:t>
      </w:r>
    </w:p>
    <w:p>
      <w:pPr>
        <w:spacing w:after="0" w:line="62" w:lineRule="exact"/>
        <w:rPr>
          <w:sz w:val="20"/>
          <w:szCs w:val="20"/>
          <w:color w:val="auto"/>
        </w:rPr>
      </w:pPr>
    </w:p>
    <w:p>
      <w:pPr>
        <w:ind w:left="1420" w:right="20" w:firstLine="383"/>
        <w:spacing w:after="0" w:line="277" w:lineRule="auto"/>
        <w:rPr>
          <w:sz w:val="20"/>
          <w:szCs w:val="20"/>
          <w:color w:val="auto"/>
        </w:rPr>
      </w:pPr>
      <w:r>
        <w:rPr>
          <w:rFonts w:ascii="Arial" w:cs="Arial" w:eastAsia="Arial" w:hAnsi="Arial"/>
          <w:sz w:val="18"/>
          <w:szCs w:val="18"/>
          <w:color w:val="auto"/>
        </w:rPr>
        <w:t>E. such Acquisition shall not be actively opposed by the board of directors (or similar governing body) of the selling Persons or the Persons whose equity interests are to be acquired;</w:t>
      </w:r>
    </w:p>
    <w:p>
      <w:pPr>
        <w:spacing w:after="0" w:line="62" w:lineRule="exact"/>
        <w:rPr>
          <w:sz w:val="20"/>
          <w:szCs w:val="20"/>
          <w:color w:val="auto"/>
        </w:rPr>
      </w:pPr>
    </w:p>
    <w:p>
      <w:pPr>
        <w:ind w:left="1420" w:right="240" w:firstLine="383"/>
        <w:spacing w:after="0" w:line="277" w:lineRule="auto"/>
        <w:rPr>
          <w:sz w:val="20"/>
          <w:szCs w:val="20"/>
          <w:color w:val="auto"/>
        </w:rPr>
      </w:pPr>
      <w:r>
        <w:rPr>
          <w:rFonts w:ascii="Arial" w:cs="Arial" w:eastAsia="Arial" w:hAnsi="Arial"/>
          <w:sz w:val="18"/>
          <w:szCs w:val="18"/>
          <w:color w:val="auto"/>
        </w:rPr>
        <w:t xml:space="preserve">F.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(and to any Indebtedness incurred in connection therewith), the Borrower and its Subsidiaries shall be in compliance with the Financial Covenant;</w:t>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(ii) other Acquisitions constituting Investments permitted by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Following any Acquisition permitted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 to the extent required under the Loan Documents, the acquired Person shall take the necessary steps to become a Guarantor hereunder and to comply with the Guarantee and Collateral requirements in accordance with the Loan Documents.</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Dissolve, liquidate, merge, amalgamate or consolidate with or into any other Person, except that, if at the time thereof and immediately after giving effect thereto, no Event of Default shall have occurred and be continuing:</w:t>
      </w:r>
    </w:p>
    <w:p>
      <w:pPr>
        <w:spacing w:after="0" w:line="62" w:lineRule="exact"/>
        <w:rPr>
          <w:sz w:val="20"/>
          <w:szCs w:val="20"/>
          <w:color w:val="auto"/>
        </w:rPr>
      </w:pPr>
    </w:p>
    <w:p>
      <w:pPr>
        <w:ind w:left="440" w:right="400" w:firstLine="419"/>
        <w:spacing w:after="0" w:line="342" w:lineRule="auto"/>
        <w:tabs>
          <w:tab w:leader="none" w:pos="110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 Domestic Subsidiary may merge, amalgamate or consolidate with or into (i)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the continuing or surviving Person), or (ii) any one or more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Guarantor shall be the continuing or surviving Person);</w:t>
      </w:r>
    </w:p>
    <w:p>
      <w:pPr>
        <w:spacing w:after="0" w:line="15" w:lineRule="exact"/>
        <w:rPr>
          <w:rFonts w:ascii="Arial" w:cs="Arial" w:eastAsia="Arial" w:hAnsi="Arial"/>
          <w:sz w:val="16"/>
          <w:szCs w:val="16"/>
          <w:color w:val="auto"/>
        </w:rPr>
      </w:pPr>
    </w:p>
    <w:p>
      <w:pPr>
        <w:ind w:left="440" w:right="400" w:firstLine="419"/>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Domestic Subsidiary (other than a Loan Party) may merge, amalgamate or consolidate with or into any other Domestic Subsidiary (other than a Loan Party);</w:t>
      </w:r>
    </w:p>
    <w:p>
      <w:pPr>
        <w:spacing w:after="0" w:line="62" w:lineRule="exact"/>
        <w:rPr>
          <w:rFonts w:ascii="Arial" w:cs="Arial" w:eastAsia="Arial" w:hAnsi="Arial"/>
          <w:sz w:val="18"/>
          <w:szCs w:val="18"/>
          <w:color w:val="auto"/>
        </w:rPr>
      </w:pPr>
    </w:p>
    <w:p>
      <w:pPr>
        <w:ind w:left="440" w:right="380" w:firstLine="419"/>
        <w:spacing w:after="0" w:line="263" w:lineRule="auto"/>
        <w:tabs>
          <w:tab w:leader="none" w:pos="110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Foreign Subsidiary may merge, amalgamate or consolidate with or into another Foreign Subsidiary or the Borrower or a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merger, amalgamation or consolidation involving the Borrower or a Guarantor, the Borrower or Guarantor shall be the continuing or surviving Person);</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Acquisitions may be effected in accordance with the provisions of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hereof.</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other than in the ordinary course of business, except that:</w:t>
      </w:r>
    </w:p>
    <w:p>
      <w:pPr>
        <w:spacing w:after="0" w:line="62" w:lineRule="exact"/>
        <w:rPr>
          <w:sz w:val="20"/>
          <w:szCs w:val="20"/>
          <w:color w:val="auto"/>
        </w:rPr>
      </w:pPr>
    </w:p>
    <w:p>
      <w:pPr>
        <w:ind w:left="1100" w:hanging="241"/>
        <w:spacing w:after="0"/>
        <w:tabs>
          <w:tab w:leader="none" w:pos="11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Loan Party may sell, lease, transfer or otherwise dispose of any of its assets to any other Loan Party;</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and its Subsidiaries may Dispose of any assets which are immaterial to the business of the Borrower and to the extent such Dispositions are made in the ordinary course;</w:t>
      </w:r>
    </w:p>
    <w:p>
      <w:pPr>
        <w:spacing w:after="0" w:line="62" w:lineRule="exact"/>
        <w:rPr>
          <w:rFonts w:ascii="Arial" w:cs="Arial" w:eastAsia="Arial" w:hAnsi="Arial"/>
          <w:sz w:val="18"/>
          <w:szCs w:val="18"/>
          <w:color w:val="auto"/>
        </w:rPr>
      </w:pPr>
    </w:p>
    <w:p>
      <w:pPr>
        <w:ind w:left="440" w:right="120" w:firstLine="419"/>
        <w:spacing w:after="0" w:line="263" w:lineRule="auto"/>
        <w:tabs>
          <w:tab w:leader="none" w:pos="11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 Domestic Subsidiary (other than a Loan Party) may Dispose of any of its assets to the Borrower or any other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to a Loan Party such Disposition shall not be for more than the fair market value of the assets that are the subject of such Disposition;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65" w:name="page166"/>
    <w:bookmarkEnd w:id="165"/>
    <w:p>
      <w:pPr>
        <w:ind w:right="220" w:firstLine="419"/>
        <w:spacing w:after="0" w:line="277" w:lineRule="auto"/>
        <w:tabs>
          <w:tab w:leader="none" w:pos="6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Foreign Subsidiary may Dispose of any of its assets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shall not be for more than the fair market value of the assets that are the subject of such Disposition;</w:t>
      </w:r>
    </w:p>
    <w:p>
      <w:pPr>
        <w:spacing w:after="0" w:line="62" w:lineRule="exact"/>
        <w:rPr>
          <w:rFonts w:ascii="Arial" w:cs="Arial" w:eastAsia="Arial" w:hAnsi="Arial"/>
          <w:sz w:val="18"/>
          <w:szCs w:val="18"/>
          <w:color w:val="auto"/>
        </w:rPr>
      </w:pPr>
    </w:p>
    <w:p>
      <w:pPr>
        <w:ind w:left="660" w:hanging="241"/>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19"/>
        <w:spacing w:after="0" w:line="259" w:lineRule="auto"/>
        <w:tabs>
          <w:tab w:leader="none" w:pos="64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sell, transfer or otherwise dispose of fixed assets in the ordinary course of business for the purpose of replacing such fixed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fixed assets are replaced within one hundred eighty (180) days of such sale or other disposition with other fixed assets that have a fair market value not materially less than the fair market value of the fixed assets sold or otherwise disposed;</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Foreign Subsidiary may Dispose of any of its assets to any other Foreign Subsidiary;</w:t>
      </w:r>
    </w:p>
    <w:p>
      <w:pPr>
        <w:spacing w:after="0" w:line="117" w:lineRule="exact"/>
        <w:rPr>
          <w:rFonts w:ascii="Arial" w:cs="Arial" w:eastAsia="Arial" w:hAnsi="Arial"/>
          <w:sz w:val="18"/>
          <w:szCs w:val="18"/>
          <w:color w:val="auto"/>
        </w:rPr>
      </w:pPr>
    </w:p>
    <w:p>
      <w:pPr>
        <w:ind w:right="40" w:firstLine="419"/>
        <w:spacing w:after="0" w:line="277" w:lineRule="auto"/>
        <w:tabs>
          <w:tab w:leader="none" w:pos="6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Dispositions of Accounts in connection with the compromise, settlement or collection thereof the ordinary course of business, consistent with past practices;</w:t>
      </w:r>
    </w:p>
    <w:p>
      <w:pPr>
        <w:spacing w:after="0" w:line="62" w:lineRule="exact"/>
        <w:rPr>
          <w:rFonts w:ascii="Arial" w:cs="Arial" w:eastAsia="Arial" w:hAnsi="Arial"/>
          <w:sz w:val="18"/>
          <w:szCs w:val="18"/>
          <w:color w:val="auto"/>
        </w:rPr>
      </w:pPr>
    </w:p>
    <w:p>
      <w:pPr>
        <w:ind w:right="40" w:firstLine="419"/>
        <w:spacing w:after="0" w:line="275" w:lineRule="auto"/>
        <w:tabs>
          <w:tab w:leader="none" w:pos="63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Dispositions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(iii) after giving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effect to such Disposition, the Borrower and its Subsidiaries shall be</w:t>
      </w:r>
      <w:r>
        <w:rPr>
          <w:rFonts w:ascii="Arial" w:cs="Arial" w:eastAsia="Arial" w:hAnsi="Arial"/>
          <w:sz w:val="17"/>
          <w:szCs w:val="17"/>
          <w:i w:val="1"/>
          <w:iCs w:val="1"/>
          <w:color w:val="auto"/>
        </w:rPr>
        <w:t xml:space="preserve"> pro forma </w:t>
      </w:r>
      <w:r>
        <w:rPr>
          <w:rFonts w:ascii="Arial" w:cs="Arial" w:eastAsia="Arial" w:hAnsi="Arial"/>
          <w:sz w:val="17"/>
          <w:szCs w:val="17"/>
          <w:color w:val="auto"/>
        </w:rPr>
        <w:t>in compliance with the Financial Covenant and (iv) no</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Default is occurring and continuing at the time of such Disposition or results therefrom;</w:t>
      </w:r>
    </w:p>
    <w:p>
      <w:pPr>
        <w:spacing w:after="0" w:line="68" w:lineRule="exact"/>
        <w:rPr>
          <w:rFonts w:ascii="Arial" w:cs="Arial" w:eastAsia="Arial" w:hAnsi="Arial"/>
          <w:sz w:val="17"/>
          <w:szCs w:val="17"/>
          <w:color w:val="auto"/>
        </w:rPr>
      </w:pPr>
    </w:p>
    <w:p>
      <w:pPr>
        <w:ind w:right="260" w:firstLine="419"/>
        <w:spacing w:after="0" w:line="277" w:lineRule="auto"/>
        <w:tabs>
          <w:tab w:leader="none" w:pos="63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Dispositions of Receivables in connection with any Qualified Receivables Transaction in an amount not to exceed $20,000,000 at any time outstanding;</w:t>
      </w:r>
    </w:p>
    <w:p>
      <w:pPr>
        <w:spacing w:after="0" w:line="62" w:lineRule="exact"/>
        <w:rPr>
          <w:rFonts w:ascii="Arial" w:cs="Arial" w:eastAsia="Arial" w:hAnsi="Arial"/>
          <w:sz w:val="18"/>
          <w:szCs w:val="18"/>
          <w:color w:val="auto"/>
        </w:rPr>
      </w:pPr>
    </w:p>
    <w:p>
      <w:pPr>
        <w:ind w:right="100" w:firstLine="419"/>
        <w:spacing w:after="0" w:line="277" w:lineRule="auto"/>
        <w:tabs>
          <w:tab w:leader="none" w:pos="6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Dispositions of investments permitted by clauses (a)(i) and (a)(ii) of Section 7.03; and</w:t>
      </w:r>
    </w:p>
    <w:p>
      <w:pPr>
        <w:spacing w:after="0" w:line="117" w:lineRule="exact"/>
        <w:rPr>
          <w:rFonts w:ascii="Arial" w:cs="Arial" w:eastAsia="Arial" w:hAnsi="Arial"/>
          <w:sz w:val="18"/>
          <w:szCs w:val="18"/>
          <w:color w:val="auto"/>
        </w:rPr>
      </w:pPr>
    </w:p>
    <w:p>
      <w:pPr>
        <w:ind w:left="720" w:hanging="301"/>
        <w:spacing w:after="0"/>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 Loan Party may enter into any agreement to make a Disposition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117" w:lineRule="exact"/>
        <w:rPr>
          <w:sz w:val="20"/>
          <w:szCs w:val="20"/>
          <w:color w:val="auto"/>
        </w:rPr>
      </w:pPr>
    </w:p>
    <w:p>
      <w:pPr>
        <w:ind w:right="480" w:firstLine="423"/>
        <w:spacing w:after="0" w:line="277" w:lineRule="auto"/>
        <w:rPr>
          <w:sz w:val="20"/>
          <w:szCs w:val="20"/>
          <w:color w:val="auto"/>
        </w:rPr>
      </w:pPr>
      <w:r>
        <w:rPr>
          <w:rFonts w:ascii="Arial" w:cs="Arial" w:eastAsia="Arial" w:hAnsi="Arial"/>
          <w:sz w:val="18"/>
          <w:szCs w:val="18"/>
          <w:color w:val="auto"/>
        </w:rPr>
        <w:t>Notwithstanding the foregoing, no Loan Party shall transfer (or license on a non-exclusive basis) or otherwise dispose of any Material Intellectual Property to any Subsidiary that is not a Loan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Make or commit itself to make or declare any Restricted Payment at any time, provided that:</w:t>
      </w:r>
    </w:p>
    <w:p>
      <w:pPr>
        <w:spacing w:after="0" w:line="117" w:lineRule="exact"/>
        <w:rPr>
          <w:sz w:val="20"/>
          <w:szCs w:val="20"/>
          <w:color w:val="auto"/>
        </w:rPr>
      </w:pPr>
    </w:p>
    <w:p>
      <w:pPr>
        <w:ind w:right="60" w:firstLine="419"/>
        <w:spacing w:after="0" w:line="263" w:lineRule="auto"/>
        <w:tabs>
          <w:tab w:leader="none" w:pos="6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75" w:lineRule="exact"/>
        <w:rPr>
          <w:rFonts w:ascii="Arial" w:cs="Arial" w:eastAsia="Arial" w:hAnsi="Arial"/>
          <w:sz w:val="18"/>
          <w:szCs w:val="18"/>
          <w:color w:val="auto"/>
        </w:rPr>
      </w:pPr>
    </w:p>
    <w:p>
      <w:pPr>
        <w:ind w:right="40" w:firstLine="419"/>
        <w:spacing w:after="0" w:line="279" w:lineRule="auto"/>
        <w:tabs>
          <w:tab w:leader="none" w:pos="67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Borrower and its Subsidiaries may make non-scheduled prepayments, repurchases or redemptions in respect of Junior Indebtedness and Subordinated Indebtedness (a “</w:t>
      </w:r>
      <w:r>
        <w:rPr>
          <w:rFonts w:ascii="Arial" w:cs="Arial" w:eastAsia="Arial" w:hAnsi="Arial"/>
          <w:sz w:val="17"/>
          <w:szCs w:val="17"/>
          <w:u w:val="single" w:color="auto"/>
          <w:color w:val="auto"/>
        </w:rPr>
        <w:t>Restricted Debt Payment</w:t>
      </w:r>
      <w:r>
        <w:rPr>
          <w:rFonts w:ascii="Arial" w:cs="Arial" w:eastAsia="Arial" w:hAnsi="Arial"/>
          <w:sz w:val="17"/>
          <w:szCs w:val="17"/>
          <w:color w:val="auto"/>
        </w:rPr>
        <w:t>”) so long as such Restricted Debt Payment is made (i) with proceeds of qualified Equity Interests (other than the proceeds of an equity cure) or consideration paid in qualified Equity Interests that are not otherwise applied, (ii) in connection with the Transactions and (iii) in respect of any AHYDO Catch Up Payments;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40"/>
          </w:cols>
          <w:pgMar w:left="880" w:top="274" w:right="479" w:bottom="1440" w:gutter="0" w:footer="0" w:header="0"/>
        </w:sectPr>
      </w:pPr>
    </w:p>
    <w:bookmarkStart w:id="166" w:name="page167"/>
    <w:bookmarkEnd w:id="166"/>
    <w:p>
      <w:pPr>
        <w:ind w:left="444" w:right="140" w:firstLine="419"/>
        <w:spacing w:after="0" w:line="277" w:lineRule="auto"/>
        <w:tabs>
          <w:tab w:leader="none" w:pos="1112"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and each Subsidiary may make Restricted Payments with the proceeds received from the substantially concurrent issue of new common Equity Interests;</w:t>
      </w:r>
    </w:p>
    <w:p>
      <w:pPr>
        <w:spacing w:after="0" w:line="62" w:lineRule="exact"/>
        <w:rPr>
          <w:rFonts w:ascii="Arial" w:cs="Arial" w:eastAsia="Arial" w:hAnsi="Arial"/>
          <w:sz w:val="18"/>
          <w:szCs w:val="18"/>
          <w:color w:val="auto"/>
        </w:rPr>
      </w:pPr>
    </w:p>
    <w:p>
      <w:pPr>
        <w:ind w:left="444" w:right="160" w:firstLine="419"/>
        <w:spacing w:after="0" w:line="263" w:lineRule="auto"/>
        <w:tabs>
          <w:tab w:leader="none" w:pos="112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Borrower may declare and pay dividends with respect to its common stock payable solely in additional shares of its common stock, and, with respect to its preferred stock, and except as otherwise set forth herein, payable solely in additional shares of such preferred stock or in shares of its common stock;</w:t>
      </w:r>
    </w:p>
    <w:p>
      <w:pPr>
        <w:spacing w:after="0" w:line="75" w:lineRule="exact"/>
        <w:rPr>
          <w:rFonts w:ascii="Arial" w:cs="Arial" w:eastAsia="Arial" w:hAnsi="Arial"/>
          <w:sz w:val="18"/>
          <w:szCs w:val="18"/>
          <w:color w:val="auto"/>
        </w:rPr>
      </w:pPr>
    </w:p>
    <w:p>
      <w:pPr>
        <w:ind w:left="444" w:firstLine="419"/>
        <w:spacing w:after="0" w:line="263" w:lineRule="auto"/>
        <w:tabs>
          <w:tab w:leader="none" w:pos="111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Restricted Payments on the Series D Preferred Stock subject to compliance with a Consolidated Net Leverage Ratio less than or equal to 2.50:1.00;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Restricted Payments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shall not exceed 7.0% of the aggregate amount of proceeds received in respect of the Series D Preferred Stock; and</w:t>
      </w:r>
    </w:p>
    <w:p>
      <w:pPr>
        <w:spacing w:after="0" w:line="75" w:lineRule="exact"/>
        <w:rPr>
          <w:rFonts w:ascii="Arial" w:cs="Arial" w:eastAsia="Arial" w:hAnsi="Arial"/>
          <w:sz w:val="18"/>
          <w:szCs w:val="18"/>
          <w:color w:val="auto"/>
        </w:rPr>
      </w:pPr>
    </w:p>
    <w:p>
      <w:pPr>
        <w:ind w:left="444" w:right="460" w:firstLine="419"/>
        <w:spacing w:after="0" w:line="277" w:lineRule="auto"/>
        <w:tabs>
          <w:tab w:leader="none" w:pos="10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constituting a prepayment of Indebtedness in connection with the Refinancing of such Indebtedness permitted hereunder.</w:t>
      </w:r>
    </w:p>
    <w:p>
      <w:pPr>
        <w:spacing w:after="0" w:line="170"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Changes in the Nature of Business</w:t>
      </w:r>
      <w:r>
        <w:rPr>
          <w:rFonts w:ascii="Arial" w:cs="Arial" w:eastAsia="Arial" w:hAnsi="Arial"/>
          <w:sz w:val="18"/>
          <w:szCs w:val="18"/>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84"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(1) the payment of customary and reasonable directors’ fees to directors who are not employees of the Borrower or any Subsidiary or an Affiliate, (2) amounts payable pursuant to the consummation of the Transactions on the Closing Date, or (3) the declaring, or the making, of dividends and other distributions in respect of the Series D Preferred Stock.</w:t>
      </w:r>
    </w:p>
    <w:p>
      <w:pPr>
        <w:spacing w:after="0" w:line="192"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 xml:space="preserve">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by any Loan Document or by any ABL Loan Document to the extent not prohibited by the ABL Intercreditor Agreement,</w:t>
      </w:r>
    </w:p>
    <w:p>
      <w:pPr>
        <w:spacing w:after="0" w:line="2" w:lineRule="exact"/>
        <w:rPr>
          <w:sz w:val="20"/>
          <w:szCs w:val="20"/>
          <w:color w:val="auto"/>
        </w:rPr>
      </w:pPr>
    </w:p>
    <w:p>
      <w:pPr>
        <w:ind w:left="4" w:right="100" w:hanging="4"/>
        <w:spacing w:after="0" w:line="269" w:lineRule="auto"/>
        <w:tabs>
          <w:tab w:leader="none" w:pos="26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customary provisions in leases and other contracts restricting the assignment thereof, (iii) customary restrictions in agreements in connection with Qualified Receivables Transactions, consignment agreements, security agreements or mortgages permitted hereunder securing Indebtedness or Financing Lease Obligations permitted hereunder, of a Subsidiary to the extent such restrictions shall only restrict the transfer of the property subject to such security agreement, mortgage or lease, (iv) restrictions and conditions existing on the date hereof identified on Schedule 7.09 (but shall apply to any extension or renewal of, or any amendment or modification expanding the scope of, any such restriction or condition), or (v) customary restrictions and conditions contained in agreements relating to the sale of a Subsidiary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Subsidiary that is to be sold and such sale is permitted hereunder.</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Directly or indirectly, and whether immediately, incidentally or ultimately:</w:t>
      </w:r>
    </w:p>
    <w:p>
      <w:pPr>
        <w:spacing w:after="0" w:line="117" w:lineRule="exact"/>
        <w:rPr>
          <w:sz w:val="20"/>
          <w:szCs w:val="20"/>
          <w:color w:val="auto"/>
        </w:rPr>
      </w:pPr>
    </w:p>
    <w:p>
      <w:pPr>
        <w:ind w:left="444" w:right="380" w:firstLine="419"/>
        <w:spacing w:after="0" w:line="342" w:lineRule="auto"/>
        <w:tabs>
          <w:tab w:leader="none" w:pos="111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167" w:name="page168"/>
    <w:bookmarkEnd w:id="167"/>
    <w:p>
      <w:pPr>
        <w:ind w:left="440" w:right="480" w:firstLine="419"/>
        <w:spacing w:after="0" w:line="259" w:lineRule="auto"/>
        <w:tabs>
          <w:tab w:leader="none" w:pos="1118"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any proceeds of any Borrowing, or lend, contribute or otherwise make available such proceeds to any Subsidiary, joint venture partner or other Person, to fund any activities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use any proceeds of any Borrowing in any manner that would constitute a violation of any applicable Anti-Corruption Laws.</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Amendments to Organization Documents</w:t>
      </w:r>
      <w:r>
        <w:rPr>
          <w:rFonts w:ascii="Arial" w:cs="Arial" w:eastAsia="Arial" w:hAnsi="Arial"/>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(a) accounting policies or reporting practices, except as required by GAAP, or (b) fiscal year</w:t>
      </w:r>
    </w:p>
    <w:p>
      <w:pPr>
        <w:spacing w:after="0" w:line="24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Sanctions; Anti-Corruption Laws</w:t>
      </w:r>
      <w:r>
        <w:rPr>
          <w:rFonts w:ascii="Arial" w:cs="Arial" w:eastAsia="Arial" w:hAnsi="Arial"/>
          <w:sz w:val="17"/>
          <w:szCs w:val="17"/>
          <w:color w:val="auto"/>
        </w:rPr>
        <w:t>. (a) Directly or indirectly, use any proceeds of any Credit Extension, or lend, contribute or otherwise make available such proceeds to any Subsidiary, joint venture partner or other Person to fund any activities of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63" w:lineRule="exact"/>
        <w:rPr>
          <w:sz w:val="20"/>
          <w:szCs w:val="20"/>
          <w:color w:val="auto"/>
        </w:rPr>
      </w:pPr>
    </w:p>
    <w:p>
      <w:pPr>
        <w:ind w:left="440" w:right="140" w:firstLine="419"/>
        <w:spacing w:after="0" w:line="259" w:lineRule="auto"/>
        <w:tabs>
          <w:tab w:leader="none" w:pos="11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 or other applicable Anti-Corruption Laws, or in any other manner that would constitute a violation of any applicable Anti-Corruption Laws.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For the benefit of the Lenders (and the Administrative Agent on their 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Arial" w:cs="Arial" w:eastAsia="Arial" w:hAnsi="Arial"/>
          <w:sz w:val="17"/>
          <w:szCs w:val="17"/>
          <w:u w:val="single" w:color="auto"/>
          <w:color w:val="auto"/>
        </w:rPr>
        <w:t>Article VI</w:t>
      </w:r>
      <w:r>
        <w:rPr>
          <w:rFonts w:ascii="Arial" w:cs="Arial" w:eastAsia="Arial" w:hAnsi="Arial"/>
          <w:sz w:val="17"/>
          <w:szCs w:val="17"/>
          <w:color w:val="auto"/>
        </w:rPr>
        <w:t>, as of the last day of any fiscal quarter of the Borrower (commencing with the first full fiscal quarter of the Borrower following the Closing Date) (the “</w:t>
      </w:r>
      <w:r>
        <w:rPr>
          <w:rFonts w:ascii="Arial" w:cs="Arial" w:eastAsia="Arial" w:hAnsi="Arial"/>
          <w:sz w:val="17"/>
          <w:szCs w:val="17"/>
          <w:u w:val="single" w:color="auto"/>
          <w:color w:val="auto"/>
        </w:rPr>
        <w:t>Financial Covenant</w:t>
      </w:r>
      <w:r>
        <w:rPr>
          <w:rFonts w:ascii="Arial" w:cs="Arial" w:eastAsia="Arial" w:hAnsi="Arial"/>
          <w:sz w:val="17"/>
          <w:szCs w:val="17"/>
          <w:color w:val="auto"/>
        </w:rPr>
        <w:t>”):</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Fiscal Quarter</w:t>
            </w:r>
          </w:p>
        </w:tc>
        <w:tc>
          <w:tcPr>
            <w:tcW w:w="28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3"/>
              </w:rPr>
              <w:t>Consolidated Net Leverage Ratio</w:t>
            </w:r>
          </w:p>
        </w:tc>
      </w:tr>
      <w:tr>
        <w:trPr>
          <w:trHeight w:val="20"/>
        </w:trPr>
        <w:tc>
          <w:tcPr>
            <w:tcW w:w="9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2021</w:t>
            </w:r>
          </w:p>
        </w:tc>
        <w:tc>
          <w:tcPr>
            <w:tcW w:w="2840" w:type="dxa"/>
            <w:vAlign w:val="bottom"/>
            <w:shd w:val="clear" w:color="auto" w:fill="CCEEFF"/>
          </w:tcPr>
          <w:p>
            <w:pPr>
              <w:spacing w:after="0"/>
              <w:rPr>
                <w:sz w:val="17"/>
                <w:szCs w:val="17"/>
                <w:color w:val="auto"/>
              </w:rPr>
            </w:pPr>
          </w:p>
        </w:tc>
        <w:tc>
          <w:tcPr>
            <w:tcW w:w="2020" w:type="dxa"/>
            <w:vAlign w:val="bottom"/>
            <w:shd w:val="clear" w:color="auto" w:fill="CCEEFF"/>
          </w:tcPr>
          <w:p>
            <w:pPr>
              <w:ind w:left="1340"/>
              <w:spacing w:after="0" w:line="203" w:lineRule="exact"/>
              <w:rPr>
                <w:sz w:val="20"/>
                <w:szCs w:val="20"/>
                <w:color w:val="auto"/>
              </w:rPr>
            </w:pPr>
            <w:r>
              <w:rPr>
                <w:rFonts w:ascii="Arial" w:cs="Arial" w:eastAsia="Arial" w:hAnsi="Arial"/>
                <w:sz w:val="18"/>
                <w:szCs w:val="18"/>
                <w:color w:val="auto"/>
                <w:w w:val="87"/>
              </w:rPr>
              <w:t>3.75:1.00</w:t>
            </w:r>
          </w:p>
        </w:tc>
        <w:tc>
          <w:tcPr>
            <w:tcW w:w="60" w:type="dxa"/>
            <w:vAlign w:val="bottom"/>
            <w:shd w:val="clear" w:color="auto" w:fill="CCEEFF"/>
          </w:tcPr>
          <w:p>
            <w:pPr>
              <w:spacing w:after="0"/>
              <w:rPr>
                <w:sz w:val="17"/>
                <w:szCs w:val="17"/>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3.75:1.00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3.75:1.00</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3.75:1.00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3.75:1.00</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3.50:1.00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3.25:1.00</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3.00:1.00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2023</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3.00:1.00</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June 30, 2023</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2.75:1.00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2.75:1.00</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December 31, 2023</w:t>
            </w:r>
          </w:p>
        </w:tc>
        <w:tc>
          <w:tcPr>
            <w:tcW w:w="4920" w:type="dxa"/>
            <w:vAlign w:val="bottom"/>
            <w:gridSpan w:val="3"/>
          </w:tcPr>
          <w:p>
            <w:pPr>
              <w:ind w:left="4180"/>
              <w:spacing w:after="0"/>
              <w:rPr>
                <w:sz w:val="20"/>
                <w:szCs w:val="20"/>
                <w:color w:val="auto"/>
              </w:rPr>
            </w:pPr>
            <w:r>
              <w:rPr>
                <w:rFonts w:ascii="Arial" w:cs="Arial" w:eastAsia="Arial" w:hAnsi="Arial"/>
                <w:sz w:val="18"/>
                <w:szCs w:val="18"/>
                <w:color w:val="auto"/>
                <w:w w:val="95"/>
              </w:rPr>
              <w:t>2.50:1.00</w:t>
            </w: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920" w:type="dxa"/>
            <w:vAlign w:val="bottom"/>
            <w:gridSpan w:val="3"/>
            <w:shd w:val="clear" w:color="auto" w:fill="CCEEFF"/>
          </w:tcPr>
          <w:p>
            <w:pPr>
              <w:ind w:left="4180"/>
              <w:spacing w:after="0"/>
              <w:rPr>
                <w:sz w:val="20"/>
                <w:szCs w:val="20"/>
                <w:color w:val="auto"/>
              </w:rPr>
            </w:pPr>
            <w:r>
              <w:rPr>
                <w:rFonts w:ascii="Arial" w:cs="Arial" w:eastAsia="Arial" w:hAnsi="Arial"/>
                <w:sz w:val="18"/>
                <w:szCs w:val="18"/>
                <w:color w:val="auto"/>
                <w:w w:val="95"/>
              </w:rPr>
              <w:t>2.50:1.00</w:t>
            </w:r>
          </w:p>
        </w:tc>
      </w:tr>
      <w:tr>
        <w:trPr>
          <w:trHeight w:val="365"/>
        </w:trPr>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40" w:type="dxa"/>
            <w:vAlign w:val="bottom"/>
          </w:tcPr>
          <w:p>
            <w:pPr>
              <w:jc w:val="right"/>
              <w:ind w:right="1470"/>
              <w:spacing w:after="0"/>
              <w:rPr>
                <w:sz w:val="20"/>
                <w:szCs w:val="20"/>
                <w:color w:val="auto"/>
              </w:rPr>
            </w:pPr>
            <w:r>
              <w:rPr>
                <w:rFonts w:ascii="Arial" w:cs="Arial" w:eastAsia="Arial" w:hAnsi="Arial"/>
                <w:sz w:val="18"/>
                <w:szCs w:val="18"/>
                <w:color w:val="auto"/>
              </w:rPr>
              <w:t>79</w:t>
            </w: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7.15. </w:t>
      </w:r>
      <w:r>
        <w:rPr>
          <w:rFonts w:ascii="Arial" w:cs="Arial" w:eastAsia="Arial" w:hAnsi="Arial"/>
          <w:sz w:val="18"/>
          <w:szCs w:val="18"/>
          <w:u w:val="single" w:color="auto"/>
          <w:color w:val="auto"/>
        </w:rPr>
        <w:t>Restrictions Pertaining to Certain Indebtedness</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311" w:lineRule="auto"/>
        <w:rPr>
          <w:sz w:val="20"/>
          <w:szCs w:val="20"/>
          <w:color w:val="auto"/>
        </w:rPr>
      </w:pPr>
      <w:r>
        <w:rPr>
          <w:rFonts w:ascii="Arial" w:cs="Arial" w:eastAsia="Arial" w:hAnsi="Arial"/>
          <w:sz w:val="16"/>
          <w:szCs w:val="16"/>
          <w:color w:val="auto"/>
        </w:rPr>
        <w:t xml:space="preserve">Permit any supplement, modification or amendment in any manner of any term or condition of any Material Indebtedness Agreement, any Indebtedness set forth in </w:t>
      </w:r>
      <w:r>
        <w:rPr>
          <w:rFonts w:ascii="Arial" w:cs="Arial" w:eastAsia="Arial" w:hAnsi="Arial"/>
          <w:sz w:val="16"/>
          <w:szCs w:val="16"/>
          <w:u w:val="single" w:color="auto"/>
          <w:color w:val="auto"/>
        </w:rPr>
        <w:t>Schedule 7.02</w:t>
      </w:r>
      <w:r>
        <w:rPr>
          <w:rFonts w:ascii="Arial" w:cs="Arial" w:eastAsia="Arial" w:hAnsi="Arial"/>
          <w:sz w:val="16"/>
          <w:szCs w:val="16"/>
          <w:color w:val="auto"/>
        </w:rPr>
        <w:t xml:space="preserve"> or any Indebtedness that is expressly subordinated in payment to the Obligations, except for any such amendment, modification or waiver that would not be reasonably expected to be materially adverse to the Lenders.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117" w:lineRule="exact"/>
        <w:rPr>
          <w:sz w:val="20"/>
          <w:szCs w:val="20"/>
          <w:color w:val="auto"/>
        </w:rPr>
      </w:pPr>
    </w:p>
    <w:p>
      <w:pPr>
        <w:ind w:left="440" w:firstLine="419"/>
        <w:spacing w:after="0" w:line="263" w:lineRule="auto"/>
        <w:tabs>
          <w:tab w:leader="none" w:pos="110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If (a) the interest on any Loan or any Commitment or any other fee or other amount (other than the principal of any Loan) shall not be paid in full when due and payable or within three (3) Business Days thereafter, or (b) the principal of any Loan shall not be paid in full when due and payable;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Special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0" w:firstLine="408"/>
        <w:spacing w:after="0" w:line="342" w:lineRule="auto"/>
        <w:tabs>
          <w:tab w:leader="none" w:pos="1596"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If any Loan Party or Subsidiary thereof shall fail or omit to perform and observe </w:t>
      </w:r>
      <w:r>
        <w:rPr>
          <w:rFonts w:ascii="Arial" w:cs="Arial" w:eastAsia="Arial" w:hAnsi="Arial"/>
          <w:sz w:val="16"/>
          <w:szCs w:val="16"/>
          <w:u w:val="single" w:color="auto"/>
          <w:color w:val="auto"/>
        </w:rPr>
        <w:t>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6.16</w:t>
      </w:r>
      <w:r>
        <w:rPr>
          <w:rFonts w:ascii="Arial" w:cs="Arial" w:eastAsia="Arial" w:hAnsi="Arial"/>
          <w:sz w:val="16"/>
          <w:szCs w:val="16"/>
          <w:color w:val="auto"/>
        </w:rPr>
        <w:t xml:space="preserve">, </w:t>
      </w:r>
      <w:r>
        <w:rPr>
          <w:rFonts w:ascii="Arial" w:cs="Arial" w:eastAsia="Arial" w:hAnsi="Arial"/>
          <w:sz w:val="16"/>
          <w:szCs w:val="16"/>
          <w:u w:val="single" w:color="auto"/>
          <w:color w:val="auto"/>
        </w:rPr>
        <w:t>6.17</w:t>
      </w:r>
      <w:r>
        <w:rPr>
          <w:rFonts w:ascii="Arial" w:cs="Arial" w:eastAsia="Arial" w:hAnsi="Arial"/>
          <w:sz w:val="16"/>
          <w:szCs w:val="16"/>
          <w:color w:val="auto"/>
        </w:rPr>
        <w:t xml:space="preserve">, or any Section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hereof (subject to, in the case of the Financial Covenant, the cure right contained in Section 8.04);</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240" w:firstLine="419"/>
        <w:spacing w:after="0" w:line="255" w:lineRule="auto"/>
        <w:tabs>
          <w:tab w:leader="none" w:pos="110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xml:space="preserve">. If any Loan Party or Subsidiary thereof shall fail or omit to perform and observe any covenant, agreement or other provision (other than those referred to in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8.01(b)</w:t>
      </w:r>
      <w:r>
        <w:rPr>
          <w:rFonts w:ascii="Arial" w:cs="Arial" w:eastAsia="Arial" w:hAnsi="Arial"/>
          <w:sz w:val="18"/>
          <w:szCs w:val="18"/>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84"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79" w:lineRule="exact"/>
        <w:rPr>
          <w:rFonts w:ascii="Arial" w:cs="Arial" w:eastAsia="Arial" w:hAnsi="Arial"/>
          <w:sz w:val="18"/>
          <w:szCs w:val="18"/>
          <w:color w:val="auto"/>
        </w:rPr>
      </w:pPr>
    </w:p>
    <w:p>
      <w:pPr>
        <w:ind w:left="440" w:right="100" w:firstLine="419"/>
        <w:spacing w:after="0" w:line="287" w:lineRule="auto"/>
        <w:tabs>
          <w:tab w:leader="none" w:pos="110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Cross Default</w:t>
      </w:r>
      <w:r>
        <w:rPr>
          <w:rFonts w:ascii="Arial" w:cs="Arial" w:eastAsia="Arial" w:hAnsi="Arial"/>
          <w:sz w:val="16"/>
          <w:szCs w:val="16"/>
          <w:color w:val="auto"/>
        </w:rPr>
        <w:t>. If any Loan Party or any Subsidiary shall default in (i) the payment of any amount due and owing with respect to any Material Indebtedness Agreement beyond any period of grace provided with respect thereto,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 or (iii) (1) prior to the date that is 60 days after the expiration of any applicable grace or cure periods set forth in the ABL Credit Agreement or (2) unless the ABL Lenders have affirmatively waived such event of default, termination event or other similar event) events of default, termination events or any other similar event under clause (d) of Article VII of the ABL Credit Agreement with respect to any Loan Party’s failure to perform or observe any term, covenant or agreement contained in Sections 5.02(a), 5.03 (with respect to a Loan Party’s (as defined in the ABL Credit Agreement) existence), 5.08, 5.13, 5.14 or 5.15 or in Article VI, in each case, of the ABL Credit Agreement (unless the ABL Lenders have accelerated payment of the ABL Obligations, terminated the ABL Revolving Credit Commitments and/or foreclosed upon the ABL Priority Collateral as a result of such event or events);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69" w:name="page170"/>
    <w:bookmarkEnd w:id="169"/>
    <w:p>
      <w:pPr>
        <w:ind w:right="80" w:firstLine="419"/>
        <w:spacing w:after="0" w:line="286" w:lineRule="auto"/>
        <w:tabs>
          <w:tab w:leader="none" w:pos="64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ERISA Default</w:t>
      </w:r>
      <w:r>
        <w:rPr>
          <w:rFonts w:ascii="Arial" w:cs="Arial" w:eastAsia="Arial" w:hAnsi="Arial"/>
          <w:sz w:val="17"/>
          <w:szCs w:val="17"/>
          <w:color w:val="auto"/>
        </w:rPr>
        <w:t>. The occurrence of one or more ERISA Events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57" w:lineRule="exact"/>
        <w:rPr>
          <w:rFonts w:ascii="Arial" w:cs="Arial" w:eastAsia="Arial" w:hAnsi="Arial"/>
          <w:sz w:val="17"/>
          <w:szCs w:val="17"/>
          <w:color w:val="auto"/>
        </w:rPr>
      </w:pPr>
    </w:p>
    <w:p>
      <w:pPr>
        <w:ind w:left="680" w:hanging="261"/>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any Change in Control shall occur;</w:t>
      </w:r>
    </w:p>
    <w:p>
      <w:pPr>
        <w:spacing w:after="0" w:line="117" w:lineRule="exact"/>
        <w:rPr>
          <w:rFonts w:ascii="Arial" w:cs="Arial" w:eastAsia="Arial" w:hAnsi="Arial"/>
          <w:sz w:val="18"/>
          <w:szCs w:val="18"/>
          <w:color w:val="auto"/>
        </w:rPr>
      </w:pPr>
    </w:p>
    <w:p>
      <w:pPr>
        <w:ind w:right="20" w:firstLine="419"/>
        <w:spacing w:after="0" w:line="270" w:lineRule="auto"/>
        <w:tabs>
          <w:tab w:leader="none" w:pos="67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$12,500,000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ten (10) consecutive days during which a stay of enforcement of such judgment, by reason of a pending appeal or otherwise, is not in effect;</w:t>
      </w:r>
    </w:p>
    <w:p>
      <w:pPr>
        <w:spacing w:after="0" w:line="72" w:lineRule="exact"/>
        <w:rPr>
          <w:rFonts w:ascii="Arial" w:cs="Arial" w:eastAsia="Arial" w:hAnsi="Arial"/>
          <w:sz w:val="17"/>
          <w:szCs w:val="17"/>
          <w:color w:val="auto"/>
        </w:rPr>
      </w:pPr>
    </w:p>
    <w:p>
      <w:pPr>
        <w:ind w:left="640" w:hanging="221"/>
        <w:spacing w:after="0"/>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Validity of the Loan Documents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20" w:firstLine="408"/>
        <w:spacing w:after="0" w:line="255" w:lineRule="auto"/>
        <w:tabs>
          <w:tab w:leader="none" w:pos="115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Except as permitted pursuant to this Agreement and the other Loan Documents, if any Lien granted in this Agreement or any other Loan Document in favor of the Administrative Agent shall be determined to be (i) void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84" w:lineRule="exact"/>
        <w:rPr>
          <w:rFonts w:ascii="Arial" w:cs="Arial" w:eastAsia="Arial" w:hAnsi="Arial"/>
          <w:sz w:val="18"/>
          <w:szCs w:val="18"/>
          <w:color w:val="auto"/>
        </w:rPr>
      </w:pPr>
    </w:p>
    <w:p>
      <w:pPr>
        <w:ind w:left="540" w:right="80" w:firstLine="408"/>
        <w:spacing w:after="0" w:line="279" w:lineRule="auto"/>
        <w:tabs>
          <w:tab w:leader="none" w:pos="1206"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 The validity, binding effect or enforceability of any Loan Document against any Loan Party shall be contested by any Loan Party; (B) any Loan Party shall deny in writing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63" w:lineRule="exact"/>
        <w:rPr>
          <w:rFonts w:ascii="Arial" w:cs="Arial" w:eastAsia="Arial" w:hAnsi="Arial"/>
          <w:sz w:val="17"/>
          <w:szCs w:val="17"/>
          <w:color w:val="auto"/>
        </w:rPr>
      </w:pPr>
    </w:p>
    <w:p>
      <w:pPr>
        <w:ind w:firstLine="419"/>
        <w:spacing w:after="0" w:line="287" w:lineRule="auto"/>
        <w:tabs>
          <w:tab w:leader="none" w:pos="63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Bankruptcy and Solvency</w:t>
      </w:r>
      <w:r>
        <w:rPr>
          <w:rFonts w:ascii="Arial" w:cs="Arial" w:eastAsia="Arial" w:hAnsi="Arial"/>
          <w:sz w:val="16"/>
          <w:szCs w:val="16"/>
          <w:color w:val="auto"/>
        </w:rPr>
        <w:t xml:space="preserve">. If any Loan Party or any Subsidiary thereof (other than an Immaterial Subsidiary) shall (1) except as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80"/>
          </w:cols>
          <w:pgMar w:left="880" w:top="274" w:right="439" w:bottom="1440" w:gutter="0" w:footer="0" w:header="0"/>
        </w:sectPr>
      </w:pPr>
    </w:p>
    <w:bookmarkStart w:id="170" w:name="page171"/>
    <w:bookmarkEnd w:id="170"/>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73" w:lineRule="exact"/>
        <w:rPr>
          <w:sz w:val="20"/>
          <w:szCs w:val="20"/>
          <w:color w:val="auto"/>
        </w:rPr>
      </w:pPr>
    </w:p>
    <w:p>
      <w:pPr>
        <w:ind w:left="440" w:firstLine="419"/>
        <w:spacing w:after="0" w:line="259"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of each Loan Party under this Agreement and each of the other Loan Documents shall fail to (i)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left="440" w:right="740" w:firstLine="419"/>
        <w:spacing w:after="0" w:line="277" w:lineRule="auto"/>
        <w:tabs>
          <w:tab w:leader="none" w:pos="11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whereupon such commitments and obligation shall be terminated;</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occurrence of an Event of Default described in </w:t>
      </w:r>
      <w:r>
        <w:rPr>
          <w:rFonts w:ascii="Arial" w:cs="Arial" w:eastAsia="Arial" w:hAnsi="Arial"/>
          <w:sz w:val="18"/>
          <w:szCs w:val="18"/>
          <w:u w:val="single" w:color="auto"/>
          <w:color w:val="auto"/>
        </w:rPr>
        <w:t>Section 8.01(j)</w:t>
      </w:r>
      <w:r>
        <w:rPr>
          <w:rFonts w:ascii="Arial" w:cs="Arial" w:eastAsia="Arial" w:hAnsi="Arial"/>
          <w:sz w:val="18"/>
          <w:szCs w:val="18"/>
          <w:color w:val="auto"/>
        </w:rPr>
        <w:t>, the obligation of each Lender to make Loans shall automatically terminate, the unpaid principal amount of all outstanding Loans and all interest and other amounts as aforesaid shall automatically become due and payable.</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76"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reasonable and documented out of pocket fees, charges and disbursements of outside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76" w:lineRule="exact"/>
        <w:rPr>
          <w:sz w:val="20"/>
          <w:szCs w:val="20"/>
          <w:color w:val="auto"/>
        </w:rPr>
      </w:pPr>
    </w:p>
    <w:p>
      <w:pPr>
        <w:ind w:left="440" w:right="200" w:firstLine="423"/>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reasonable and documented out of pocket fees, charges and disbursements of counsel to the Lenders)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u w:val="single" w:color="auto"/>
          <w:color w:val="auto"/>
        </w:rPr>
        <w:t>clause Second</w:t>
      </w:r>
      <w:r>
        <w:rPr>
          <w:rFonts w:ascii="Arial" w:cs="Arial" w:eastAsia="Arial" w:hAnsi="Arial"/>
          <w:sz w:val="18"/>
          <w:szCs w:val="18"/>
          <w:color w:val="auto"/>
        </w:rPr>
        <w:t xml:space="preserve"> payable to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71" w:name="page172"/>
    <w:bookmarkEnd w:id="171"/>
    <w:p>
      <w:pPr>
        <w:jc w:val="center"/>
        <w:ind w:left="44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w:t>
      </w:r>
      <w:r>
        <w:rPr>
          <w:rFonts w:ascii="Arial" w:cs="Arial" w:eastAsia="Arial" w:hAnsi="Arial"/>
          <w:sz w:val="17"/>
          <w:szCs w:val="17"/>
          <w:color w:val="auto"/>
        </w:rPr>
        <w:t>, to payment of that portion of the Obligations constituting accrued and unpaid interest on the Loans and other Obligations arising</w:t>
      </w:r>
    </w:p>
    <w:p>
      <w:pPr>
        <w:spacing w:after="0" w:line="35" w:lineRule="exact"/>
        <w:rPr>
          <w:sz w:val="20"/>
          <w:szCs w:val="20"/>
          <w:color w:val="auto"/>
        </w:rPr>
      </w:pPr>
    </w:p>
    <w:p>
      <w:pPr>
        <w:jc w:val="center"/>
        <w:ind w:right="-423"/>
        <w:spacing w:after="0"/>
        <w:rPr>
          <w:sz w:val="20"/>
          <w:szCs w:val="20"/>
          <w:color w:val="auto"/>
        </w:rPr>
      </w:pPr>
      <w:r>
        <w:rPr>
          <w:rFonts w:ascii="Arial" w:cs="Arial" w:eastAsia="Arial" w:hAnsi="Arial"/>
          <w:sz w:val="16"/>
          <w:szCs w:val="16"/>
          <w:color w:val="auto"/>
        </w:rPr>
        <w:t xml:space="preserve">under the Loan Documents, ratably among the Lenders in proportion to the respective amounts described in this </w:t>
      </w:r>
      <w:r>
        <w:rPr>
          <w:rFonts w:ascii="Arial" w:cs="Arial" w:eastAsia="Arial" w:hAnsi="Arial"/>
          <w:sz w:val="16"/>
          <w:szCs w:val="16"/>
          <w:u w:val="single" w:color="auto"/>
          <w:color w:val="auto"/>
        </w:rPr>
        <w:t>clause Third</w:t>
      </w:r>
      <w:r>
        <w:rPr>
          <w:rFonts w:ascii="Arial" w:cs="Arial" w:eastAsia="Arial" w:hAnsi="Arial"/>
          <w:sz w:val="16"/>
          <w:szCs w:val="16"/>
          <w:color w:val="auto"/>
        </w:rPr>
        <w:t xml:space="preserve"> payable to them; and</w:t>
      </w:r>
    </w:p>
    <w:p>
      <w:pPr>
        <w:spacing w:after="0" w:line="126" w:lineRule="exact"/>
        <w:rPr>
          <w:sz w:val="20"/>
          <w:szCs w:val="20"/>
          <w:color w:val="auto"/>
        </w:rPr>
      </w:pPr>
    </w:p>
    <w:p>
      <w:pPr>
        <w:ind w:left="864"/>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Cure Right</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in the event that the Borrower fails (or, but for the operation of this paragraph, would fail) to comply with the requirements of Financial Covenant, from the last day of the applicable fiscal quarter until the expiration of the 15</w:t>
      </w:r>
      <w:r>
        <w:rPr>
          <w:rFonts w:ascii="Arial" w:cs="Arial" w:eastAsia="Arial" w:hAnsi="Arial"/>
          <w:sz w:val="13"/>
          <w:szCs w:val="13"/>
          <w:u w:val="single" w:color="auto"/>
          <w:color w:val="auto"/>
        </w:rPr>
        <w:t>th</w:t>
      </w:r>
      <w:r>
        <w:rPr>
          <w:rFonts w:ascii="Arial" w:cs="Arial" w:eastAsia="Arial" w:hAnsi="Arial"/>
          <w:sz w:val="16"/>
          <w:szCs w:val="16"/>
          <w:color w:val="auto"/>
        </w:rPr>
        <w:t xml:space="preserve"> Business Day subsequent to the date the Compliance Certificate for such fiscal quarter calculating such Financial Covenant is required to be delivered pursuant to </w:t>
      </w:r>
      <w:r>
        <w:rPr>
          <w:rFonts w:ascii="Arial" w:cs="Arial" w:eastAsia="Arial" w:hAnsi="Arial"/>
          <w:sz w:val="16"/>
          <w:szCs w:val="16"/>
          <w:u w:val="single" w:color="auto"/>
          <w:color w:val="auto"/>
        </w:rPr>
        <w:t>Section 6.02(b) (</w:t>
      </w:r>
      <w:r>
        <w:rPr>
          <w:rFonts w:ascii="Arial" w:cs="Arial" w:eastAsia="Arial" w:hAnsi="Arial"/>
          <w:sz w:val="16"/>
          <w:szCs w:val="16"/>
          <w:color w:val="auto"/>
        </w:rPr>
        <w:t>the “</w:t>
      </w:r>
      <w:r>
        <w:rPr>
          <w:rFonts w:ascii="Arial" w:cs="Arial" w:eastAsia="Arial" w:hAnsi="Arial"/>
          <w:sz w:val="16"/>
          <w:szCs w:val="16"/>
          <w:u w:val="single" w:color="auto"/>
          <w:color w:val="auto"/>
        </w:rPr>
        <w:t>Cure Period</w:t>
      </w:r>
      <w:r>
        <w:rPr>
          <w:rFonts w:ascii="Arial" w:cs="Arial" w:eastAsia="Arial" w:hAnsi="Arial"/>
          <w:sz w:val="16"/>
          <w:szCs w:val="16"/>
          <w:color w:val="auto"/>
        </w:rPr>
        <w:t>”), the Borrower shall have the right to issue Permitted Cure Securities (including for the avoidance of doubt additional shares of Series D Preferred Stock) for cash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Borrower of such cash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pursuant to the exercise of the Cure Right, the Financial Covenant shall be recalculated giving effect to a pro forma adjustment by which Consolidated EBITDA shall be increased with respect to such applicable fiscal quarter and any four-quarter period that contains such fiscal quarter, solely for the purpose of measuring the Financial Covenant and not for any other purpose under this Agreement, by an amount equal to the Cure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 in each four consecutive fiscal quarter period there shall be at least two fiscal quarters in which a Cure Right is not exercised,</w:t>
      </w:r>
    </w:p>
    <w:p>
      <w:pPr>
        <w:spacing w:after="0" w:line="6" w:lineRule="exact"/>
        <w:rPr>
          <w:sz w:val="20"/>
          <w:szCs w:val="20"/>
          <w:color w:val="auto"/>
        </w:rPr>
      </w:pPr>
    </w:p>
    <w:p>
      <w:pPr>
        <w:ind w:left="4" w:hanging="4"/>
        <w:spacing w:after="0" w:line="284" w:lineRule="auto"/>
        <w:tabs>
          <w:tab w:leader="none" w:pos="26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 Cure Right shall not be exercised more than five times during the term of this Agreement, (iii) for purposes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Cure Amount shall be not be given effect in an amount greater than the amount required for purposes of complying with the Financial Covenant, and (iv) there shall be no pro forma reduction in Indebtedness with the proceeds of the exercise of the Cure Right for determining compliance with the Financial Covenant for the fiscal quarter in respect of which such Cure Right is exercised (either directly through prepayment or indirectly as a result of the netting of Unrestricted Cash and Cash Equivalents) (other than, to the extent such Cure Amount is actually utilized as a prepayment, such reduction in Indebtedness will be taken into account in the fiscal periods ending after such fiscal quarter). If, after giving effect to the adjustments in this paragraph, the Borrower shall then be in compliance with the requirements of the Financial Covenant, the Borrower shall be deemed to have satisfied the requirements of the Financial Covenant as of the relevant date of determination with the same effect as though there had been no failure to comply therewith at such date, and the applicable breach or Default with respect to the Financial Covenant that would have occurred but for this paragraph shall be deemed cured for the purposes of this Agreement. During the Cure Period set forth in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upon receipt by the Administrative Agent of written notice from the Borrower that it intends to exercise its Cure Right pursuant to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for such period, any resultant Event of Default or potential Event of Default that arises solely as a result of non-compliance with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shall be deemed retroactively to have not occurred, and the Lenders shall not be permitted to accelerate the Loans or any other Obligations held by them and the Administrative Agent and the Lenders shall not be permitted to exercise remedies against the Collateral, in each case to the extent such acceleration or such exercise of remedies is based solely on a failure to comply with the requirements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for such period, unless and until such Cure Period shall have passed without the Borrower exercising its Cure Right for such fiscal period prior to the expiration of such Cure Period.</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of the Administrative Agent</w:t>
      </w:r>
      <w:r>
        <w:rPr>
          <w:rFonts w:ascii="Arial" w:cs="Arial" w:eastAsia="Arial" w:hAnsi="Arial"/>
          <w:sz w:val="18"/>
          <w:szCs w:val="18"/>
          <w:color w:val="auto"/>
        </w:rPr>
        <w:t>.</w:t>
      </w:r>
    </w:p>
    <w:p>
      <w:pPr>
        <w:spacing w:after="0" w:line="117" w:lineRule="exact"/>
        <w:rPr>
          <w:sz w:val="20"/>
          <w:szCs w:val="20"/>
          <w:color w:val="auto"/>
        </w:rPr>
      </w:pPr>
    </w:p>
    <w:p>
      <w:pPr>
        <w:ind w:left="444" w:right="20" w:firstLine="419"/>
        <w:spacing w:after="0" w:line="271" w:lineRule="auto"/>
        <w:tabs>
          <w:tab w:leader="none" w:pos="111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Lender irrevocably appoints Oaktree Fund Administration, LLC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274" w:right="459" w:bottom="1440" w:gutter="0" w:footer="0" w:header="0"/>
        </w:sectPr>
      </w:pPr>
    </w:p>
    <w:bookmarkStart w:id="172" w:name="page173"/>
    <w:bookmarkEnd w:id="172"/>
    <w:p>
      <w:pPr>
        <w:ind w:left="440" w:firstLine="419"/>
        <w:spacing w:after="0" w:line="290" w:lineRule="auto"/>
        <w:tabs>
          <w:tab w:leader="none" w:pos="1118" w:val="left"/>
        </w:tabs>
        <w:numPr>
          <w:ilvl w:val="0"/>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10.04(c)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5"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Nature of Duties of the Administrative Agent</w:t>
      </w:r>
      <w:r>
        <w:rPr>
          <w:rFonts w:ascii="Arial" w:cs="Arial" w:eastAsia="Arial" w:hAnsi="Arial"/>
          <w:sz w:val="16"/>
          <w:szCs w:val="16"/>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393"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Lack of Reliance on the Administrative Agent</w:t>
      </w:r>
      <w:r>
        <w:rPr>
          <w:rFonts w:ascii="Arial" w:cs="Arial" w:eastAsia="Arial" w:hAnsi="Arial"/>
          <w:sz w:val="16"/>
          <w:szCs w:val="16"/>
          <w:color w:val="auto"/>
        </w:rPr>
        <w:t>. Each of the Lenders acknowledges that it has, independently and without reliance upon the Administrative Agent or any other Lender and based on such documents and information as it has deemed appropriate, made its own credit analysis and decision to enter into this Agreement. Each of the Lenders also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6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73" w:name="page174"/>
    <w:bookmarkEnd w:id="17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8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Reliance by the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6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The Administrative Agent in its Individual Capacity</w:t>
      </w:r>
      <w:r>
        <w:rPr>
          <w:rFonts w:ascii="Arial" w:cs="Arial" w:eastAsia="Arial" w:hAnsi="Arial"/>
          <w:sz w:val="18"/>
          <w:szCs w:val="18"/>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93" w:lineRule="auto"/>
        <w:tabs>
          <w:tab w:leader="none" w:pos="110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that shall be a commercial bank organized under the laws of the United States or any state thereof or a bank that maintains an office in the United States and has a combined capital and surplus of at least $500,000,000.</w:t>
      </w:r>
    </w:p>
    <w:p>
      <w:pPr>
        <w:spacing w:after="0" w:line="56" w:lineRule="exact"/>
        <w:rPr>
          <w:rFonts w:ascii="Arial" w:cs="Arial" w:eastAsia="Arial" w:hAnsi="Arial"/>
          <w:sz w:val="16"/>
          <w:szCs w:val="16"/>
          <w:color w:val="auto"/>
        </w:rPr>
      </w:pPr>
    </w:p>
    <w:p>
      <w:pPr>
        <w:ind w:left="440" w:right="580" w:firstLine="419"/>
        <w:spacing w:after="0" w:line="263" w:lineRule="auto"/>
        <w:tabs>
          <w:tab w:leader="none" w:pos="111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75" w:lineRule="exact"/>
        <w:rPr>
          <w:rFonts w:ascii="Arial" w:cs="Arial" w:eastAsia="Arial" w:hAnsi="Arial"/>
          <w:sz w:val="18"/>
          <w:szCs w:val="18"/>
          <w:color w:val="auto"/>
        </w:rPr>
      </w:pPr>
    </w:p>
    <w:p>
      <w:pPr>
        <w:ind w:left="440" w:firstLine="419"/>
        <w:spacing w:after="0" w:line="269" w:lineRule="auto"/>
        <w:tabs>
          <w:tab w:leader="none" w:pos="110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forty five (45) days after written notice is given of the retiring or removed Administrative Agent shall be discharged from its duties and obligations under this Agreement Administrative Agent’s resignation or the removal of the Administrative Agent under this Section, no successor Administrative Agent shall have been appointed and shall have accepted such appointment, then on such 45th day (i) the retiring or removed Administrative Agent shall be discharged from its duties and obligations under this Agreement Administrative Agent’s resignation shall become effective, (ii) the retiring or removed Administrative Agent shall be discharged from its duties and obligations under this Agreement Administrative Agent shall thereupon be discharged from its duties and obligations under the Loan Documents and (iii) the Required Lenders shall thereafter perform all duties of the retiring or removed Administrative Agent shall be discharged from its duties and obligations under this Agreement Administrative Agent under the Loan Documents until such time as the Required Lenders appoint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174" w:name="page175"/>
    <w:bookmarkEnd w:id="174"/>
    <w:p>
      <w:pPr>
        <w:ind w:left="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184"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In addition to and without limiting the application of </w:t>
      </w:r>
      <w:r>
        <w:rPr>
          <w:rFonts w:ascii="Arial" w:cs="Arial" w:eastAsia="Arial" w:hAnsi="Arial"/>
          <w:sz w:val="18"/>
          <w:szCs w:val="18"/>
          <w:u w:val="single" w:color="auto"/>
          <w:color w:val="auto"/>
        </w:rPr>
        <w:t>Section 3.01</w:t>
      </w:r>
      <w:r>
        <w:rPr>
          <w:rFonts w:ascii="Arial" w:cs="Arial" w:eastAsia="Arial" w:hAnsi="Arial"/>
          <w:sz w:val="18"/>
          <w:szCs w:val="18"/>
          <w:color w:val="auto"/>
        </w:rPr>
        <w:t>, to the extent required by any applicable law, the Administrative Agent may withhold from any amounts paid to or for the account of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The Administrative Agent May File Proofs of Claim; Credit Bidding</w:t>
      </w:r>
      <w:r>
        <w:rPr>
          <w:rFonts w:ascii="Arial" w:cs="Arial" w:eastAsia="Arial" w:hAnsi="Arial"/>
          <w:sz w:val="18"/>
          <w:szCs w:val="18"/>
          <w:color w:val="auto"/>
        </w:rPr>
        <w:t>.</w:t>
      </w:r>
    </w:p>
    <w:p>
      <w:pPr>
        <w:spacing w:after="0" w:line="117" w:lineRule="exact"/>
        <w:rPr>
          <w:sz w:val="20"/>
          <w:szCs w:val="20"/>
          <w:color w:val="auto"/>
        </w:rPr>
      </w:pPr>
    </w:p>
    <w:p>
      <w:pPr>
        <w:ind w:left="444" w:firstLine="419"/>
        <w:spacing w:after="0" w:line="279" w:lineRule="auto"/>
        <w:tabs>
          <w:tab w:leader="none" w:pos="111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3" w:lineRule="exact"/>
        <w:rPr>
          <w:rFonts w:ascii="Arial" w:cs="Arial" w:eastAsia="Arial" w:hAnsi="Arial"/>
          <w:sz w:val="17"/>
          <w:szCs w:val="17"/>
          <w:color w:val="auto"/>
        </w:rPr>
      </w:pPr>
    </w:p>
    <w:p>
      <w:pPr>
        <w:ind w:left="984" w:right="40" w:firstLine="408"/>
        <w:spacing w:after="0" w:line="257" w:lineRule="auto"/>
        <w:tabs>
          <w:tab w:leader="none" w:pos="16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 and counsel and all other amounts due the Lenders and the Administrative Agent under </w:t>
      </w:r>
      <w:r>
        <w:rPr>
          <w:rFonts w:ascii="Arial" w:cs="Arial" w:eastAsia="Arial" w:hAnsi="Arial"/>
          <w:sz w:val="18"/>
          <w:szCs w:val="18"/>
          <w:u w:val="single" w:color="auto"/>
          <w:color w:val="auto"/>
        </w:rPr>
        <w:t>Section 10.04</w:t>
      </w:r>
      <w:r>
        <w:rPr>
          <w:rFonts w:ascii="Arial" w:cs="Arial" w:eastAsia="Arial" w:hAnsi="Arial"/>
          <w:sz w:val="18"/>
          <w:szCs w:val="18"/>
          <w:color w:val="auto"/>
        </w:rPr>
        <w:t>) allowed in such judicial proceeding; and</w:t>
      </w:r>
    </w:p>
    <w:p>
      <w:pPr>
        <w:spacing w:after="0" w:line="79" w:lineRule="exact"/>
        <w:rPr>
          <w:rFonts w:ascii="Arial" w:cs="Arial" w:eastAsia="Arial" w:hAnsi="Arial"/>
          <w:sz w:val="18"/>
          <w:szCs w:val="18"/>
          <w:color w:val="auto"/>
        </w:rPr>
      </w:pPr>
    </w:p>
    <w:p>
      <w:pPr>
        <w:ind w:left="1664" w:hanging="272"/>
        <w:spacing w:after="0"/>
        <w:tabs>
          <w:tab w:leader="none" w:pos="1664"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128" w:lineRule="exact"/>
        <w:rPr>
          <w:rFonts w:ascii="Arial" w:cs="Arial" w:eastAsia="Arial" w:hAnsi="Arial"/>
          <w:sz w:val="17"/>
          <w:szCs w:val="17"/>
          <w:color w:val="auto"/>
        </w:rPr>
      </w:pPr>
    </w:p>
    <w:p>
      <w:pPr>
        <w:ind w:left="444" w:right="200" w:firstLine="419"/>
        <w:spacing w:after="0" w:line="257" w:lineRule="auto"/>
        <w:tabs>
          <w:tab w:leader="none" w:pos="112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8"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4"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240" w:hanging="4"/>
        <w:spacing w:after="0" w:line="255" w:lineRule="auto"/>
        <w:tabs>
          <w:tab w:leader="none" w:pos="24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4"/>
          </w:cols>
          <w:pgMar w:left="436" w:top="274" w:right="439" w:bottom="1440" w:gutter="0" w:footer="0" w:header="0"/>
        </w:sectPr>
      </w:pPr>
    </w:p>
    <w:bookmarkStart w:id="175" w:name="page176"/>
    <w:bookmarkEnd w:id="175"/>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this Agreement, (iii) the Administrative Agent shall be authorized to assign the relevant Obligations to any such acquisition vehicle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the Lenders, as a result of which each of the Lenders shall be deemed to have received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7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any subordination agreements and any intercreditor agreements) other than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The Lenders irrevocably authorize the Administrative Agent, at its option and in its discretion:</w:t>
      </w:r>
    </w:p>
    <w:p>
      <w:pPr>
        <w:spacing w:after="0" w:line="117" w:lineRule="exact"/>
        <w:rPr>
          <w:sz w:val="20"/>
          <w:szCs w:val="20"/>
          <w:color w:val="auto"/>
        </w:rPr>
      </w:pPr>
    </w:p>
    <w:p>
      <w:pPr>
        <w:ind w:left="440" w:firstLine="419"/>
        <w:spacing w:after="0" w:line="273" w:lineRule="auto"/>
        <w:tabs>
          <w:tab w:leader="none" w:pos="110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to a Person that is not a Loan Party, (iii) that constitutes Excluded Assets, (iv)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(v) if the property subject to such Lien is owned by a Guarantor, upon the release of such Guarantor from its obligations under the Guaranty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below;</w:t>
      </w:r>
    </w:p>
    <w:p>
      <w:pPr>
        <w:spacing w:after="0" w:line="69" w:lineRule="exact"/>
        <w:rPr>
          <w:rFonts w:ascii="Arial" w:cs="Arial" w:eastAsia="Arial" w:hAnsi="Arial"/>
          <w:sz w:val="17"/>
          <w:szCs w:val="17"/>
          <w:color w:val="auto"/>
        </w:rPr>
      </w:pPr>
    </w:p>
    <w:p>
      <w:pPr>
        <w:ind w:left="440" w:right="260" w:firstLine="419"/>
        <w:spacing w:after="0" w:line="277" w:lineRule="auto"/>
        <w:tabs>
          <w:tab w:leader="none" w:pos="11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release any Loan Party from its obligations under the applicable Collateral Documents if such Person ceases to be a Subsidiary as a result of a transaction permitted under the Loan Documents;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0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to release any Guarantor from its obligations under the Guaranty if such Person ceases to be a Subsidiary or as a result of a transaction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Guarantor continues to be a guarantor in respect of any Indebtedness of the Borrower or any of its Subsidiaries.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76" w:name="page177"/>
    <w:bookmarkEnd w:id="176"/>
    <w:p>
      <w:pPr>
        <w:ind w:right="2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request of the Borrower (and each Lender irrevocably authorizes the Administrative Agent to),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w:t>
      </w:r>
      <w:r>
        <w:rPr>
          <w:rFonts w:ascii="Arial" w:cs="Arial" w:eastAsia="Arial" w:hAnsi="Arial"/>
          <w:sz w:val="17"/>
          <w:szCs w:val="17"/>
          <w:u w:val="single" w:color="auto"/>
          <w:color w:val="auto"/>
        </w:rPr>
        <w:t>Section 9.11</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Right to Realize on Collateral and Enforce Guarantee</w:t>
      </w:r>
      <w:r>
        <w:rPr>
          <w:rFonts w:ascii="Arial" w:cs="Arial" w:eastAsia="Arial" w:hAnsi="Arial"/>
          <w:sz w:val="17"/>
          <w:szCs w:val="17"/>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49" w:lineRule="exact"/>
        <w:rPr>
          <w:sz w:val="20"/>
          <w:szCs w:val="20"/>
          <w:color w:val="auto"/>
        </w:rPr>
      </w:pPr>
    </w:p>
    <w:p>
      <w:pPr>
        <w:ind w:left="440" w:right="20" w:firstLine="419"/>
        <w:spacing w:after="0" w:line="277" w:lineRule="auto"/>
        <w:tabs>
          <w:tab w:leader="none" w:pos="110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in the case of the initial Credit Extension, 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4.01(c)(i)</w:t>
      </w:r>
      <w:r>
        <w:rPr>
          <w:rFonts w:ascii="Arial" w:cs="Arial" w:eastAsia="Arial" w:hAnsi="Arial"/>
          <w:sz w:val="18"/>
          <w:szCs w:val="18"/>
          <w:color w:val="auto"/>
        </w:rPr>
        <w:t>) without the written consent of each Lender;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540" w:firstLine="419"/>
        <w:spacing w:after="0" w:line="277" w:lineRule="auto"/>
        <w:tabs>
          <w:tab w:leader="none" w:pos="110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w:t>
      </w:r>
    </w:p>
    <w:p>
      <w:pPr>
        <w:spacing w:after="0" w:line="62"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75" w:lineRule="exact"/>
        <w:rPr>
          <w:rFonts w:ascii="Arial" w:cs="Arial" w:eastAsia="Arial" w:hAnsi="Arial"/>
          <w:sz w:val="18"/>
          <w:szCs w:val="18"/>
          <w:color w:val="auto"/>
        </w:rPr>
      </w:pPr>
    </w:p>
    <w:p>
      <w:pPr>
        <w:ind w:left="440" w:right="540" w:firstLine="419"/>
        <w:spacing w:after="0" w:line="263" w:lineRule="auto"/>
        <w:tabs>
          <w:tab w:leader="none" w:pos="110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any fees or other amounts payable hereunder or under any other Loan Document without the written consent of each Lender entitled to such amount;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77" w:name="page178"/>
    <w:bookmarkEnd w:id="177"/>
    <w:p>
      <w:pPr>
        <w:ind w:left="440" w:right="46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xml:space="preserve"> that only the consent of the Required Lenders shall be necessary (i) to amend the definition of “Default Rate” and (ii) to waive any obligation of the Borrower to pay interest on the Loans at the Default Rate;</w:t>
      </w:r>
    </w:p>
    <w:p>
      <w:pPr>
        <w:spacing w:after="0" w:line="62" w:lineRule="exact"/>
        <w:rPr>
          <w:sz w:val="20"/>
          <w:szCs w:val="20"/>
          <w:color w:val="auto"/>
        </w:rPr>
      </w:pPr>
    </w:p>
    <w:p>
      <w:pPr>
        <w:ind w:left="440" w:right="320" w:firstLine="419"/>
        <w:spacing w:after="0" w:line="259" w:lineRule="auto"/>
        <w:tabs>
          <w:tab w:leader="none" w:pos="108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without the written consent of each Lender directly affected thereby or (ii) the order of application of any prepayment of Loans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in any manner that materially and adversely affects the Lenders without the written consent of the Required Lenders;</w:t>
      </w:r>
    </w:p>
    <w:p>
      <w:pPr>
        <w:spacing w:after="0" w:line="78" w:lineRule="exact"/>
        <w:rPr>
          <w:rFonts w:ascii="Arial" w:cs="Arial" w:eastAsia="Arial" w:hAnsi="Arial"/>
          <w:sz w:val="18"/>
          <w:szCs w:val="18"/>
          <w:color w:val="auto"/>
        </w:rPr>
      </w:pPr>
    </w:p>
    <w:p>
      <w:pPr>
        <w:jc w:val="both"/>
        <w:ind w:left="440" w:right="160" w:firstLine="419"/>
        <w:spacing w:after="0" w:line="259"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change any provision of this Section or reduce the percentages specified in (or alter the method of calculation thereof) the definition of any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78"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except as set forth in Section 9.11, release all or substantially all of the Collateral in any transaction or series of related transactions, without the written consent of each Lender;</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07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75" w:lineRule="exact"/>
        <w:rPr>
          <w:rFonts w:ascii="Arial" w:cs="Arial" w:eastAsia="Arial" w:hAnsi="Arial"/>
          <w:sz w:val="18"/>
          <w:szCs w:val="18"/>
          <w:color w:val="auto"/>
        </w:rPr>
      </w:pPr>
    </w:p>
    <w:p>
      <w:pPr>
        <w:ind w:left="440" w:right="60" w:firstLine="419"/>
        <w:spacing w:after="0" w:line="277" w:lineRule="auto"/>
        <w:tabs>
          <w:tab w:leader="none" w:pos="107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subordinate the Obligations in right of payment or subordinate the Liens on the Collateral, in each case, to any other Indebtedness or any Lien securing any other Indebtedness, without the written consent of each Lender; or</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the Term Facility to assign any of its rights or obligations hereunder without the written consent of the Required Lenders;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92"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Notwithstanding any provision herein to the contrary, this Agreement may be amended to extend the Maturity Date of the Term Facility with respect to Lenders that agree to such extension with respect to their Term Loans with the written consent of each such approving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such case, (x) no Lender shall be obligated to participate in any such extension and (y) any such proposed extension of the Maturity Date with respect to the Term Facility shall have been offered to each Lender with Loans or Commitments under the Term Facility proposed to be extended, and if the consents of such Lenders exceed the portion of Commitments and Loans the Borrower wishes to extend, such consents shall be accepted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among the applicable consenting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178" w:name="page179"/>
    <w:bookmarkEnd w:id="17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 may, at the Borrower’s option, be made to the Lenders in respect of any tranche or tranches of Term Loans without being made to any other tranche of Term Loans,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88"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(x) Collateral Documents (including any additional Collateral Documents executed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55" w:lineRule="auto"/>
        <w:tabs>
          <w:tab w:leader="none" w:pos="110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 if to the Borrower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w:t>
      </w:r>
    </w:p>
    <w:p>
      <w:pPr>
        <w:spacing w:after="0" w:line="84"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80" w:lineRule="exact"/>
        <w:rPr>
          <w:sz w:val="20"/>
          <w:szCs w:val="20"/>
          <w:color w:val="auto"/>
        </w:rPr>
      </w:pPr>
    </w:p>
    <w:p>
      <w:pPr>
        <w:ind w:left="440" w:right="80" w:firstLine="419"/>
        <w:spacing w:after="0" w:line="273" w:lineRule="auto"/>
        <w:tabs>
          <w:tab w:leader="none" w:pos="1118"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70"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179" w:name="page180"/>
    <w:bookmarkEnd w:id="179"/>
    <w:p>
      <w:pPr>
        <w:ind w:lef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76" w:lineRule="exact"/>
        <w:rPr>
          <w:sz w:val="20"/>
          <w:szCs w:val="20"/>
          <w:color w:val="auto"/>
        </w:rPr>
      </w:pPr>
    </w:p>
    <w:p>
      <w:pPr>
        <w:ind w:left="1100" w:hanging="241"/>
        <w:spacing w:after="0"/>
        <w:tabs>
          <w:tab w:leader="none" w:pos="11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85" w:lineRule="auto"/>
        <w:tabs>
          <w:tab w:leader="none" w:pos="1118"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1" w:lineRule="exact"/>
        <w:rPr>
          <w:rFonts w:ascii="Arial" w:cs="Arial" w:eastAsia="Arial" w:hAnsi="Arial"/>
          <w:sz w:val="16"/>
          <w:szCs w:val="16"/>
          <w:color w:val="auto"/>
        </w:rPr>
      </w:pPr>
    </w:p>
    <w:p>
      <w:pPr>
        <w:ind w:left="700" w:hanging="264"/>
        <w:spacing w:after="0"/>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accurate wire instructions for such Lender.</w:t>
      </w:r>
    </w:p>
    <w:p>
      <w:pPr>
        <w:spacing w:after="0" w:line="102" w:lineRule="exact"/>
        <w:rPr>
          <w:rFonts w:ascii="Arial" w:cs="Arial" w:eastAsia="Arial" w:hAnsi="Arial"/>
          <w:sz w:val="18"/>
          <w:szCs w:val="18"/>
          <w:color w:val="auto"/>
        </w:rPr>
      </w:pPr>
    </w:p>
    <w:p>
      <w:pPr>
        <w:ind w:left="440" w:right="220" w:firstLine="419"/>
        <w:spacing w:after="0" w:line="287" w:lineRule="auto"/>
        <w:tabs>
          <w:tab w:leader="none" w:pos="1107"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The Administrative Agent and the Lenders shall be entitled to rely and act upon any notices (including telephonic or electronic Committed Loan Notices) purportedly given by or on behalf of the Borrower even if (i) such notices were not made in a manner specified herein, were incomplete or were not preceded or followed by any other form of notice specified herein, or</w:t>
      </w:r>
    </w:p>
    <w:p>
      <w:pPr>
        <w:spacing w:after="0" w:line="2" w:lineRule="exact"/>
        <w:rPr>
          <w:rFonts w:ascii="Arial" w:cs="Arial" w:eastAsia="Arial" w:hAnsi="Arial"/>
          <w:sz w:val="16"/>
          <w:szCs w:val="16"/>
          <w:color w:val="auto"/>
        </w:rPr>
      </w:pPr>
    </w:p>
    <w:p>
      <w:pPr>
        <w:ind w:left="440" w:right="140" w:hanging="4"/>
        <w:spacing w:after="0" w:line="252" w:lineRule="auto"/>
        <w:tabs>
          <w:tab w:leader="none" w:pos="70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terms thereof, as understood by the recipient, varied from any confirmation thereof. The Borrower shall indemnify the Administrative Agent, each Lender and the Related Parties of each of them from all reasonable and documented out of pocket losses, costs, expenses and liabilities resulting from the reliance by such Person on each notice purportedly given by or on behalf of the Borrower, unless such losses, costs, expenses or liabilities are the result of the gross negligence or willful misconduct of the Administrative Agent or the Lenders. All telephonic notices to and other telephonic communications with the Administrative Agent may be recorded by the Administrative Agent, and each of the parties hereto hereby consents to such recording.</w:t>
      </w:r>
    </w:p>
    <w:p>
      <w:pPr>
        <w:spacing w:after="0" w:line="194"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left="440" w:right="180" w:firstLine="419"/>
        <w:spacing w:after="0" w:line="277" w:lineRule="auto"/>
        <w:tabs>
          <w:tab w:leader="none" w:pos="1107"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Administrative Agent and its Affiliates (including the reasonable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440" w:top="274" w:right="499" w:bottom="1440" w:gutter="0" w:footer="0" w:header="0"/>
        </w:sectPr>
      </w:pPr>
    </w:p>
    <w:bookmarkStart w:id="180" w:name="page181"/>
    <w:bookmarkEnd w:id="18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documented fees, charges and disbursements of outside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w:t>
      </w:r>
    </w:p>
    <w:p>
      <w:pPr>
        <w:spacing w:after="0" w:line="80" w:lineRule="exact"/>
        <w:rPr>
          <w:sz w:val="20"/>
          <w:szCs w:val="20"/>
          <w:color w:val="auto"/>
        </w:rPr>
      </w:pPr>
    </w:p>
    <w:p>
      <w:pPr>
        <w:ind w:right="60" w:firstLine="419"/>
        <w:spacing w:after="0" w:line="285" w:lineRule="auto"/>
        <w:tabs>
          <w:tab w:leader="none" w:pos="678"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(and any sub-agent thereof), each Lender and each Related Party of any of the foregoing Persons (each such Person being called an “Indemnitee”) against, and hold each Indemnitee harmless from, any and all losses, claims, damages, liabilities and related expenses (including the reasonable and documented out of pocket fees, charges and disbursements of any outside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actual or alleged presence or Release of Hazardous Materials at, on, under or emanating from any property owned, leased or operated by the Borrower or any of its Subsidiaries, or any Environmental Liability related in any way to the Borrower or any of its Subsidiaries, or (iii)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65" w:lineRule="exact"/>
        <w:rPr>
          <w:rFonts w:ascii="Arial" w:cs="Arial" w:eastAsia="Arial" w:hAnsi="Arial"/>
          <w:sz w:val="16"/>
          <w:szCs w:val="16"/>
          <w:color w:val="auto"/>
        </w:rPr>
      </w:pPr>
    </w:p>
    <w:p>
      <w:pPr>
        <w:ind w:firstLine="419"/>
        <w:spacing w:after="0" w:line="269" w:lineRule="auto"/>
        <w:tabs>
          <w:tab w:leader="none" w:pos="667"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to be paid by it to the Administrative Agent (or any sub-agent thereof) or any Related Party, each Lender severally agrees to pay to the Administrative Agent (or any such sub-agent)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based on each Lender’s share of the Total Term Loan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right="80" w:firstLine="419"/>
        <w:spacing w:after="0" w:line="291" w:lineRule="auto"/>
        <w:tabs>
          <w:tab w:leader="none" w:pos="678"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60"/>
          </w:cols>
          <w:pgMar w:left="880" w:top="274" w:right="459" w:bottom="1440" w:gutter="0" w:footer="0" w:header="0"/>
        </w:sectPr>
      </w:pPr>
    </w:p>
    <w:bookmarkStart w:id="181" w:name="page182"/>
    <w:bookmarkEnd w:id="181"/>
    <w:p>
      <w:pPr>
        <w:ind w:left="1100" w:hanging="241"/>
        <w:spacing w:after="0"/>
        <w:tabs>
          <w:tab w:leader="none" w:pos="110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Payments</w:t>
      </w:r>
      <w:r>
        <w:rPr>
          <w:rFonts w:ascii="Arial" w:cs="Arial" w:eastAsia="Arial" w:hAnsi="Arial"/>
          <w:sz w:val="18"/>
          <w:szCs w:val="18"/>
          <w:color w:val="auto"/>
        </w:rPr>
        <w:t>. All amounts due under this Section shall be payable not later than ten Business Days after demand therefor.</w:t>
      </w:r>
    </w:p>
    <w:p>
      <w:pPr>
        <w:spacing w:after="0" w:line="117" w:lineRule="exact"/>
        <w:rPr>
          <w:rFonts w:ascii="Arial" w:cs="Arial" w:eastAsia="Arial" w:hAnsi="Arial"/>
          <w:sz w:val="18"/>
          <w:szCs w:val="18"/>
          <w:color w:val="auto"/>
        </w:rPr>
      </w:pPr>
    </w:p>
    <w:p>
      <w:pPr>
        <w:ind w:left="440" w:firstLine="419"/>
        <w:spacing w:after="0" w:line="263" w:lineRule="auto"/>
        <w:tabs>
          <w:tab w:leader="none" w:pos="108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8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The obligations of the Lenders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53" w:lineRule="auto"/>
        <w:tabs>
          <w:tab w:leader="none" w:pos="110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86"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provided such assignee is not an Ineligible Institution, all or a portion of its rights and obligations under this Agreement (including all or a portion of its Commitment(s)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20" w:firstLine="391"/>
        <w:spacing w:after="0" w:line="301" w:lineRule="auto"/>
        <w:tabs>
          <w:tab w:leader="none" w:pos="2098" w:val="left"/>
        </w:tabs>
        <w:numPr>
          <w:ilvl w:val="2"/>
          <w:numId w:val="240"/>
        </w:numPr>
        <w:rPr>
          <w:rFonts w:ascii="Arial" w:cs="Arial" w:eastAsia="Arial" w:hAnsi="Arial"/>
          <w:sz w:val="16"/>
          <w:szCs w:val="16"/>
          <w:color w:val="auto"/>
        </w:rPr>
      </w:pPr>
      <w:r>
        <w:rPr>
          <w:rFonts w:ascii="Arial" w:cs="Arial" w:eastAsia="Arial" w:hAnsi="Arial"/>
          <w:sz w:val="16"/>
          <w:szCs w:val="16"/>
          <w:color w:val="auto"/>
        </w:rPr>
        <w:t xml:space="preserve">in the case of an assignment of the entire remaining amount of the assigning Lender’s Commitment under the Term Facility and/or the Loans at the time owing to it (in each case with respect to any Facility) or contemporaneous assignments to related Approved Funds that equal at least the amount specified in </w:t>
      </w:r>
      <w:r>
        <w:rPr>
          <w:rFonts w:ascii="Arial" w:cs="Arial" w:eastAsia="Arial" w:hAnsi="Arial"/>
          <w:sz w:val="16"/>
          <w:szCs w:val="16"/>
          <w:u w:val="single" w:color="auto"/>
          <w:color w:val="auto"/>
        </w:rPr>
        <w:t>subsection (b)(i)(B)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in the aggregate or in the case of an assignment to a Lender, an Affiliate of a Lender or an Approved Fund, no minimum amount need be assigned; and</w:t>
      </w:r>
    </w:p>
    <w:p>
      <w:pPr>
        <w:spacing w:after="0" w:line="49" w:lineRule="exact"/>
        <w:rPr>
          <w:rFonts w:ascii="Arial" w:cs="Arial" w:eastAsia="Arial" w:hAnsi="Arial"/>
          <w:sz w:val="16"/>
          <w:szCs w:val="16"/>
          <w:color w:val="auto"/>
        </w:rPr>
      </w:pPr>
    </w:p>
    <w:p>
      <w:pPr>
        <w:ind w:left="1420" w:firstLine="391"/>
        <w:spacing w:after="0" w:line="259" w:lineRule="auto"/>
        <w:tabs>
          <w:tab w:leader="none" w:pos="2088" w:val="left"/>
        </w:tabs>
        <w:numPr>
          <w:ilvl w:val="2"/>
          <w:numId w:val="240"/>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subsection (b)(i)(A)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82" w:name="page183"/>
    <w:bookmarkEnd w:id="182"/>
    <w:p>
      <w:pPr>
        <w:ind w:left="44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w:t>
      </w:r>
    </w:p>
    <w:p>
      <w:pPr>
        <w:spacing w:after="0" w:line="76" w:lineRule="exact"/>
        <w:rPr>
          <w:sz w:val="20"/>
          <w:szCs w:val="20"/>
          <w:color w:val="auto"/>
        </w:rPr>
      </w:pPr>
    </w:p>
    <w:p>
      <w:pPr>
        <w:ind w:firstLine="408"/>
        <w:spacing w:after="0" w:line="259" w:lineRule="auto"/>
        <w:tabs>
          <w:tab w:leader="none" w:pos="66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or (B) prohibit any Lender from assigning all or a portion of its rights and obligations among any separate revolving credit or term loan facilities provided pursuant to the last paragraph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on a non-</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78" w:lineRule="exact"/>
        <w:rPr>
          <w:rFonts w:ascii="Arial" w:cs="Arial" w:eastAsia="Arial" w:hAnsi="Arial"/>
          <w:sz w:val="18"/>
          <w:szCs w:val="18"/>
          <w:color w:val="auto"/>
        </w:rPr>
      </w:pPr>
    </w:p>
    <w:p>
      <w:pPr>
        <w:ind w:right="60" w:firstLine="408"/>
        <w:spacing w:after="0" w:line="277" w:lineRule="auto"/>
        <w:tabs>
          <w:tab w:leader="none" w:pos="71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in addition:</w:t>
      </w:r>
    </w:p>
    <w:p>
      <w:pPr>
        <w:spacing w:after="0" w:line="62" w:lineRule="exact"/>
        <w:rPr>
          <w:rFonts w:ascii="Arial" w:cs="Arial" w:eastAsia="Arial" w:hAnsi="Arial"/>
          <w:sz w:val="18"/>
          <w:szCs w:val="18"/>
          <w:color w:val="auto"/>
        </w:rPr>
      </w:pPr>
    </w:p>
    <w:p>
      <w:pPr>
        <w:ind w:left="440" w:right="100" w:firstLine="391"/>
        <w:spacing w:after="0" w:line="285" w:lineRule="auto"/>
        <w:tabs>
          <w:tab w:leader="none" w:pos="1118" w:val="left"/>
        </w:tabs>
        <w:numPr>
          <w:ilvl w:val="2"/>
          <w:numId w:val="241"/>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(1) an Event of Default has occurred and is continuing at the time of such assignment; (2) such assignment is to a Lender, an Affiliate of a Lender or an Approved Fund, or (3) such assignment is made in connection with the primary syndication of the credit facility provided herein and during the ninety (90) day period following the Closing Date; provided that the Borrower shall be deemed to have consented to any such assignment unless it shall object thereto by written notice to the Administrative Agent within ten</w:t>
      </w:r>
    </w:p>
    <w:p>
      <w:pPr>
        <w:spacing w:after="0" w:line="1" w:lineRule="exact"/>
        <w:rPr>
          <w:rFonts w:ascii="Arial" w:cs="Arial" w:eastAsia="Arial" w:hAnsi="Arial"/>
          <w:sz w:val="16"/>
          <w:szCs w:val="16"/>
          <w:color w:val="auto"/>
        </w:rPr>
      </w:pPr>
    </w:p>
    <w:p>
      <w:pPr>
        <w:ind w:left="800" w:hanging="352"/>
        <w:spacing w:after="0"/>
        <w:tabs>
          <w:tab w:leader="none" w:pos="8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Business Days after having received notice thereof; and</w:t>
      </w:r>
    </w:p>
    <w:p>
      <w:pPr>
        <w:spacing w:after="0" w:line="102" w:lineRule="exact"/>
        <w:rPr>
          <w:rFonts w:ascii="Arial" w:cs="Arial" w:eastAsia="Arial" w:hAnsi="Arial"/>
          <w:sz w:val="18"/>
          <w:szCs w:val="18"/>
          <w:color w:val="auto"/>
        </w:rPr>
      </w:pPr>
    </w:p>
    <w:p>
      <w:pPr>
        <w:ind w:left="440" w:firstLine="391"/>
        <w:spacing w:after="0" w:line="259" w:lineRule="auto"/>
        <w:tabs>
          <w:tab w:leader="none" w:pos="1108" w:val="left"/>
        </w:tabs>
        <w:numPr>
          <w:ilvl w:val="2"/>
          <w:numId w:val="24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any unfunded Commitment if such assignment is to a Person that is not a Lender with a Commitment in respect of the Term Facility, an Affiliate of such Lender or an Approved Fund with respect to such Lender or (ii) any Loan to a Person that is not a Lender, an Affiliate of a Lender or an Approved Fund.</w:t>
      </w:r>
    </w:p>
    <w:p>
      <w:pPr>
        <w:spacing w:after="0" w:line="78" w:lineRule="exact"/>
        <w:rPr>
          <w:rFonts w:ascii="Arial" w:cs="Arial" w:eastAsia="Arial" w:hAnsi="Arial"/>
          <w:sz w:val="18"/>
          <w:szCs w:val="18"/>
          <w:color w:val="auto"/>
        </w:rPr>
      </w:pPr>
    </w:p>
    <w:p>
      <w:pPr>
        <w:ind w:left="720" w:hanging="312"/>
        <w:spacing w:after="0"/>
        <w:tabs>
          <w:tab w:leader="none" w:pos="72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The parties to each assignment shall execute and deliver to the Administrative Agent an</w:t>
      </w:r>
    </w:p>
    <w:p>
      <w:pPr>
        <w:spacing w:after="0" w:line="34" w:lineRule="exact"/>
        <w:rPr>
          <w:rFonts w:ascii="Arial" w:cs="Arial" w:eastAsia="Arial" w:hAnsi="Arial"/>
          <w:sz w:val="17"/>
          <w:szCs w:val="17"/>
          <w:color w:val="auto"/>
        </w:rPr>
      </w:pPr>
    </w:p>
    <w:p>
      <w:pPr>
        <w:ind w:right="100"/>
        <w:spacing w:after="0" w:line="295" w:lineRule="auto"/>
        <w:rPr>
          <w:rFonts w:ascii="Arial" w:cs="Arial" w:eastAsia="Arial" w:hAnsi="Arial"/>
          <w:sz w:val="17"/>
          <w:szCs w:val="17"/>
          <w:color w:val="auto"/>
        </w:rPr>
      </w:pPr>
      <w:r>
        <w:rPr>
          <w:rFonts w:ascii="Arial" w:cs="Arial" w:eastAsia="Arial" w:hAnsi="Arial"/>
          <w:sz w:val="16"/>
          <w:szCs w:val="16"/>
          <w:color w:val="auto"/>
        </w:rPr>
        <w:t xml:space="preserve">Assignment and Assumption, together with a processing and recordation fee in the amount of $3,500 and information and documentation reasonably requested by the Administrative Agent for purposes of compliance with applicable “know your customer” rules and Anti-Money Laundering Laws, including the USA PATRIOT Act and the Beneficial Ownership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may, in its sole discretion, elect to waive such processing and recordation fee in the case of any assignment.</w:t>
      </w:r>
    </w:p>
    <w:p>
      <w:pPr>
        <w:spacing w:after="0" w:line="53" w:lineRule="exact"/>
        <w:rPr>
          <w:rFonts w:ascii="Arial" w:cs="Arial" w:eastAsia="Arial" w:hAnsi="Arial"/>
          <w:sz w:val="17"/>
          <w:szCs w:val="17"/>
          <w:color w:val="auto"/>
        </w:rPr>
      </w:pPr>
    </w:p>
    <w:p>
      <w:pPr>
        <w:ind w:right="60" w:firstLine="408"/>
        <w:spacing w:after="0" w:line="279" w:lineRule="auto"/>
        <w:tabs>
          <w:tab w:leader="none" w:pos="655"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or (C) to a natural Person. Notwithstanding the foregoing, any Lender may assign all or any portion of its Term Loans hereunder to the Borrower, but only if:</w:t>
      </w:r>
    </w:p>
    <w:p>
      <w:pPr>
        <w:spacing w:after="0" w:line="63" w:lineRule="exact"/>
        <w:rPr>
          <w:rFonts w:ascii="Arial" w:cs="Arial" w:eastAsia="Arial" w:hAnsi="Arial"/>
          <w:sz w:val="17"/>
          <w:szCs w:val="17"/>
          <w:color w:val="auto"/>
        </w:rPr>
      </w:pPr>
    </w:p>
    <w:p>
      <w:pPr>
        <w:ind w:left="1120" w:hanging="289"/>
        <w:spacing w:after="0"/>
        <w:tabs>
          <w:tab w:leader="none" w:pos="112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such assignment is made pursuant to a Dutch Auction open to all Lenders holding Term Loans on a pro rata basis or</w:t>
      </w:r>
    </w:p>
    <w:p>
      <w:pPr>
        <w:spacing w:after="0" w:line="35" w:lineRule="exact"/>
        <w:rPr>
          <w:sz w:val="20"/>
          <w:szCs w:val="20"/>
          <w:color w:val="auto"/>
        </w:rPr>
      </w:pPr>
    </w:p>
    <w:p>
      <w:pPr>
        <w:ind w:left="740" w:hanging="292"/>
        <w:spacing w:after="0"/>
        <w:tabs>
          <w:tab w:leader="none" w:pos="7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such assignment is made as an open market purchase on a non-pro rata basis;</w:t>
      </w:r>
    </w:p>
    <w:p>
      <w:pPr>
        <w:spacing w:after="0" w:line="102" w:lineRule="exact"/>
        <w:rPr>
          <w:rFonts w:ascii="Arial" w:cs="Arial" w:eastAsia="Arial" w:hAnsi="Arial"/>
          <w:sz w:val="18"/>
          <w:szCs w:val="18"/>
          <w:color w:val="auto"/>
        </w:rPr>
      </w:pPr>
    </w:p>
    <w:p>
      <w:pPr>
        <w:ind w:left="1120" w:hanging="289"/>
        <w:spacing w:after="0"/>
        <w:tabs>
          <w:tab w:leader="none" w:pos="11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or would result therefrom;</w:t>
      </w:r>
    </w:p>
    <w:p>
      <w:pPr>
        <w:spacing w:after="0" w:line="117" w:lineRule="exact"/>
        <w:rPr>
          <w:rFonts w:ascii="Arial" w:cs="Arial" w:eastAsia="Arial" w:hAnsi="Arial"/>
          <w:sz w:val="18"/>
          <w:szCs w:val="18"/>
          <w:color w:val="auto"/>
        </w:rPr>
      </w:pPr>
    </w:p>
    <w:p>
      <w:pPr>
        <w:ind w:left="440" w:right="720" w:firstLine="391"/>
        <w:spacing w:after="0" w:line="277" w:lineRule="auto"/>
        <w:tabs>
          <w:tab w:leader="none" w:pos="110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upon the effectiveness of such assignment, such Term Loans will be deemed to be automatically and permanently cancelled;</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000"/>
          </w:cols>
          <w:pgMar w:left="1420" w:top="274" w:right="479" w:bottom="1440" w:gutter="0" w:footer="0" w:header="0"/>
        </w:sectPr>
      </w:pPr>
    </w:p>
    <w:bookmarkStart w:id="183" w:name="page184"/>
    <w:bookmarkEnd w:id="183"/>
    <w:p>
      <w:pPr>
        <w:ind w:left="1660" w:hanging="289"/>
        <w:spacing w:after="0"/>
        <w:tabs>
          <w:tab w:leader="none" w:pos="1660" w:val="left"/>
        </w:tabs>
        <w:numPr>
          <w:ilvl w:val="2"/>
          <w:numId w:val="2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proceeds of ABL Revolving Loans shall be used by the Borrower to fund the consideration for such assignment.</w:t>
      </w:r>
    </w:p>
    <w:p>
      <w:pPr>
        <w:spacing w:after="0" w:line="128" w:lineRule="exact"/>
        <w:rPr>
          <w:rFonts w:ascii="Arial" w:cs="Arial" w:eastAsia="Arial" w:hAnsi="Arial"/>
          <w:sz w:val="17"/>
          <w:szCs w:val="17"/>
          <w:color w:val="auto"/>
        </w:rPr>
      </w:pPr>
    </w:p>
    <w:p>
      <w:pPr>
        <w:ind w:left="540" w:firstLine="408"/>
        <w:spacing w:after="0" w:line="287" w:lineRule="auto"/>
        <w:tabs>
          <w:tab w:leader="none" w:pos="1245"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all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63" w:lineRule="exact"/>
        <w:rPr>
          <w:rFonts w:ascii="Arial" w:cs="Arial" w:eastAsia="Arial" w:hAnsi="Arial"/>
          <w:sz w:val="16"/>
          <w:szCs w:val="16"/>
          <w:color w:val="auto"/>
        </w:rPr>
      </w:pPr>
    </w:p>
    <w:p>
      <w:pPr>
        <w:ind w:left="540" w:right="40" w:firstLine="408"/>
        <w:spacing w:after="0" w:line="287" w:lineRule="auto"/>
        <w:tabs>
          <w:tab w:leader="none" w:pos="1296" w:val="left"/>
        </w:tabs>
        <w:numPr>
          <w:ilvl w:val="1"/>
          <w:numId w:val="246"/>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80" w:firstLine="419"/>
        <w:spacing w:after="0" w:line="254" w:lineRule="auto"/>
        <w:tabs>
          <w:tab w:leader="none" w:pos="667"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w:t>
      </w:r>
    </w:p>
    <w:p>
      <w:pPr>
        <w:spacing w:after="0" w:line="83" w:lineRule="exact"/>
        <w:rPr>
          <w:rFonts w:ascii="Arial" w:cs="Arial" w:eastAsia="Arial" w:hAnsi="Arial"/>
          <w:sz w:val="18"/>
          <w:szCs w:val="18"/>
          <w:color w:val="auto"/>
        </w:rPr>
      </w:pPr>
    </w:p>
    <w:p>
      <w:pPr>
        <w:ind w:right="180" w:firstLine="419"/>
        <w:spacing w:after="0" w:line="257" w:lineRule="auto"/>
        <w:tabs>
          <w:tab w:leader="none" w:pos="678"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but with notice to, the Borrower or the Administrative Agent, sell participations to any Person (other than an Ineligible Institution)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480"/>
          </w:cols>
          <w:pgMar w:left="880" w:top="274" w:right="539" w:bottom="1440" w:gutter="0" w:footer="0" w:header="0"/>
        </w:sectPr>
      </w:pPr>
    </w:p>
    <w:bookmarkStart w:id="184" w:name="page185"/>
    <w:bookmarkEnd w:id="184"/>
    <w:p>
      <w:pPr>
        <w:jc w:val="both"/>
        <w:ind w:left="44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without regard to the existence of any participation.</w:t>
      </w:r>
    </w:p>
    <w:p>
      <w:pPr>
        <w:spacing w:after="0" w:line="184"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w:t>
      </w:r>
    </w:p>
    <w:p>
      <w:pPr>
        <w:spacing w:after="0" w:line="1" w:lineRule="exact"/>
        <w:rPr>
          <w:sz w:val="20"/>
          <w:szCs w:val="20"/>
          <w:color w:val="auto"/>
        </w:rPr>
      </w:pPr>
    </w:p>
    <w:p>
      <w:pPr>
        <w:ind w:left="4" w:hanging="4"/>
        <w:spacing w:after="0" w:line="284" w:lineRule="auto"/>
        <w:tabs>
          <w:tab w:leader="none" w:pos="28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the United States Proposed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Notwithstanding anything to the contrary contained in this Agreement, (a) the Administrative Agent shall not be responsible or have any liability for, or have any duty to ascertain, inquire into, monitor or enforce, compliance with the provisions hereof relating to Ineligible Institutions and (b) the Borrower (on behalf of itself and the other Loan Parties) and the Lenders acknowledge and agree that the Administrative Agent shall have no responsibility or obligation to determine whether any Lender or potential Lender is an Ineligible Institution and that the Administrative Agent shall have no liability with respect to any assignment or participation made to an Ineligible Institution.</w:t>
      </w:r>
    </w:p>
    <w:p>
      <w:pPr>
        <w:spacing w:after="0" w:line="68" w:lineRule="exact"/>
        <w:rPr>
          <w:sz w:val="20"/>
          <w:szCs w:val="20"/>
          <w:color w:val="auto"/>
        </w:rPr>
      </w:pPr>
    </w:p>
    <w:p>
      <w:pPr>
        <w:ind w:left="444" w:right="120" w:firstLine="419"/>
        <w:spacing w:after="0" w:line="301" w:lineRule="auto"/>
        <w:tabs>
          <w:tab w:leader="none" w:pos="1111"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57"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 xml:space="preserve">10.07. </w:t>
      </w:r>
      <w:r>
        <w:rPr>
          <w:rFonts w:ascii="Arial" w:cs="Arial" w:eastAsia="Arial" w:hAnsi="Arial"/>
          <w:sz w:val="17"/>
          <w:szCs w:val="17"/>
          <w:u w:val="single" w:color="auto"/>
          <w:color w:val="auto"/>
        </w:rPr>
        <w:t>Treatment of Certain Information; Confidentiality</w:t>
      </w:r>
      <w:r>
        <w:rPr>
          <w:rFonts w:ascii="Arial" w:cs="Arial" w:eastAsia="Arial" w:hAnsi="Arial"/>
          <w:sz w:val="17"/>
          <w:szCs w:val="17"/>
          <w:color w:val="auto"/>
        </w:rPr>
        <w:t>.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85" w:name="page186"/>
    <w:bookmarkEnd w:id="18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(A) becomes publicly available other than as a result of a breach of this Section or (B) becomes available to the Administrative Agent, any Lender or any of their respective Affiliates on a nonconfidential basis from a source other than the Borrower.</w:t>
      </w:r>
    </w:p>
    <w:p>
      <w:pPr>
        <w:spacing w:after="0" w:line="168"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4"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EACH OF THE ADMINISTRATIVE AGENT AND THE LENDERS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88"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186" w:name="page187"/>
    <w:bookmarkEnd w:id="186"/>
    <w:p>
      <w:pPr>
        <w:ind w:left="4" w:right="1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10.09.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to the contrary contained in any Loan Document, the interest and other loan charges paid or agreed to be paid under the Loan Documents shall not exceed the maximum rate of non-usurious interest permitted by applicable Laws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8"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92"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ind w:left="4" w:right="180" w:hanging="4"/>
        <w:spacing w:after="0" w:line="252" w:lineRule="auto"/>
        <w:tabs>
          <w:tab w:leader="none" w:pos="25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left="1104" w:hanging="241"/>
        <w:spacing w:after="0"/>
        <w:tabs>
          <w:tab w:leader="none" w:pos="110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419"/>
        <w:spacing w:after="0" w:line="259" w:lineRule="auto"/>
        <w:tabs>
          <w:tab w:leader="none" w:pos="112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from the assignee (to the extent of such outstanding principal and accrued interest and fees) or the Borrower (in the case of all other amounts, including any amount payable under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4"/>
          </w:cols>
          <w:pgMar w:left="436" w:top="274" w:right="479" w:bottom="1440" w:gutter="0" w:footer="0" w:header="0"/>
        </w:sectPr>
      </w:pPr>
    </w:p>
    <w:bookmarkStart w:id="187" w:name="page188"/>
    <w:bookmarkEnd w:id="187"/>
    <w:p>
      <w:pPr>
        <w:ind w:left="440" w:firstLine="419"/>
        <w:spacing w:after="0" w:line="277" w:lineRule="auto"/>
        <w:tabs>
          <w:tab w:leader="none" w:pos="1108"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17" w:lineRule="exact"/>
        <w:rPr>
          <w:sz w:val="20"/>
          <w:szCs w:val="20"/>
          <w:color w:val="auto"/>
        </w:rPr>
      </w:pPr>
    </w:p>
    <w:p>
      <w:pPr>
        <w:ind w:left="440" w:right="460" w:firstLine="419"/>
        <w:spacing w:after="0" w:line="275" w:lineRule="auto"/>
        <w:tabs>
          <w:tab w:leader="none" w:pos="1107"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68" w:lineRule="exact"/>
        <w:rPr>
          <w:rFonts w:ascii="Arial" w:cs="Arial" w:eastAsia="Arial" w:hAnsi="Arial"/>
          <w:sz w:val="17"/>
          <w:szCs w:val="17"/>
          <w:color w:val="auto"/>
        </w:rPr>
      </w:pPr>
    </w:p>
    <w:p>
      <w:pPr>
        <w:ind w:left="440" w:firstLine="419"/>
        <w:spacing w:after="0" w:line="252" w:lineRule="auto"/>
        <w:tabs>
          <w:tab w:leader="none" w:pos="1118"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OR ANY LENDER MAY OTHERWISE HAVE TO BRING ANY ACTION OR PROCEEDING RELATING TO THIS AGREEMENT OR ANY OTHER LOAN DOCUMENT AGAINST THE BORROWER OR ANY OTHER LOAN PARTY OR ITS PROPERTIES IN THE COURTS OF ANY JURISDICTION.</w:t>
      </w:r>
    </w:p>
    <w:p>
      <w:pPr>
        <w:spacing w:after="0" w:line="86" w:lineRule="exact"/>
        <w:rPr>
          <w:rFonts w:ascii="Arial" w:cs="Arial" w:eastAsia="Arial" w:hAnsi="Arial"/>
          <w:sz w:val="18"/>
          <w:szCs w:val="18"/>
          <w:color w:val="auto"/>
        </w:rPr>
      </w:pPr>
    </w:p>
    <w:p>
      <w:pPr>
        <w:ind w:left="440" w:right="60" w:firstLine="419"/>
        <w:spacing w:after="0" w:line="255" w:lineRule="auto"/>
        <w:tabs>
          <w:tab w:leader="none" w:pos="1107"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88" w:name="page189"/>
    <w:bookmarkEnd w:id="188"/>
    <w:p>
      <w:pPr>
        <w:ind w:left="444" w:right="220" w:firstLine="419"/>
        <w:spacing w:after="0" w:line="263" w:lineRule="auto"/>
        <w:tabs>
          <w:tab w:leader="none" w:pos="112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80" w:hanging="4"/>
        <w:spacing w:after="0" w:line="253" w:lineRule="auto"/>
        <w:tabs>
          <w:tab w:leader="none" w:pos="29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the Lenders with respect to any breach or alleged breach of agency or fiduciary duty in connection with any aspect of any transaction contemplated hereby.</w:t>
      </w:r>
    </w:p>
    <w:p>
      <w:pPr>
        <w:spacing w:after="0" w:line="182"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upon the request of any party, any electronic signature shall be promptly followed by such manually executed counterpart.</w:t>
      </w:r>
    </w:p>
    <w:p>
      <w:pPr>
        <w:spacing w:after="0" w:line="179"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189" w:name="page190"/>
    <w:bookmarkEnd w:id="18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Anti-Money Laundering Laws, including the PATRIOT Act.</w:t>
      </w:r>
    </w:p>
    <w:p>
      <w:pPr>
        <w:spacing w:after="0" w:line="15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Collateral Documents that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Acknowledgment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left="440" w:right="660" w:firstLine="419"/>
        <w:spacing w:after="0" w:line="277" w:lineRule="auto"/>
        <w:tabs>
          <w:tab w:leader="none" w:pos="11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64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980" w:right="520" w:firstLine="408"/>
        <w:spacing w:after="0" w:line="277" w:lineRule="auto"/>
        <w:tabs>
          <w:tab w:leader="none" w:pos="169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4" w:right="479" w:bottom="1440" w:gutter="0" w:footer="0" w:header="0"/>
        </w:sectPr>
      </w:pPr>
    </w:p>
    <w:bookmarkStart w:id="190" w:name="page191"/>
    <w:bookmarkEnd w:id="1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60"/>
          </w:cols>
          <w:pgMar w:left="440" w:top="274" w:right="499" w:bottom="1440" w:gutter="0" w:footer="0" w:header="0"/>
        </w:sectPr>
      </w:pPr>
    </w:p>
    <w:bookmarkStart w:id="191" w:name="page192"/>
    <w:bookmarkEnd w:id="1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Thomas H. DeByle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980"/>
          </w:cols>
          <w:pgMar w:left="440" w:top="274" w:right="479" w:bottom="1440" w:gutter="0" w:footer="0" w:header="0"/>
        </w:sectPr>
      </w:pPr>
    </w:p>
    <w:bookmarkStart w:id="192" w:name="page193"/>
    <w:bookmarkEnd w:id="19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OAKTREE FUND ADMINISTRATION,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3" w:name="page194"/>
    <w:bookmarkEnd w:id="19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Oaktree Gilead Investment Fund AIF</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(Delaware), 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AIF Series, L.P. – Series 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GP AIF,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GP III,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4" w:name="page195"/>
    <w:bookmarkEnd w:id="19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Oaktree Global Credit Plus Fund AIF,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GP IIA,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GP II,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5" w:name="page196"/>
    <w:bookmarkEnd w:id="19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Oaktree Huntington-GCF Investment Fund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(Direct Lending AIF), 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Huntington-GCF Investment Fund</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(Direct Lending AIF) GP,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Huntington-GCF Investment Fund</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(Direct Lending AIF) GP,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GP III,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6" w:name="page197"/>
    <w:bookmarkEnd w:id="19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Oaktree Strategic Income II,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Advisors,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OSI 2 Senior Lending SPV,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Strategic Income II, Inc.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Advisors,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Investment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7" w:name="page198"/>
    <w:bookmarkEnd w:id="19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Exelon Strategic Credit Holdings,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Oaktree-NGP Strategic Credit,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Oaktree-Forrest Multi-Strategy, LLC </w:t>
      </w:r>
      <w:r>
        <w:rPr>
          <w:rFonts w:ascii="Arial" w:cs="Arial" w:eastAsia="Arial" w:hAnsi="Arial"/>
          <w:sz w:val="18"/>
          <w:szCs w:val="18"/>
          <w:b w:val="1"/>
          <w:bCs w:val="1"/>
          <w:i w:val="1"/>
          <w:iCs w:val="1"/>
          <w:color w:val="auto"/>
        </w:rPr>
        <w:t>[– Series 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8" w:name="page199"/>
    <w:bookmarkEnd w:id="19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Oaktree-TBMR Strategic Credit Fund C,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Oaktree-TBMR Strategic Credit Fund F,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Oaktree-TBMR Strategic Credit Fund G,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199" w:name="page200"/>
    <w:bookmarkEnd w:id="19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Oaktree-Minn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INPRS Strategic Credit Holdings,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Oaktree-TCDRS Strategic Credit,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200" w:name="page201"/>
    <w:bookmarkEnd w:id="20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Oaktree-TSE 16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201" w:name="page202"/>
    <w:bookmarkEnd w:id="20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Oaktree Specialty Lending Corporation</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Oaktree Fund Advisors,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Investment Adviser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Gallegly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Mary Gallegly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Raghav Khanna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Raghav Khanna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Term Loan Credit Agreement]</w:t>
      </w:r>
    </w:p>
    <w:p>
      <w:pPr>
        <w:sectPr>
          <w:pgSz w:w="11900" w:h="16838" w:orient="portrait"/>
          <w:cols w:equalWidth="0" w:num="1">
            <w:col w:w="10020"/>
          </w:cols>
          <w:pgMar w:left="1440" w:top="270" w:right="4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March 22, 2021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183515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226060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8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880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880" w:type="dxa"/>
            <w:vAlign w:val="bottom"/>
            <w:vMerge w:val="continue"/>
          </w:tcPr>
          <w:p>
            <w:pPr>
              <w:spacing w:after="0"/>
              <w:rPr>
                <w:sz w:val="16"/>
                <w:szCs w:val="16"/>
                <w:color w:val="auto"/>
              </w:rPr>
            </w:pPr>
          </w:p>
        </w:tc>
        <w:tc>
          <w:tcPr>
            <w:tcW w:w="880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1.01</w:t>
            </w:r>
          </w:p>
        </w:tc>
        <w:tc>
          <w:tcPr>
            <w:tcW w:w="880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1.02</w:t>
            </w:r>
          </w:p>
        </w:tc>
        <w:tc>
          <w:tcPr>
            <w:tcW w:w="8800" w:type="dxa"/>
            <w:vAlign w:val="bottom"/>
          </w:tcPr>
          <w:p>
            <w:pPr>
              <w:ind w:left="8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1.03</w:t>
            </w:r>
          </w:p>
        </w:tc>
        <w:tc>
          <w:tcPr>
            <w:tcW w:w="8800" w:type="dxa"/>
            <w:vAlign w:val="bottom"/>
          </w:tcPr>
          <w:p>
            <w:pPr>
              <w:ind w:left="80"/>
              <w:spacing w:after="0"/>
              <w:rPr>
                <w:sz w:val="20"/>
                <w:szCs w:val="20"/>
                <w:color w:val="auto"/>
              </w:rPr>
            </w:pPr>
            <w:r>
              <w:rPr>
                <w:rFonts w:ascii="Arial" w:cs="Arial" w:eastAsia="Arial" w:hAnsi="Arial"/>
                <w:sz w:val="18"/>
                <w:szCs w:val="18"/>
                <w:color w:val="auto"/>
              </w:rPr>
              <w:t>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1.04</w:t>
            </w:r>
          </w:p>
        </w:tc>
        <w:tc>
          <w:tcPr>
            <w:tcW w:w="8800" w:type="dxa"/>
            <w:vAlign w:val="bottom"/>
          </w:tcPr>
          <w:p>
            <w:pPr>
              <w:ind w:left="80"/>
              <w:spacing w:after="0"/>
              <w:rPr>
                <w:sz w:val="20"/>
                <w:szCs w:val="20"/>
                <w:color w:val="auto"/>
              </w:rPr>
            </w:pPr>
            <w:r>
              <w:rPr>
                <w:rFonts w:ascii="Arial" w:cs="Arial" w:eastAsia="Arial" w:hAnsi="Arial"/>
                <w:sz w:val="18"/>
                <w:szCs w:val="18"/>
                <w:color w:val="auto"/>
              </w:rPr>
              <w:t>Accounting Terms;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1.05</w:t>
            </w:r>
          </w:p>
        </w:tc>
        <w:tc>
          <w:tcPr>
            <w:tcW w:w="8800" w:type="dxa"/>
            <w:vAlign w:val="bottom"/>
          </w:tcPr>
          <w:p>
            <w:pPr>
              <w:ind w:left="80"/>
              <w:spacing w:after="0"/>
              <w:rPr>
                <w:sz w:val="20"/>
                <w:szCs w:val="20"/>
                <w:color w:val="auto"/>
              </w:rPr>
            </w:pPr>
            <w:r>
              <w:rPr>
                <w:rFonts w:ascii="Arial" w:cs="Arial" w:eastAsia="Arial" w:hAnsi="Arial"/>
                <w:sz w:val="18"/>
                <w:szCs w:val="18"/>
                <w:color w:val="auto"/>
              </w:rPr>
              <w:t>Interest Rates; LIBOR Notifications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1.06</w:t>
            </w:r>
          </w:p>
        </w:tc>
        <w:tc>
          <w:tcPr>
            <w:tcW w:w="8800" w:type="dxa"/>
            <w:vAlign w:val="bottom"/>
          </w:tcPr>
          <w:p>
            <w:pPr>
              <w:ind w:left="80"/>
              <w:spacing w:after="0"/>
              <w:rPr>
                <w:sz w:val="20"/>
                <w:szCs w:val="20"/>
                <w:color w:val="auto"/>
              </w:rPr>
            </w:pPr>
            <w:r>
              <w:rPr>
                <w:rFonts w:ascii="Arial" w:cs="Arial" w:eastAsia="Arial" w:hAnsi="Arial"/>
                <w:sz w:val="18"/>
                <w:szCs w:val="18"/>
                <w:color w:val="auto"/>
              </w:rPr>
              <w:t>Status of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1.07</w:t>
            </w:r>
          </w:p>
        </w:tc>
        <w:tc>
          <w:tcPr>
            <w:tcW w:w="8800" w:type="dxa"/>
            <w:vAlign w:val="bottom"/>
          </w:tcPr>
          <w:p>
            <w:pPr>
              <w:ind w:left="8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1.08</w:t>
            </w:r>
          </w:p>
        </w:tc>
        <w:tc>
          <w:tcPr>
            <w:tcW w:w="8800" w:type="dxa"/>
            <w:vAlign w:val="bottom"/>
          </w:tcPr>
          <w:p>
            <w:pPr>
              <w:ind w:left="80"/>
              <w:spacing w:after="0"/>
              <w:rPr>
                <w:sz w:val="20"/>
                <w:szCs w:val="20"/>
                <w:color w:val="auto"/>
              </w:rPr>
            </w:pPr>
            <w:r>
              <w:rPr>
                <w:rFonts w:ascii="Arial" w:cs="Arial" w:eastAsia="Arial" w:hAnsi="Arial"/>
                <w:sz w:val="18"/>
                <w:szCs w:val="18"/>
                <w:color w:val="auto"/>
              </w:rPr>
              <w:t>Divisions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1.09</w:t>
            </w:r>
          </w:p>
        </w:tc>
        <w:tc>
          <w:tcPr>
            <w:tcW w:w="8800" w:type="dxa"/>
            <w:vAlign w:val="bottom"/>
          </w:tcPr>
          <w:p>
            <w:pPr>
              <w:ind w:left="80"/>
              <w:spacing w:after="0"/>
              <w:rPr>
                <w:sz w:val="20"/>
                <w:szCs w:val="20"/>
                <w:color w:val="auto"/>
              </w:rPr>
            </w:pPr>
            <w:r>
              <w:rPr>
                <w:rFonts w:ascii="Arial" w:cs="Arial" w:eastAsia="Arial" w:hAnsi="Arial"/>
                <w:sz w:val="18"/>
                <w:szCs w:val="18"/>
                <w:color w:val="auto"/>
              </w:rPr>
              <w:t>Certain Calculations and Tests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5"/>
              </w:rPr>
              <w:t>ARTICLE II The Credits</w:t>
            </w:r>
          </w:p>
        </w:tc>
        <w:tc>
          <w:tcPr>
            <w:tcW w:w="88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2.01</w:t>
            </w:r>
          </w:p>
        </w:tc>
        <w:tc>
          <w:tcPr>
            <w:tcW w:w="8800" w:type="dxa"/>
            <w:vAlign w:val="bottom"/>
          </w:tcPr>
          <w:p>
            <w:pPr>
              <w:ind w:left="80"/>
              <w:spacing w:after="0"/>
              <w:rPr>
                <w:sz w:val="20"/>
                <w:szCs w:val="20"/>
                <w:color w:val="auto"/>
              </w:rPr>
            </w:pPr>
            <w:r>
              <w:rPr>
                <w:rFonts w:ascii="Arial" w:cs="Arial" w:eastAsia="Arial" w:hAnsi="Arial"/>
                <w:sz w:val="18"/>
                <w:szCs w:val="18"/>
                <w:color w:val="auto"/>
              </w:rPr>
              <w:t>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2.02</w:t>
            </w:r>
          </w:p>
        </w:tc>
        <w:tc>
          <w:tcPr>
            <w:tcW w:w="8800" w:type="dxa"/>
            <w:vAlign w:val="bottom"/>
          </w:tcPr>
          <w:p>
            <w:pPr>
              <w:ind w:left="80"/>
              <w:spacing w:after="0"/>
              <w:rPr>
                <w:sz w:val="20"/>
                <w:szCs w:val="20"/>
                <w:color w:val="auto"/>
              </w:rPr>
            </w:pPr>
            <w:r>
              <w:rPr>
                <w:rFonts w:ascii="Arial" w:cs="Arial" w:eastAsia="Arial" w:hAnsi="Arial"/>
                <w:sz w:val="18"/>
                <w:szCs w:val="18"/>
                <w:color w:val="auto"/>
              </w:rPr>
              <w:t>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2.03</w:t>
            </w:r>
          </w:p>
        </w:tc>
        <w:tc>
          <w:tcPr>
            <w:tcW w:w="8800" w:type="dxa"/>
            <w:vAlign w:val="bottom"/>
          </w:tcPr>
          <w:p>
            <w:pPr>
              <w:ind w:left="80"/>
              <w:spacing w:after="0"/>
              <w:rPr>
                <w:sz w:val="20"/>
                <w:szCs w:val="20"/>
                <w:color w:val="auto"/>
              </w:rPr>
            </w:pPr>
            <w:r>
              <w:rPr>
                <w:rFonts w:ascii="Arial" w:cs="Arial" w:eastAsia="Arial" w:hAnsi="Arial"/>
                <w:sz w:val="18"/>
                <w:szCs w:val="18"/>
                <w:color w:val="auto"/>
              </w:rPr>
              <w:t>Requests for Revolving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2.04</w:t>
            </w:r>
          </w:p>
        </w:tc>
        <w:tc>
          <w:tcPr>
            <w:tcW w:w="8800" w:type="dxa"/>
            <w:vAlign w:val="bottom"/>
          </w:tcPr>
          <w:p>
            <w:pPr>
              <w:ind w:left="80"/>
              <w:spacing w:after="0"/>
              <w:rPr>
                <w:sz w:val="20"/>
                <w:szCs w:val="20"/>
                <w:color w:val="auto"/>
              </w:rPr>
            </w:pPr>
            <w:r>
              <w:rPr>
                <w:rFonts w:ascii="Arial" w:cs="Arial" w:eastAsia="Arial" w:hAnsi="Arial"/>
                <w:sz w:val="18"/>
                <w:szCs w:val="18"/>
                <w:color w:val="auto"/>
              </w:rPr>
              <w:t>Protective Advances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2.05</w:t>
            </w:r>
          </w:p>
        </w:tc>
        <w:tc>
          <w:tcPr>
            <w:tcW w:w="8800" w:type="dxa"/>
            <w:vAlign w:val="bottom"/>
          </w:tcPr>
          <w:p>
            <w:pPr>
              <w:ind w:left="80"/>
              <w:spacing w:after="0"/>
              <w:rPr>
                <w:sz w:val="20"/>
                <w:szCs w:val="20"/>
                <w:color w:val="auto"/>
              </w:rPr>
            </w:pPr>
            <w:r>
              <w:rPr>
                <w:rFonts w:ascii="Arial" w:cs="Arial" w:eastAsia="Arial" w:hAnsi="Arial"/>
                <w:sz w:val="18"/>
                <w:szCs w:val="18"/>
                <w:color w:val="auto"/>
              </w:rPr>
              <w:t>Swingline Loans and Overadvances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2.06</w:t>
            </w:r>
          </w:p>
        </w:tc>
        <w:tc>
          <w:tcPr>
            <w:tcW w:w="8800" w:type="dxa"/>
            <w:vAlign w:val="bottom"/>
          </w:tcPr>
          <w:p>
            <w:pPr>
              <w:ind w:left="8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2.07</w:t>
            </w:r>
          </w:p>
        </w:tc>
        <w:tc>
          <w:tcPr>
            <w:tcW w:w="8800" w:type="dxa"/>
            <w:vAlign w:val="bottom"/>
          </w:tcPr>
          <w:p>
            <w:pPr>
              <w:ind w:left="80"/>
              <w:spacing w:after="0"/>
              <w:rPr>
                <w:sz w:val="20"/>
                <w:szCs w:val="20"/>
                <w:color w:val="auto"/>
              </w:rPr>
            </w:pPr>
            <w:r>
              <w:rPr>
                <w:rFonts w:ascii="Arial" w:cs="Arial" w:eastAsia="Arial" w:hAnsi="Arial"/>
                <w:sz w:val="18"/>
                <w:szCs w:val="18"/>
                <w:color w:val="auto"/>
              </w:rPr>
              <w:t>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2.08</w:t>
            </w:r>
          </w:p>
        </w:tc>
        <w:tc>
          <w:tcPr>
            <w:tcW w:w="8800" w:type="dxa"/>
            <w:vAlign w:val="bottom"/>
          </w:tcPr>
          <w:p>
            <w:pPr>
              <w:ind w:left="80"/>
              <w:spacing w:after="0"/>
              <w:rPr>
                <w:sz w:val="20"/>
                <w:szCs w:val="20"/>
                <w:color w:val="auto"/>
              </w:rPr>
            </w:pPr>
            <w:r>
              <w:rPr>
                <w:rFonts w:ascii="Arial" w:cs="Arial" w:eastAsia="Arial" w:hAnsi="Arial"/>
                <w:sz w:val="18"/>
                <w:szCs w:val="18"/>
                <w:color w:val="auto"/>
              </w:rPr>
              <w:t>Interest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2.09</w:t>
            </w:r>
          </w:p>
        </w:tc>
        <w:tc>
          <w:tcPr>
            <w:tcW w:w="8800" w:type="dxa"/>
            <w:vAlign w:val="bottom"/>
          </w:tcPr>
          <w:p>
            <w:pPr>
              <w:ind w:left="80"/>
              <w:spacing w:after="0"/>
              <w:rPr>
                <w:sz w:val="20"/>
                <w:szCs w:val="20"/>
                <w:color w:val="auto"/>
              </w:rPr>
            </w:pPr>
            <w:r>
              <w:rPr>
                <w:rFonts w:ascii="Arial" w:cs="Arial" w:eastAsia="Arial" w:hAnsi="Arial"/>
                <w:sz w:val="18"/>
                <w:szCs w:val="18"/>
                <w:color w:val="auto"/>
              </w:rPr>
              <w:t>Termination and Reduction of Commitments; Increase in Revolving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2.10</w:t>
            </w:r>
          </w:p>
        </w:tc>
        <w:tc>
          <w:tcPr>
            <w:tcW w:w="8800" w:type="dxa"/>
            <w:vAlign w:val="bottom"/>
          </w:tcPr>
          <w:p>
            <w:pPr>
              <w:ind w:left="80"/>
              <w:spacing w:after="0"/>
              <w:rPr>
                <w:sz w:val="20"/>
                <w:szCs w:val="20"/>
                <w:color w:val="auto"/>
              </w:rPr>
            </w:pPr>
            <w:r>
              <w:rPr>
                <w:rFonts w:ascii="Arial" w:cs="Arial" w:eastAsia="Arial" w:hAnsi="Arial"/>
                <w:sz w:val="18"/>
                <w:szCs w:val="18"/>
                <w:color w:val="auto"/>
              </w:rPr>
              <w:t>Repayment and Amortization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1"/>
              </w:rPr>
              <w:t>SECTION 2.11</w:t>
            </w:r>
          </w:p>
        </w:tc>
        <w:tc>
          <w:tcPr>
            <w:tcW w:w="8800" w:type="dxa"/>
            <w:vAlign w:val="bottom"/>
          </w:tcPr>
          <w:p>
            <w:pPr>
              <w:ind w:left="80"/>
              <w:spacing w:after="0"/>
              <w:rPr>
                <w:sz w:val="20"/>
                <w:szCs w:val="20"/>
                <w:color w:val="auto"/>
              </w:rPr>
            </w:pPr>
            <w:r>
              <w:rPr>
                <w:rFonts w:ascii="Arial" w:cs="Arial" w:eastAsia="Arial" w:hAnsi="Arial"/>
                <w:sz w:val="18"/>
                <w:szCs w:val="18"/>
                <w:color w:val="auto"/>
              </w:rPr>
              <w:t>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2.12</w:t>
            </w:r>
          </w:p>
        </w:tc>
        <w:tc>
          <w:tcPr>
            <w:tcW w:w="8800" w:type="dxa"/>
            <w:vAlign w:val="bottom"/>
          </w:tcPr>
          <w:p>
            <w:pPr>
              <w:ind w:left="8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2.13</w:t>
            </w:r>
          </w:p>
        </w:tc>
        <w:tc>
          <w:tcPr>
            <w:tcW w:w="8800" w:type="dxa"/>
            <w:vAlign w:val="bottom"/>
          </w:tcPr>
          <w:p>
            <w:pPr>
              <w:ind w:left="8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2.14</w:t>
            </w:r>
          </w:p>
        </w:tc>
        <w:tc>
          <w:tcPr>
            <w:tcW w:w="8800" w:type="dxa"/>
            <w:vAlign w:val="bottom"/>
          </w:tcPr>
          <w:p>
            <w:pPr>
              <w:ind w:left="80"/>
              <w:spacing w:after="0"/>
              <w:rPr>
                <w:sz w:val="20"/>
                <w:szCs w:val="20"/>
                <w:color w:val="auto"/>
              </w:rPr>
            </w:pPr>
            <w:r>
              <w:rPr>
                <w:rFonts w:ascii="Arial" w:cs="Arial" w:eastAsia="Arial" w:hAnsi="Arial"/>
                <w:sz w:val="18"/>
                <w:szCs w:val="18"/>
                <w:color w:val="auto"/>
              </w:rPr>
              <w:t>Alternate Rate of Interest; 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2.15</w:t>
            </w:r>
          </w:p>
        </w:tc>
        <w:tc>
          <w:tcPr>
            <w:tcW w:w="8800" w:type="dxa"/>
            <w:vAlign w:val="bottom"/>
          </w:tcPr>
          <w:p>
            <w:pPr>
              <w:ind w:left="80"/>
              <w:spacing w:after="0"/>
              <w:rPr>
                <w:sz w:val="20"/>
                <w:szCs w:val="20"/>
                <w:color w:val="auto"/>
              </w:rPr>
            </w:pPr>
            <w:r>
              <w:rPr>
                <w:rFonts w:ascii="Arial" w:cs="Arial" w:eastAsia="Arial" w:hAnsi="Arial"/>
                <w:sz w:val="18"/>
                <w:szCs w:val="18"/>
                <w:color w:val="auto"/>
              </w:rPr>
              <w:t>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2.16</w:t>
            </w:r>
          </w:p>
        </w:tc>
        <w:tc>
          <w:tcPr>
            <w:tcW w:w="8800" w:type="dxa"/>
            <w:vAlign w:val="bottom"/>
          </w:tcPr>
          <w:p>
            <w:pPr>
              <w:ind w:left="80"/>
              <w:spacing w:after="0"/>
              <w:rPr>
                <w:sz w:val="20"/>
                <w:szCs w:val="20"/>
                <w:color w:val="auto"/>
              </w:rPr>
            </w:pPr>
            <w:r>
              <w:rPr>
                <w:rFonts w:ascii="Arial" w:cs="Arial" w:eastAsia="Arial" w:hAnsi="Arial"/>
                <w:sz w:val="18"/>
                <w:szCs w:val="18"/>
                <w:color w:val="auto"/>
              </w:rPr>
              <w:t>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2.17</w:t>
            </w:r>
          </w:p>
        </w:tc>
        <w:tc>
          <w:tcPr>
            <w:tcW w:w="8800" w:type="dxa"/>
            <w:vAlign w:val="bottom"/>
          </w:tcPr>
          <w:p>
            <w:pPr>
              <w:ind w:left="80"/>
              <w:spacing w:after="0"/>
              <w:rPr>
                <w:sz w:val="20"/>
                <w:szCs w:val="20"/>
                <w:color w:val="auto"/>
              </w:rPr>
            </w:pPr>
            <w:r>
              <w:rPr>
                <w:rFonts w:ascii="Arial" w:cs="Arial" w:eastAsia="Arial" w:hAnsi="Arial"/>
                <w:sz w:val="18"/>
                <w:szCs w:val="18"/>
                <w:color w:val="auto"/>
              </w:rPr>
              <w:t>Withholding of Taxes; Gross-Up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2.18</w:t>
            </w:r>
          </w:p>
        </w:tc>
        <w:tc>
          <w:tcPr>
            <w:tcW w:w="8800" w:type="dxa"/>
            <w:vAlign w:val="bottom"/>
          </w:tcPr>
          <w:p>
            <w:pPr>
              <w:ind w:left="80"/>
              <w:spacing w:after="0"/>
              <w:rPr>
                <w:sz w:val="20"/>
                <w:szCs w:val="20"/>
                <w:color w:val="auto"/>
              </w:rPr>
            </w:pPr>
            <w:r>
              <w:rPr>
                <w:rFonts w:ascii="Arial" w:cs="Arial" w:eastAsia="Arial" w:hAnsi="Arial"/>
                <w:sz w:val="18"/>
                <w:szCs w:val="18"/>
                <w:color w:val="auto"/>
              </w:rPr>
              <w:t>Payments Generally; Allocation of Proceeds;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2.19</w:t>
            </w:r>
          </w:p>
        </w:tc>
        <w:tc>
          <w:tcPr>
            <w:tcW w:w="8800" w:type="dxa"/>
            <w:vAlign w:val="bottom"/>
          </w:tcPr>
          <w:p>
            <w:pPr>
              <w:ind w:left="8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2.20</w:t>
            </w:r>
          </w:p>
        </w:tc>
        <w:tc>
          <w:tcPr>
            <w:tcW w:w="8800" w:type="dxa"/>
            <w:vAlign w:val="bottom"/>
          </w:tcPr>
          <w:p>
            <w:pPr>
              <w:ind w:left="80"/>
              <w:spacing w:after="0"/>
              <w:rPr>
                <w:sz w:val="20"/>
                <w:szCs w:val="20"/>
                <w:color w:val="auto"/>
              </w:rPr>
            </w:pPr>
            <w:r>
              <w:rPr>
                <w:rFonts w:ascii="Arial" w:cs="Arial" w:eastAsia="Arial" w:hAnsi="Arial"/>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2.21</w:t>
            </w:r>
          </w:p>
        </w:tc>
        <w:tc>
          <w:tcPr>
            <w:tcW w:w="8800" w:type="dxa"/>
            <w:vAlign w:val="bottom"/>
          </w:tcPr>
          <w:p>
            <w:pPr>
              <w:ind w:left="80"/>
              <w:spacing w:after="0"/>
              <w:rPr>
                <w:sz w:val="20"/>
                <w:szCs w:val="20"/>
                <w:color w:val="auto"/>
              </w:rPr>
            </w:pPr>
            <w:r>
              <w:rPr>
                <w:rFonts w:ascii="Arial" w:cs="Arial" w:eastAsia="Arial" w:hAnsi="Arial"/>
                <w:sz w:val="18"/>
                <w:szCs w:val="18"/>
                <w:color w:val="auto"/>
              </w:rPr>
              <w:t>Returned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2.22</w:t>
            </w:r>
          </w:p>
        </w:tc>
        <w:tc>
          <w:tcPr>
            <w:tcW w:w="8800" w:type="dxa"/>
            <w:vAlign w:val="bottom"/>
          </w:tcPr>
          <w:p>
            <w:pPr>
              <w:ind w:left="80"/>
              <w:spacing w:after="0"/>
              <w:rPr>
                <w:sz w:val="20"/>
                <w:szCs w:val="20"/>
                <w:color w:val="auto"/>
              </w:rPr>
            </w:pPr>
            <w:r>
              <w:rPr>
                <w:rFonts w:ascii="Arial" w:cs="Arial" w:eastAsia="Arial" w:hAnsi="Arial"/>
                <w:sz w:val="18"/>
                <w:szCs w:val="18"/>
                <w:color w:val="auto"/>
              </w:rPr>
              <w:t>Banking Services and Swap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3.01</w:t>
            </w:r>
          </w:p>
        </w:tc>
        <w:tc>
          <w:tcPr>
            <w:tcW w:w="8800" w:type="dxa"/>
            <w:vAlign w:val="bottom"/>
          </w:tcPr>
          <w:p>
            <w:pPr>
              <w:ind w:left="80"/>
              <w:spacing w:after="0"/>
              <w:rPr>
                <w:sz w:val="20"/>
                <w:szCs w:val="20"/>
                <w:color w:val="auto"/>
              </w:rPr>
            </w:pPr>
            <w:r>
              <w:rPr>
                <w:rFonts w:ascii="Arial" w:cs="Arial" w:eastAsia="Arial" w:hAnsi="Arial"/>
                <w:sz w:val="18"/>
                <w:szCs w:val="18"/>
                <w:color w:val="auto"/>
              </w:rPr>
              <w:t>Organization; 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3.02</w:t>
            </w:r>
          </w:p>
        </w:tc>
        <w:tc>
          <w:tcPr>
            <w:tcW w:w="8800" w:type="dxa"/>
            <w:vAlign w:val="bottom"/>
          </w:tcPr>
          <w:p>
            <w:pPr>
              <w:ind w:left="80"/>
              <w:spacing w:after="0"/>
              <w:rPr>
                <w:sz w:val="20"/>
                <w:szCs w:val="20"/>
                <w:color w:val="auto"/>
              </w:rPr>
            </w:pPr>
            <w:r>
              <w:rPr>
                <w:rFonts w:ascii="Arial" w:cs="Arial" w:eastAsia="Arial" w:hAnsi="Arial"/>
                <w:sz w:val="18"/>
                <w:szCs w:val="18"/>
                <w:color w:val="auto"/>
              </w:rPr>
              <w:t>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3.03</w:t>
            </w:r>
          </w:p>
        </w:tc>
        <w:tc>
          <w:tcPr>
            <w:tcW w:w="8800" w:type="dxa"/>
            <w:vAlign w:val="bottom"/>
          </w:tcPr>
          <w:p>
            <w:pPr>
              <w:ind w:left="80"/>
              <w:spacing w:after="0"/>
              <w:rPr>
                <w:sz w:val="20"/>
                <w:szCs w:val="20"/>
                <w:color w:val="auto"/>
              </w:rPr>
            </w:pPr>
            <w:r>
              <w:rPr>
                <w:rFonts w:ascii="Arial" w:cs="Arial" w:eastAsia="Arial" w:hAnsi="Arial"/>
                <w:sz w:val="18"/>
                <w:szCs w:val="18"/>
                <w:color w:val="auto"/>
              </w:rPr>
              <w:t>Governmental Approvals; No Conflicts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3.04</w:t>
            </w:r>
          </w:p>
        </w:tc>
        <w:tc>
          <w:tcPr>
            <w:tcW w:w="8800" w:type="dxa"/>
            <w:vAlign w:val="bottom"/>
          </w:tcPr>
          <w:p>
            <w:pPr>
              <w:ind w:left="80"/>
              <w:spacing w:after="0"/>
              <w:rPr>
                <w:sz w:val="20"/>
                <w:szCs w:val="20"/>
                <w:color w:val="auto"/>
              </w:rPr>
            </w:pPr>
            <w:r>
              <w:rPr>
                <w:rFonts w:ascii="Arial" w:cs="Arial" w:eastAsia="Arial" w:hAnsi="Arial"/>
                <w:sz w:val="18"/>
                <w:szCs w:val="18"/>
                <w:color w:val="auto"/>
              </w:rPr>
              <w:t>Financial Condition; 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3.05</w:t>
            </w:r>
          </w:p>
        </w:tc>
        <w:tc>
          <w:tcPr>
            <w:tcW w:w="880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3.06</w:t>
            </w:r>
          </w:p>
        </w:tc>
        <w:tc>
          <w:tcPr>
            <w:tcW w:w="8800" w:type="dxa"/>
            <w:vAlign w:val="bottom"/>
          </w:tcPr>
          <w:p>
            <w:pPr>
              <w:ind w:left="80"/>
              <w:spacing w:after="0"/>
              <w:rPr>
                <w:sz w:val="20"/>
                <w:szCs w:val="20"/>
                <w:color w:val="auto"/>
              </w:rPr>
            </w:pPr>
            <w:r>
              <w:rPr>
                <w:rFonts w:ascii="Arial" w:cs="Arial" w:eastAsia="Arial" w:hAnsi="Arial"/>
                <w:sz w:val="18"/>
                <w:szCs w:val="18"/>
                <w:color w:val="auto"/>
              </w:rPr>
              <w:t>Litigation and Environmental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3.07</w:t>
            </w:r>
          </w:p>
        </w:tc>
        <w:tc>
          <w:tcPr>
            <w:tcW w:w="8800" w:type="dxa"/>
            <w:vAlign w:val="bottom"/>
          </w:tcPr>
          <w:p>
            <w:pPr>
              <w:ind w:left="80"/>
              <w:spacing w:after="0"/>
              <w:rPr>
                <w:sz w:val="20"/>
                <w:szCs w:val="20"/>
                <w:color w:val="auto"/>
              </w:rPr>
            </w:pPr>
            <w:r>
              <w:rPr>
                <w:rFonts w:ascii="Arial" w:cs="Arial" w:eastAsia="Arial" w:hAnsi="Arial"/>
                <w:sz w:val="18"/>
                <w:szCs w:val="18"/>
                <w:color w:val="auto"/>
              </w:rPr>
              <w:t>Compliance with Laws and Agreements; No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3.08</w:t>
            </w:r>
          </w:p>
        </w:tc>
        <w:tc>
          <w:tcPr>
            <w:tcW w:w="8800" w:type="dxa"/>
            <w:vAlign w:val="bottom"/>
          </w:tcPr>
          <w:p>
            <w:pPr>
              <w:ind w:left="80"/>
              <w:spacing w:after="0"/>
              <w:rPr>
                <w:sz w:val="20"/>
                <w:szCs w:val="20"/>
                <w:color w:val="auto"/>
              </w:rPr>
            </w:pPr>
            <w:r>
              <w:rPr>
                <w:rFonts w:ascii="Arial" w:cs="Arial" w:eastAsia="Arial" w:hAnsi="Arial"/>
                <w:sz w:val="18"/>
                <w:szCs w:val="18"/>
                <w:color w:val="auto"/>
              </w:rPr>
              <w:t>Investment Company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3.09</w:t>
            </w:r>
          </w:p>
        </w:tc>
        <w:tc>
          <w:tcPr>
            <w:tcW w:w="6660" w:type="dxa"/>
            <w:vAlign w:val="bottom"/>
          </w:tcPr>
          <w:p>
            <w:pPr>
              <w:ind w:left="80"/>
              <w:spacing w:after="0"/>
              <w:rPr>
                <w:sz w:val="20"/>
                <w:szCs w:val="20"/>
                <w:color w:val="auto"/>
              </w:rPr>
            </w:pPr>
            <w:r>
              <w:rPr>
                <w:rFonts w:ascii="Arial" w:cs="Arial" w:eastAsia="Arial" w:hAnsi="Arial"/>
                <w:sz w:val="18"/>
                <w:szCs w:val="18"/>
                <w:color w:val="auto"/>
              </w:rPr>
              <w:t>Taxes</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3.10</w:t>
            </w:r>
          </w:p>
        </w:tc>
        <w:tc>
          <w:tcPr>
            <w:tcW w:w="6660" w:type="dxa"/>
            <w:vAlign w:val="bottom"/>
          </w:tcPr>
          <w:p>
            <w:pPr>
              <w:ind w:left="80"/>
              <w:spacing w:after="0"/>
              <w:rPr>
                <w:sz w:val="20"/>
                <w:szCs w:val="20"/>
                <w:color w:val="auto"/>
              </w:rPr>
            </w:pPr>
            <w:r>
              <w:rPr>
                <w:rFonts w:ascii="Arial" w:cs="Arial" w:eastAsia="Arial" w:hAnsi="Arial"/>
                <w:sz w:val="18"/>
                <w:szCs w:val="18"/>
                <w:color w:val="auto"/>
              </w:rPr>
              <w:t>ERISA</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1"/>
              </w:rPr>
              <w:t>SECTION 3.11</w:t>
            </w:r>
          </w:p>
        </w:tc>
        <w:tc>
          <w:tcPr>
            <w:tcW w:w="6660" w:type="dxa"/>
            <w:vAlign w:val="bottom"/>
          </w:tcPr>
          <w:p>
            <w:pPr>
              <w:ind w:left="80"/>
              <w:spacing w:after="0"/>
              <w:rPr>
                <w:sz w:val="20"/>
                <w:szCs w:val="20"/>
                <w:color w:val="auto"/>
              </w:rPr>
            </w:pPr>
            <w:r>
              <w:rPr>
                <w:rFonts w:ascii="Arial" w:cs="Arial" w:eastAsia="Arial" w:hAnsi="Arial"/>
                <w:sz w:val="18"/>
                <w:szCs w:val="18"/>
                <w:color w:val="auto"/>
              </w:rPr>
              <w:t>Disclosure</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3.12</w:t>
            </w:r>
          </w:p>
        </w:tc>
        <w:tc>
          <w:tcPr>
            <w:tcW w:w="66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3.13</w:t>
            </w:r>
          </w:p>
        </w:tc>
        <w:tc>
          <w:tcPr>
            <w:tcW w:w="6660" w:type="dxa"/>
            <w:vAlign w:val="bottom"/>
          </w:tcPr>
          <w:p>
            <w:pPr>
              <w:ind w:left="80"/>
              <w:spacing w:after="0"/>
              <w:rPr>
                <w:sz w:val="20"/>
                <w:szCs w:val="20"/>
                <w:color w:val="auto"/>
              </w:rPr>
            </w:pPr>
            <w:r>
              <w:rPr>
                <w:rFonts w:ascii="Arial" w:cs="Arial" w:eastAsia="Arial" w:hAnsi="Arial"/>
                <w:sz w:val="18"/>
                <w:szCs w:val="18"/>
                <w:color w:val="auto"/>
              </w:rPr>
              <w:t>Solvency</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3.14</w:t>
            </w:r>
          </w:p>
        </w:tc>
        <w:tc>
          <w:tcPr>
            <w:tcW w:w="6660" w:type="dxa"/>
            <w:vAlign w:val="bottom"/>
          </w:tcPr>
          <w:p>
            <w:pPr>
              <w:ind w:left="8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3.15</w:t>
            </w:r>
          </w:p>
        </w:tc>
        <w:tc>
          <w:tcPr>
            <w:tcW w:w="6660" w:type="dxa"/>
            <w:vAlign w:val="bottom"/>
          </w:tcPr>
          <w:p>
            <w:pPr>
              <w:ind w:left="80"/>
              <w:spacing w:after="0"/>
              <w:rPr>
                <w:sz w:val="20"/>
                <w:szCs w:val="20"/>
                <w:color w:val="auto"/>
              </w:rPr>
            </w:pPr>
            <w:r>
              <w:rPr>
                <w:rFonts w:ascii="Arial" w:cs="Arial" w:eastAsia="Arial" w:hAnsi="Arial"/>
                <w:sz w:val="18"/>
                <w:szCs w:val="18"/>
                <w:color w:val="auto"/>
              </w:rPr>
              <w:t>Capitalization and Subsidiaries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3.16</w:t>
            </w:r>
          </w:p>
        </w:tc>
        <w:tc>
          <w:tcPr>
            <w:tcW w:w="6660" w:type="dxa"/>
            <w:vAlign w:val="bottom"/>
          </w:tcPr>
          <w:p>
            <w:pPr>
              <w:ind w:left="80"/>
              <w:spacing w:after="0"/>
              <w:rPr>
                <w:sz w:val="20"/>
                <w:szCs w:val="20"/>
                <w:color w:val="auto"/>
              </w:rPr>
            </w:pPr>
            <w:r>
              <w:rPr>
                <w:rFonts w:ascii="Arial" w:cs="Arial" w:eastAsia="Arial" w:hAnsi="Arial"/>
                <w:sz w:val="18"/>
                <w:szCs w:val="18"/>
                <w:color w:val="auto"/>
              </w:rPr>
              <w:t>Security Interest in Collateral</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3.17</w:t>
            </w:r>
          </w:p>
        </w:tc>
        <w:tc>
          <w:tcPr>
            <w:tcW w:w="6660" w:type="dxa"/>
            <w:vAlign w:val="bottom"/>
          </w:tcPr>
          <w:p>
            <w:pPr>
              <w:ind w:left="80"/>
              <w:spacing w:after="0"/>
              <w:rPr>
                <w:sz w:val="20"/>
                <w:szCs w:val="20"/>
                <w:color w:val="auto"/>
              </w:rPr>
            </w:pPr>
            <w:r>
              <w:rPr>
                <w:rFonts w:ascii="Arial" w:cs="Arial" w:eastAsia="Arial" w:hAnsi="Arial"/>
                <w:sz w:val="18"/>
                <w:szCs w:val="18"/>
                <w:color w:val="auto"/>
              </w:rPr>
              <w:t>Employment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3.18</w:t>
            </w:r>
          </w:p>
        </w:tc>
        <w:tc>
          <w:tcPr>
            <w:tcW w:w="6660" w:type="dxa"/>
            <w:vAlign w:val="bottom"/>
          </w:tcPr>
          <w:p>
            <w:pPr>
              <w:ind w:left="80"/>
              <w:spacing w:after="0"/>
              <w:rPr>
                <w:sz w:val="20"/>
                <w:szCs w:val="20"/>
                <w:color w:val="auto"/>
              </w:rPr>
            </w:pPr>
            <w:r>
              <w:rPr>
                <w:rFonts w:ascii="Arial" w:cs="Arial" w:eastAsia="Arial" w:hAnsi="Arial"/>
                <w:sz w:val="18"/>
                <w:szCs w:val="18"/>
                <w:color w:val="auto"/>
              </w:rPr>
              <w:t>Margin Regulations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3.19</w:t>
            </w:r>
          </w:p>
        </w:tc>
        <w:tc>
          <w:tcPr>
            <w:tcW w:w="666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3.20</w:t>
            </w:r>
          </w:p>
        </w:tc>
        <w:tc>
          <w:tcPr>
            <w:tcW w:w="6660" w:type="dxa"/>
            <w:vAlign w:val="bottom"/>
          </w:tcPr>
          <w:p>
            <w:pPr>
              <w:ind w:left="80"/>
              <w:spacing w:after="0"/>
              <w:rPr>
                <w:sz w:val="20"/>
                <w:szCs w:val="20"/>
                <w:color w:val="auto"/>
              </w:rPr>
            </w:pPr>
            <w:r>
              <w:rPr>
                <w:rFonts w:ascii="Arial" w:cs="Arial" w:eastAsia="Arial" w:hAnsi="Arial"/>
                <w:sz w:val="18"/>
                <w:szCs w:val="18"/>
                <w:color w:val="auto"/>
              </w:rPr>
              <w:t>No Burdensome Restrictions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3.21</w:t>
            </w:r>
          </w:p>
        </w:tc>
        <w:tc>
          <w:tcPr>
            <w:tcW w:w="6660" w:type="dxa"/>
            <w:vAlign w:val="bottom"/>
          </w:tcPr>
          <w:p>
            <w:pPr>
              <w:ind w:left="80"/>
              <w:spacing w:after="0"/>
              <w:rPr>
                <w:sz w:val="20"/>
                <w:szCs w:val="20"/>
                <w:color w:val="auto"/>
              </w:rPr>
            </w:pPr>
            <w:r>
              <w:rPr>
                <w:rFonts w:ascii="Arial" w:cs="Arial" w:eastAsia="Arial" w:hAnsi="Arial"/>
                <w:sz w:val="18"/>
                <w:szCs w:val="18"/>
                <w:color w:val="auto"/>
              </w:rPr>
              <w:t>Anti-Corruption Laws and Sanctions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3.22</w:t>
            </w:r>
          </w:p>
        </w:tc>
        <w:tc>
          <w:tcPr>
            <w:tcW w:w="6660" w:type="dxa"/>
            <w:vAlign w:val="bottom"/>
          </w:tcPr>
          <w:p>
            <w:pPr>
              <w:ind w:left="80"/>
              <w:spacing w:after="0"/>
              <w:rPr>
                <w:sz w:val="20"/>
                <w:szCs w:val="20"/>
                <w:color w:val="auto"/>
              </w:rPr>
            </w:pPr>
            <w:r>
              <w:rPr>
                <w:rFonts w:ascii="Arial" w:cs="Arial" w:eastAsia="Arial" w:hAnsi="Arial"/>
                <w:sz w:val="18"/>
                <w:szCs w:val="18"/>
                <w:color w:val="auto"/>
              </w:rPr>
              <w:t>Common Enterprise</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3.23</w:t>
            </w:r>
          </w:p>
        </w:tc>
        <w:tc>
          <w:tcPr>
            <w:tcW w:w="6660" w:type="dxa"/>
            <w:vAlign w:val="bottom"/>
          </w:tcPr>
          <w:p>
            <w:pPr>
              <w:ind w:left="80"/>
              <w:spacing w:after="0"/>
              <w:rPr>
                <w:sz w:val="20"/>
                <w:szCs w:val="20"/>
                <w:color w:val="auto"/>
              </w:rPr>
            </w:pPr>
            <w:r>
              <w:rPr>
                <w:rFonts w:ascii="Arial" w:cs="Arial" w:eastAsia="Arial" w:hAnsi="Arial"/>
                <w:sz w:val="18"/>
                <w:szCs w:val="18"/>
                <w:color w:val="auto"/>
              </w:rPr>
              <w:t>Plan Assets; Prohibited Transactions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3.24</w:t>
            </w:r>
          </w:p>
        </w:tc>
        <w:tc>
          <w:tcPr>
            <w:tcW w:w="6660" w:type="dxa"/>
            <w:vAlign w:val="bottom"/>
          </w:tcPr>
          <w:p>
            <w:pPr>
              <w:ind w:left="80"/>
              <w:spacing w:after="0"/>
              <w:rPr>
                <w:sz w:val="20"/>
                <w:szCs w:val="20"/>
                <w:color w:val="auto"/>
              </w:rPr>
            </w:pPr>
            <w:r>
              <w:rPr>
                <w:rFonts w:ascii="Arial" w:cs="Arial" w:eastAsia="Arial" w:hAnsi="Arial"/>
                <w:sz w:val="18"/>
                <w:szCs w:val="18"/>
                <w:color w:val="auto"/>
              </w:rPr>
              <w:t>Term Loan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6"/>
              </w:rPr>
              <w:t>ARTICLE IV Conditions</w:t>
            </w:r>
          </w:p>
        </w:tc>
        <w:tc>
          <w:tcPr>
            <w:tcW w:w="6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4.01</w:t>
            </w:r>
          </w:p>
        </w:tc>
        <w:tc>
          <w:tcPr>
            <w:tcW w:w="6660" w:type="dxa"/>
            <w:vAlign w:val="bottom"/>
          </w:tcPr>
          <w:p>
            <w:pPr>
              <w:ind w:left="80"/>
              <w:spacing w:after="0"/>
              <w:rPr>
                <w:sz w:val="20"/>
                <w:szCs w:val="20"/>
                <w:color w:val="auto"/>
              </w:rPr>
            </w:pPr>
            <w:r>
              <w:rPr>
                <w:rFonts w:ascii="Arial" w:cs="Arial" w:eastAsia="Arial" w:hAnsi="Arial"/>
                <w:sz w:val="18"/>
                <w:szCs w:val="18"/>
                <w:color w:val="auto"/>
              </w:rPr>
              <w:t>Effective Date</w:t>
            </w:r>
          </w:p>
        </w:tc>
        <w:tc>
          <w:tcPr>
            <w:tcW w:w="24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4.02</w:t>
            </w:r>
          </w:p>
        </w:tc>
        <w:tc>
          <w:tcPr>
            <w:tcW w:w="6660" w:type="dxa"/>
            <w:vAlign w:val="bottom"/>
          </w:tcPr>
          <w:p>
            <w:pPr>
              <w:ind w:left="80"/>
              <w:spacing w:after="0"/>
              <w:rPr>
                <w:sz w:val="20"/>
                <w:szCs w:val="20"/>
                <w:color w:val="auto"/>
              </w:rPr>
            </w:pPr>
            <w:r>
              <w:rPr>
                <w:rFonts w:ascii="Arial" w:cs="Arial" w:eastAsia="Arial" w:hAnsi="Arial"/>
                <w:sz w:val="18"/>
                <w:szCs w:val="18"/>
                <w:color w:val="auto"/>
              </w:rPr>
              <w:t>Each Credit Event</w:t>
            </w:r>
          </w:p>
        </w:tc>
        <w:tc>
          <w:tcPr>
            <w:tcW w:w="24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5.01</w:t>
            </w:r>
          </w:p>
        </w:tc>
        <w:tc>
          <w:tcPr>
            <w:tcW w:w="6660" w:type="dxa"/>
            <w:vAlign w:val="bottom"/>
          </w:tcPr>
          <w:p>
            <w:pPr>
              <w:ind w:left="80"/>
              <w:spacing w:after="0"/>
              <w:rPr>
                <w:sz w:val="20"/>
                <w:szCs w:val="20"/>
                <w:color w:val="auto"/>
              </w:rPr>
            </w:pPr>
            <w:r>
              <w:rPr>
                <w:rFonts w:ascii="Arial" w:cs="Arial" w:eastAsia="Arial" w:hAnsi="Arial"/>
                <w:sz w:val="18"/>
                <w:szCs w:val="18"/>
                <w:color w:val="auto"/>
              </w:rPr>
              <w:t>Financial Statements; Borrowing Base and Other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5.02</w:t>
            </w:r>
          </w:p>
        </w:tc>
        <w:tc>
          <w:tcPr>
            <w:tcW w:w="6660" w:type="dxa"/>
            <w:vAlign w:val="bottom"/>
          </w:tcPr>
          <w:p>
            <w:pPr>
              <w:ind w:left="80"/>
              <w:spacing w:after="0"/>
              <w:rPr>
                <w:sz w:val="20"/>
                <w:szCs w:val="20"/>
                <w:color w:val="auto"/>
              </w:rPr>
            </w:pPr>
            <w:r>
              <w:rPr>
                <w:rFonts w:ascii="Arial" w:cs="Arial" w:eastAsia="Arial" w:hAnsi="Arial"/>
                <w:sz w:val="18"/>
                <w:szCs w:val="18"/>
                <w:color w:val="auto"/>
              </w:rPr>
              <w:t>Notices of Material Events</w:t>
            </w:r>
          </w:p>
        </w:tc>
        <w:tc>
          <w:tcPr>
            <w:tcW w:w="24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5.03</w:t>
            </w:r>
          </w:p>
        </w:tc>
        <w:tc>
          <w:tcPr>
            <w:tcW w:w="6660" w:type="dxa"/>
            <w:vAlign w:val="bottom"/>
          </w:tcPr>
          <w:p>
            <w:pPr>
              <w:ind w:left="80"/>
              <w:spacing w:after="0"/>
              <w:rPr>
                <w:sz w:val="20"/>
                <w:szCs w:val="20"/>
                <w:color w:val="auto"/>
              </w:rPr>
            </w:pPr>
            <w:r>
              <w:rPr>
                <w:rFonts w:ascii="Arial" w:cs="Arial" w:eastAsia="Arial" w:hAnsi="Arial"/>
                <w:sz w:val="18"/>
                <w:szCs w:val="18"/>
                <w:color w:val="auto"/>
              </w:rPr>
              <w:t>Existence; 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5.04</w:t>
            </w:r>
          </w:p>
        </w:tc>
        <w:tc>
          <w:tcPr>
            <w:tcW w:w="6660" w:type="dxa"/>
            <w:vAlign w:val="bottom"/>
          </w:tcPr>
          <w:p>
            <w:pPr>
              <w:ind w:left="80"/>
              <w:spacing w:after="0"/>
              <w:rPr>
                <w:sz w:val="20"/>
                <w:szCs w:val="20"/>
                <w:color w:val="auto"/>
              </w:rPr>
            </w:pPr>
            <w:r>
              <w:rPr>
                <w:rFonts w:ascii="Arial" w:cs="Arial" w:eastAsia="Arial" w:hAnsi="Arial"/>
                <w:sz w:val="18"/>
                <w:szCs w:val="18"/>
                <w:color w:val="auto"/>
              </w:rPr>
              <w:t>Payment of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5.05</w:t>
            </w:r>
          </w:p>
        </w:tc>
        <w:tc>
          <w:tcPr>
            <w:tcW w:w="6660" w:type="dxa"/>
            <w:vAlign w:val="bottom"/>
          </w:tcPr>
          <w:p>
            <w:pPr>
              <w:ind w:left="80"/>
              <w:spacing w:after="0"/>
              <w:rPr>
                <w:sz w:val="20"/>
                <w:szCs w:val="20"/>
                <w:color w:val="auto"/>
              </w:rPr>
            </w:pPr>
            <w:r>
              <w:rPr>
                <w:rFonts w:ascii="Arial" w:cs="Arial" w:eastAsia="Arial" w:hAnsi="Arial"/>
                <w:sz w:val="18"/>
                <w:szCs w:val="18"/>
                <w:color w:val="auto"/>
              </w:rPr>
              <w:t>Maintenance of Properties</w:t>
            </w:r>
          </w:p>
        </w:tc>
        <w:tc>
          <w:tcPr>
            <w:tcW w:w="24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5.06</w:t>
            </w:r>
          </w:p>
        </w:tc>
        <w:tc>
          <w:tcPr>
            <w:tcW w:w="6660" w:type="dxa"/>
            <w:vAlign w:val="bottom"/>
          </w:tcPr>
          <w:p>
            <w:pPr>
              <w:ind w:left="80"/>
              <w:spacing w:after="0"/>
              <w:rPr>
                <w:sz w:val="20"/>
                <w:szCs w:val="20"/>
                <w:color w:val="auto"/>
              </w:rPr>
            </w:pPr>
            <w:r>
              <w:rPr>
                <w:rFonts w:ascii="Arial" w:cs="Arial" w:eastAsia="Arial" w:hAnsi="Arial"/>
                <w:sz w:val="18"/>
                <w:szCs w:val="18"/>
                <w:color w:val="auto"/>
              </w:rPr>
              <w:t>Books and Records; Inspection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5.07</w:t>
            </w:r>
          </w:p>
        </w:tc>
        <w:tc>
          <w:tcPr>
            <w:tcW w:w="6660" w:type="dxa"/>
            <w:vAlign w:val="bottom"/>
          </w:tcPr>
          <w:p>
            <w:pPr>
              <w:ind w:left="80"/>
              <w:spacing w:after="0"/>
              <w:rPr>
                <w:sz w:val="20"/>
                <w:szCs w:val="20"/>
                <w:color w:val="auto"/>
              </w:rPr>
            </w:pPr>
            <w:r>
              <w:rPr>
                <w:rFonts w:ascii="Arial" w:cs="Arial" w:eastAsia="Arial" w:hAnsi="Arial"/>
                <w:sz w:val="18"/>
                <w:szCs w:val="18"/>
                <w:color w:val="auto"/>
              </w:rPr>
              <w:t>Compliance with Laws and Material Contractual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5.08</w:t>
            </w:r>
          </w:p>
        </w:tc>
        <w:tc>
          <w:tcPr>
            <w:tcW w:w="666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5.09</w:t>
            </w:r>
          </w:p>
        </w:tc>
        <w:tc>
          <w:tcPr>
            <w:tcW w:w="6660" w:type="dxa"/>
            <w:vAlign w:val="bottom"/>
          </w:tcPr>
          <w:p>
            <w:pPr>
              <w:ind w:left="80"/>
              <w:spacing w:after="0"/>
              <w:rPr>
                <w:sz w:val="20"/>
                <w:szCs w:val="20"/>
                <w:color w:val="auto"/>
              </w:rPr>
            </w:pPr>
            <w:r>
              <w:rPr>
                <w:rFonts w:ascii="Arial" w:cs="Arial" w:eastAsia="Arial" w:hAnsi="Arial"/>
                <w:sz w:val="18"/>
                <w:szCs w:val="18"/>
                <w:color w:val="auto"/>
              </w:rPr>
              <w:t>Accuracy of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5.10</w:t>
            </w:r>
          </w:p>
        </w:tc>
        <w:tc>
          <w:tcPr>
            <w:tcW w:w="6660" w:type="dxa"/>
            <w:vAlign w:val="bottom"/>
          </w:tcPr>
          <w:p>
            <w:pPr>
              <w:ind w:left="8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1"/>
              </w:rPr>
              <w:t>SECTION 5.11</w:t>
            </w:r>
          </w:p>
        </w:tc>
        <w:tc>
          <w:tcPr>
            <w:tcW w:w="6660" w:type="dxa"/>
            <w:vAlign w:val="bottom"/>
          </w:tcPr>
          <w:p>
            <w:pPr>
              <w:ind w:left="80"/>
              <w:spacing w:after="0"/>
              <w:rPr>
                <w:sz w:val="20"/>
                <w:szCs w:val="20"/>
                <w:color w:val="auto"/>
              </w:rPr>
            </w:pPr>
            <w:r>
              <w:rPr>
                <w:rFonts w:ascii="Arial" w:cs="Arial" w:eastAsia="Arial" w:hAnsi="Arial"/>
                <w:sz w:val="18"/>
                <w:szCs w:val="18"/>
                <w:color w:val="auto"/>
              </w:rPr>
              <w:t>Casualty and Condemnation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5.12</w:t>
            </w:r>
          </w:p>
        </w:tc>
        <w:tc>
          <w:tcPr>
            <w:tcW w:w="6660" w:type="dxa"/>
            <w:vAlign w:val="bottom"/>
          </w:tcPr>
          <w:p>
            <w:pPr>
              <w:ind w:left="80"/>
              <w:spacing w:after="0"/>
              <w:rPr>
                <w:sz w:val="20"/>
                <w:szCs w:val="20"/>
                <w:color w:val="auto"/>
              </w:rPr>
            </w:pPr>
            <w:r>
              <w:rPr>
                <w:rFonts w:ascii="Arial" w:cs="Arial" w:eastAsia="Arial" w:hAnsi="Arial"/>
                <w:sz w:val="18"/>
                <w:szCs w:val="18"/>
                <w:color w:val="auto"/>
              </w:rPr>
              <w:t>Appraisals</w:t>
            </w:r>
          </w:p>
        </w:tc>
        <w:tc>
          <w:tcPr>
            <w:tcW w:w="2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5.13</w:t>
            </w:r>
          </w:p>
        </w:tc>
        <w:tc>
          <w:tcPr>
            <w:tcW w:w="6660" w:type="dxa"/>
            <w:vAlign w:val="bottom"/>
          </w:tcPr>
          <w:p>
            <w:pPr>
              <w:ind w:left="80"/>
              <w:spacing w:after="0"/>
              <w:rPr>
                <w:sz w:val="20"/>
                <w:szCs w:val="20"/>
                <w:color w:val="auto"/>
              </w:rPr>
            </w:pPr>
            <w:r>
              <w:rPr>
                <w:rFonts w:ascii="Arial" w:cs="Arial" w:eastAsia="Arial" w:hAnsi="Arial"/>
                <w:sz w:val="18"/>
                <w:szCs w:val="18"/>
                <w:color w:val="auto"/>
              </w:rPr>
              <w:t>Depository Banks</w:t>
            </w:r>
          </w:p>
        </w:tc>
        <w:tc>
          <w:tcPr>
            <w:tcW w:w="2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5.14</w:t>
            </w:r>
          </w:p>
        </w:tc>
        <w:tc>
          <w:tcPr>
            <w:tcW w:w="6660" w:type="dxa"/>
            <w:vAlign w:val="bottom"/>
          </w:tcPr>
          <w:p>
            <w:pPr>
              <w:ind w:left="80"/>
              <w:spacing w:after="0"/>
              <w:rPr>
                <w:sz w:val="20"/>
                <w:szCs w:val="20"/>
                <w:color w:val="auto"/>
              </w:rPr>
            </w:pPr>
            <w:r>
              <w:rPr>
                <w:rFonts w:ascii="Arial" w:cs="Arial" w:eastAsia="Arial" w:hAnsi="Arial"/>
                <w:sz w:val="18"/>
                <w:szCs w:val="18"/>
                <w:color w:val="auto"/>
              </w:rPr>
              <w:t>Additional Collateral; 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5.15</w:t>
            </w:r>
          </w:p>
        </w:tc>
        <w:tc>
          <w:tcPr>
            <w:tcW w:w="6660" w:type="dxa"/>
            <w:vAlign w:val="bottom"/>
          </w:tcPr>
          <w:p>
            <w:pPr>
              <w:ind w:left="80"/>
              <w:spacing w:after="0"/>
              <w:rPr>
                <w:sz w:val="20"/>
                <w:szCs w:val="20"/>
                <w:color w:val="auto"/>
              </w:rPr>
            </w:pPr>
            <w:r>
              <w:rPr>
                <w:rFonts w:ascii="Arial" w:cs="Arial" w:eastAsia="Arial" w:hAnsi="Arial"/>
                <w:sz w:val="18"/>
                <w:szCs w:val="18"/>
                <w:color w:val="auto"/>
              </w:rPr>
              <w:t>Post-Closing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6.01</w:t>
            </w:r>
          </w:p>
        </w:tc>
        <w:tc>
          <w:tcPr>
            <w:tcW w:w="6660" w:type="dxa"/>
            <w:vAlign w:val="bottom"/>
          </w:tcPr>
          <w:p>
            <w:pPr>
              <w:ind w:left="80"/>
              <w:spacing w:after="0"/>
              <w:rPr>
                <w:sz w:val="20"/>
                <w:szCs w:val="20"/>
                <w:color w:val="auto"/>
              </w:rPr>
            </w:pPr>
            <w:r>
              <w:rPr>
                <w:rFonts w:ascii="Arial" w:cs="Arial" w:eastAsia="Arial" w:hAnsi="Arial"/>
                <w:sz w:val="18"/>
                <w:szCs w:val="18"/>
                <w:color w:val="auto"/>
              </w:rPr>
              <w:t>Indebtedness</w:t>
            </w:r>
          </w:p>
        </w:tc>
        <w:tc>
          <w:tcPr>
            <w:tcW w:w="2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6.02</w:t>
            </w:r>
          </w:p>
        </w:tc>
        <w:tc>
          <w:tcPr>
            <w:tcW w:w="6660" w:type="dxa"/>
            <w:vAlign w:val="bottom"/>
          </w:tcPr>
          <w:p>
            <w:pPr>
              <w:ind w:left="80"/>
              <w:spacing w:after="0"/>
              <w:rPr>
                <w:sz w:val="20"/>
                <w:szCs w:val="20"/>
                <w:color w:val="auto"/>
              </w:rPr>
            </w:pPr>
            <w:r>
              <w:rPr>
                <w:rFonts w:ascii="Arial" w:cs="Arial" w:eastAsia="Arial" w:hAnsi="Arial"/>
                <w:sz w:val="18"/>
                <w:szCs w:val="18"/>
                <w:color w:val="auto"/>
              </w:rPr>
              <w:t>Liens</w:t>
            </w:r>
          </w:p>
        </w:tc>
        <w:tc>
          <w:tcPr>
            <w:tcW w:w="2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6.03</w:t>
            </w:r>
          </w:p>
        </w:tc>
        <w:tc>
          <w:tcPr>
            <w:tcW w:w="6660" w:type="dxa"/>
            <w:vAlign w:val="bottom"/>
          </w:tcPr>
          <w:p>
            <w:pPr>
              <w:ind w:left="80"/>
              <w:spacing w:after="0"/>
              <w:rPr>
                <w:sz w:val="20"/>
                <w:szCs w:val="20"/>
                <w:color w:val="auto"/>
              </w:rPr>
            </w:pPr>
            <w:r>
              <w:rPr>
                <w:rFonts w:ascii="Arial" w:cs="Arial" w:eastAsia="Arial" w:hAnsi="Arial"/>
                <w:sz w:val="18"/>
                <w:szCs w:val="18"/>
                <w:color w:val="auto"/>
              </w:rPr>
              <w:t>Fundamental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6.04</w:t>
            </w:r>
          </w:p>
        </w:tc>
        <w:tc>
          <w:tcPr>
            <w:tcW w:w="6660" w:type="dxa"/>
            <w:vAlign w:val="bottom"/>
          </w:tcPr>
          <w:p>
            <w:pPr>
              <w:ind w:left="80"/>
              <w:spacing w:after="0"/>
              <w:rPr>
                <w:sz w:val="20"/>
                <w:szCs w:val="20"/>
                <w:color w:val="auto"/>
              </w:rPr>
            </w:pPr>
            <w:r>
              <w:rPr>
                <w:rFonts w:ascii="Arial" w:cs="Arial" w:eastAsia="Arial" w:hAnsi="Arial"/>
                <w:sz w:val="18"/>
                <w:szCs w:val="18"/>
                <w:color w:val="auto"/>
              </w:rPr>
              <w:t>Investments, Loans, Advances, Guarantees and Acquisitions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6.05</w:t>
            </w:r>
          </w:p>
        </w:tc>
        <w:tc>
          <w:tcPr>
            <w:tcW w:w="6660" w:type="dxa"/>
            <w:vAlign w:val="bottom"/>
          </w:tcPr>
          <w:p>
            <w:pPr>
              <w:ind w:left="80"/>
              <w:spacing w:after="0"/>
              <w:rPr>
                <w:sz w:val="20"/>
                <w:szCs w:val="20"/>
                <w:color w:val="auto"/>
              </w:rPr>
            </w:pPr>
            <w:r>
              <w:rPr>
                <w:rFonts w:ascii="Arial" w:cs="Arial" w:eastAsia="Arial" w:hAnsi="Arial"/>
                <w:sz w:val="18"/>
                <w:szCs w:val="18"/>
                <w:color w:val="auto"/>
              </w:rPr>
              <w:t>Asset Sales</w:t>
            </w:r>
          </w:p>
        </w:tc>
        <w:tc>
          <w:tcPr>
            <w:tcW w:w="2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6.06</w:t>
            </w:r>
          </w:p>
        </w:tc>
        <w:tc>
          <w:tcPr>
            <w:tcW w:w="6660" w:type="dxa"/>
            <w:vAlign w:val="bottom"/>
          </w:tcPr>
          <w:p>
            <w:pPr>
              <w:ind w:left="80"/>
              <w:spacing w:after="0"/>
              <w:rPr>
                <w:sz w:val="20"/>
                <w:szCs w:val="20"/>
                <w:color w:val="auto"/>
              </w:rPr>
            </w:pPr>
            <w:r>
              <w:rPr>
                <w:rFonts w:ascii="Arial" w:cs="Arial" w:eastAsia="Arial" w:hAnsi="Arial"/>
                <w:sz w:val="18"/>
                <w:szCs w:val="18"/>
                <w:color w:val="auto"/>
              </w:rPr>
              <w:t>Sale and Leaseback Transactions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6.07</w:t>
            </w:r>
          </w:p>
        </w:tc>
        <w:tc>
          <w:tcPr>
            <w:tcW w:w="6660" w:type="dxa"/>
            <w:vAlign w:val="bottom"/>
          </w:tcPr>
          <w:p>
            <w:pPr>
              <w:ind w:left="80"/>
              <w:spacing w:after="0"/>
              <w:rPr>
                <w:sz w:val="20"/>
                <w:szCs w:val="20"/>
                <w:color w:val="auto"/>
              </w:rPr>
            </w:pPr>
            <w:r>
              <w:rPr>
                <w:rFonts w:ascii="Arial" w:cs="Arial" w:eastAsia="Arial" w:hAnsi="Arial"/>
                <w:sz w:val="18"/>
                <w:szCs w:val="18"/>
                <w:color w:val="auto"/>
              </w:rPr>
              <w:t>Swap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6.08</w:t>
            </w:r>
          </w:p>
        </w:tc>
        <w:tc>
          <w:tcPr>
            <w:tcW w:w="6660" w:type="dxa"/>
            <w:vAlign w:val="bottom"/>
          </w:tcPr>
          <w:p>
            <w:pPr>
              <w:ind w:left="80"/>
              <w:spacing w:after="0"/>
              <w:rPr>
                <w:sz w:val="20"/>
                <w:szCs w:val="20"/>
                <w:color w:val="auto"/>
              </w:rPr>
            </w:pPr>
            <w:r>
              <w:rPr>
                <w:rFonts w:ascii="Arial" w:cs="Arial" w:eastAsia="Arial" w:hAnsi="Arial"/>
                <w:sz w:val="18"/>
                <w:szCs w:val="18"/>
                <w:color w:val="auto"/>
              </w:rPr>
              <w:t>Restricted Payments; Certain Payments of Indebtedness</w:t>
            </w:r>
          </w:p>
        </w:tc>
        <w:tc>
          <w:tcPr>
            <w:tcW w:w="2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6.09</w:t>
            </w:r>
          </w:p>
        </w:tc>
        <w:tc>
          <w:tcPr>
            <w:tcW w:w="666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c>
          <w:tcPr>
            <w:tcW w:w="24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880" w:type="dxa"/>
            <w:vAlign w:val="bottom"/>
          </w:tcPr>
          <w:p>
            <w:pPr>
              <w:jc w:val="center"/>
              <w:spacing w:after="0"/>
              <w:rPr>
                <w:sz w:val="20"/>
                <w:szCs w:val="20"/>
                <w:color w:val="auto"/>
              </w:rPr>
            </w:pPr>
            <w:r>
              <w:rPr>
                <w:rFonts w:ascii="Arial" w:cs="Arial" w:eastAsia="Arial" w:hAnsi="Arial"/>
                <w:sz w:val="18"/>
                <w:szCs w:val="18"/>
                <w:color w:val="auto"/>
                <w:w w:val="93"/>
              </w:rPr>
              <w:t>SECTION 6.10</w:t>
            </w:r>
          </w:p>
        </w:tc>
        <w:tc>
          <w:tcPr>
            <w:tcW w:w="6660" w:type="dxa"/>
            <w:vAlign w:val="bottom"/>
          </w:tcPr>
          <w:p>
            <w:pPr>
              <w:ind w:left="80"/>
              <w:spacing w:after="0"/>
              <w:rPr>
                <w:sz w:val="20"/>
                <w:szCs w:val="20"/>
                <w:color w:val="auto"/>
              </w:rPr>
            </w:pPr>
            <w:r>
              <w:rPr>
                <w:rFonts w:ascii="Arial" w:cs="Arial" w:eastAsia="Arial" w:hAnsi="Arial"/>
                <w:sz w:val="18"/>
                <w:szCs w:val="18"/>
                <w:color w:val="auto"/>
              </w:rPr>
              <w:t>Restrictive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6800" w:type="dxa"/>
            <w:vAlign w:val="bottom"/>
          </w:tcPr>
          <w:p>
            <w:pPr>
              <w:ind w:left="200"/>
              <w:spacing w:after="0"/>
              <w:rPr>
                <w:sz w:val="20"/>
                <w:szCs w:val="20"/>
                <w:color w:val="auto"/>
              </w:rPr>
            </w:pPr>
            <w:r>
              <w:rPr>
                <w:rFonts w:ascii="Arial" w:cs="Arial" w:eastAsia="Arial" w:hAnsi="Arial"/>
                <w:sz w:val="18"/>
                <w:szCs w:val="18"/>
                <w:color w:val="auto"/>
              </w:rPr>
              <w:t>Amendment of Material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6800" w:type="dxa"/>
            <w:vAlign w:val="bottom"/>
          </w:tcPr>
          <w:p>
            <w:pPr>
              <w:ind w:left="200"/>
              <w:spacing w:after="0"/>
              <w:rPr>
                <w:sz w:val="20"/>
                <w:szCs w:val="20"/>
                <w:color w:val="auto"/>
              </w:rPr>
            </w:pPr>
            <w:r>
              <w:rPr>
                <w:rFonts w:ascii="Arial" w:cs="Arial" w:eastAsia="Arial" w:hAnsi="Arial"/>
                <w:sz w:val="18"/>
                <w:szCs w:val="18"/>
                <w:color w:val="auto"/>
              </w:rPr>
              <w:t>Term Debt</w:t>
            </w:r>
          </w:p>
        </w:tc>
        <w:tc>
          <w:tcPr>
            <w:tcW w:w="24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6800" w:type="dxa"/>
            <w:vAlign w:val="bottom"/>
          </w:tcPr>
          <w:p>
            <w:pPr>
              <w:ind w:left="200"/>
              <w:spacing w:after="0"/>
              <w:rPr>
                <w:sz w:val="20"/>
                <w:szCs w:val="20"/>
                <w:color w:val="auto"/>
              </w:rPr>
            </w:pPr>
            <w:r>
              <w:rPr>
                <w:rFonts w:ascii="Arial" w:cs="Arial" w:eastAsia="Arial" w:hAnsi="Arial"/>
                <w:sz w:val="18"/>
                <w:szCs w:val="18"/>
                <w:color w:val="auto"/>
              </w:rPr>
              <w:t>Financial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800" w:type="dxa"/>
            <w:vAlign w:val="bottom"/>
          </w:tcPr>
          <w:p>
            <w:pPr>
              <w:ind w:left="200"/>
              <w:spacing w:after="0"/>
              <w:rPr>
                <w:sz w:val="20"/>
                <w:szCs w:val="20"/>
                <w:color w:val="auto"/>
              </w:rPr>
            </w:pPr>
            <w:r>
              <w:rPr>
                <w:rFonts w:ascii="Arial" w:cs="Arial" w:eastAsia="Arial" w:hAnsi="Arial"/>
                <w:sz w:val="18"/>
                <w:szCs w:val="18"/>
                <w:color w:val="auto"/>
              </w:rPr>
              <w:t>Authorization and 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800" w:type="dxa"/>
            <w:vAlign w:val="bottom"/>
          </w:tcPr>
          <w:p>
            <w:pPr>
              <w:ind w:left="200"/>
              <w:spacing w:after="0"/>
              <w:rPr>
                <w:sz w:val="20"/>
                <w:szCs w:val="20"/>
                <w:color w:val="auto"/>
              </w:rPr>
            </w:pPr>
            <w:r>
              <w:rPr>
                <w:rFonts w:ascii="Arial" w:cs="Arial" w:eastAsia="Arial" w:hAnsi="Arial"/>
                <w:sz w:val="18"/>
                <w:szCs w:val="18"/>
                <w:color w:val="auto"/>
              </w:rPr>
              <w:t>Administrative Agent’s Reliance, Limitation of Liability, Etc.</w:t>
            </w:r>
          </w:p>
        </w:tc>
        <w:tc>
          <w:tcPr>
            <w:tcW w:w="24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800" w:type="dxa"/>
            <w:vAlign w:val="bottom"/>
          </w:tcPr>
          <w:p>
            <w:pPr>
              <w:ind w:left="200"/>
              <w:spacing w:after="0"/>
              <w:rPr>
                <w:sz w:val="20"/>
                <w:szCs w:val="20"/>
                <w:color w:val="auto"/>
              </w:rPr>
            </w:pPr>
            <w:r>
              <w:rPr>
                <w:rFonts w:ascii="Arial" w:cs="Arial" w:eastAsia="Arial" w:hAnsi="Arial"/>
                <w:sz w:val="18"/>
                <w:szCs w:val="18"/>
                <w:color w:val="auto"/>
              </w:rPr>
              <w:t>Posting of Communications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6800" w:type="dxa"/>
            <w:vAlign w:val="bottom"/>
          </w:tcPr>
          <w:p>
            <w:pPr>
              <w:ind w:left="200"/>
              <w:spacing w:after="0"/>
              <w:rPr>
                <w:sz w:val="20"/>
                <w:szCs w:val="20"/>
                <w:color w:val="auto"/>
              </w:rPr>
            </w:pPr>
            <w:r>
              <w:rPr>
                <w:rFonts w:ascii="Arial" w:cs="Arial" w:eastAsia="Arial" w:hAnsi="Arial"/>
                <w:sz w:val="18"/>
                <w:szCs w:val="18"/>
                <w:color w:val="auto"/>
              </w:rPr>
              <w:t>The Administrative Agent Individually</w:t>
            </w:r>
          </w:p>
        </w:tc>
        <w:tc>
          <w:tcPr>
            <w:tcW w:w="24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6800" w:type="dxa"/>
            <w:vAlign w:val="bottom"/>
          </w:tcPr>
          <w:p>
            <w:pPr>
              <w:ind w:left="200"/>
              <w:spacing w:after="0"/>
              <w:rPr>
                <w:sz w:val="20"/>
                <w:szCs w:val="20"/>
                <w:color w:val="auto"/>
              </w:rPr>
            </w:pPr>
            <w:r>
              <w:rPr>
                <w:rFonts w:ascii="Arial" w:cs="Arial" w:eastAsia="Arial" w:hAnsi="Arial"/>
                <w:sz w:val="18"/>
                <w:szCs w:val="18"/>
                <w:color w:val="auto"/>
              </w:rPr>
              <w:t>Successor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6800" w:type="dxa"/>
            <w:vAlign w:val="bottom"/>
          </w:tcPr>
          <w:p>
            <w:pPr>
              <w:ind w:left="200"/>
              <w:spacing w:after="0"/>
              <w:rPr>
                <w:sz w:val="20"/>
                <w:szCs w:val="20"/>
                <w:color w:val="auto"/>
              </w:rPr>
            </w:pPr>
            <w:r>
              <w:rPr>
                <w:rFonts w:ascii="Arial" w:cs="Arial" w:eastAsia="Arial" w:hAnsi="Arial"/>
                <w:sz w:val="18"/>
                <w:szCs w:val="18"/>
                <w:color w:val="auto"/>
              </w:rPr>
              <w:t>Acknowledgements of Lenders and Issuing Bank</w:t>
            </w:r>
          </w:p>
        </w:tc>
        <w:tc>
          <w:tcPr>
            <w:tcW w:w="24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6800" w:type="dxa"/>
            <w:vAlign w:val="bottom"/>
          </w:tcPr>
          <w:p>
            <w:pPr>
              <w:ind w:left="200"/>
              <w:spacing w:after="0"/>
              <w:rPr>
                <w:sz w:val="20"/>
                <w:szCs w:val="20"/>
                <w:color w:val="auto"/>
              </w:rPr>
            </w:pPr>
            <w:r>
              <w:rPr>
                <w:rFonts w:ascii="Arial" w:cs="Arial" w:eastAsia="Arial" w:hAnsi="Arial"/>
                <w:sz w:val="18"/>
                <w:szCs w:val="18"/>
                <w:color w:val="auto"/>
              </w:rPr>
              <w:t>Collateral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6800" w:type="dxa"/>
            <w:vAlign w:val="bottom"/>
          </w:tcPr>
          <w:p>
            <w:pPr>
              <w:ind w:left="200"/>
              <w:spacing w:after="0"/>
              <w:rPr>
                <w:sz w:val="20"/>
                <w:szCs w:val="20"/>
                <w:color w:val="auto"/>
              </w:rPr>
            </w:pPr>
            <w:r>
              <w:rPr>
                <w:rFonts w:ascii="Arial" w:cs="Arial" w:eastAsia="Arial" w:hAnsi="Arial"/>
                <w:sz w:val="18"/>
                <w:szCs w:val="18"/>
                <w:color w:val="auto"/>
              </w:rPr>
              <w:t>Credit Bidding</w:t>
            </w:r>
          </w:p>
        </w:tc>
        <w:tc>
          <w:tcPr>
            <w:tcW w:w="24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6800" w:type="dxa"/>
            <w:vAlign w:val="bottom"/>
          </w:tcPr>
          <w:p>
            <w:pPr>
              <w:ind w:left="200"/>
              <w:spacing w:after="0"/>
              <w:rPr>
                <w:sz w:val="20"/>
                <w:szCs w:val="20"/>
                <w:color w:val="auto"/>
              </w:rPr>
            </w:pPr>
            <w:r>
              <w:rPr>
                <w:rFonts w:ascii="Arial" w:cs="Arial" w:eastAsia="Arial" w:hAnsi="Arial"/>
                <w:sz w:val="18"/>
                <w:szCs w:val="18"/>
                <w:color w:val="auto"/>
              </w:rPr>
              <w:t>Certain ERISA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6800" w:type="dxa"/>
            <w:vAlign w:val="bottom"/>
          </w:tcPr>
          <w:p>
            <w:pPr>
              <w:ind w:left="200"/>
              <w:spacing w:after="0"/>
              <w:rPr>
                <w:sz w:val="20"/>
                <w:szCs w:val="20"/>
                <w:color w:val="auto"/>
              </w:rPr>
            </w:pPr>
            <w:r>
              <w:rPr>
                <w:rFonts w:ascii="Arial" w:cs="Arial" w:eastAsia="Arial" w:hAnsi="Arial"/>
                <w:sz w:val="18"/>
                <w:szCs w:val="18"/>
                <w:color w:val="auto"/>
              </w:rPr>
              <w:t>Flood Laws</w:t>
            </w:r>
          </w:p>
        </w:tc>
        <w:tc>
          <w:tcPr>
            <w:tcW w:w="24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6800" w:type="dxa"/>
            <w:vAlign w:val="bottom"/>
          </w:tcPr>
          <w:p>
            <w:pPr>
              <w:ind w:left="200"/>
              <w:spacing w:after="0"/>
              <w:rPr>
                <w:sz w:val="20"/>
                <w:szCs w:val="20"/>
                <w:color w:val="auto"/>
              </w:rPr>
            </w:pPr>
            <w:r>
              <w:rPr>
                <w:rFonts w:ascii="Arial" w:cs="Arial" w:eastAsia="Arial" w:hAnsi="Arial"/>
                <w:sz w:val="18"/>
                <w:szCs w:val="18"/>
                <w:color w:val="auto"/>
              </w:rPr>
              <w:t>Acknowledgements of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800" w:type="dxa"/>
            <w:vAlign w:val="bottom"/>
          </w:tcPr>
          <w:p>
            <w:pPr>
              <w:ind w:left="20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800" w:type="dxa"/>
            <w:vAlign w:val="bottom"/>
          </w:tcPr>
          <w:p>
            <w:pPr>
              <w:ind w:left="200"/>
              <w:spacing w:after="0"/>
              <w:rPr>
                <w:sz w:val="20"/>
                <w:szCs w:val="20"/>
                <w:color w:val="auto"/>
              </w:rPr>
            </w:pPr>
            <w:r>
              <w:rPr>
                <w:rFonts w:ascii="Arial" w:cs="Arial" w:eastAsia="Arial" w:hAnsi="Arial"/>
                <w:sz w:val="18"/>
                <w:szCs w:val="18"/>
                <w:color w:val="auto"/>
              </w:rPr>
              <w:t>Waivers;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800" w:type="dxa"/>
            <w:vAlign w:val="bottom"/>
          </w:tcPr>
          <w:p>
            <w:pPr>
              <w:ind w:left="200"/>
              <w:spacing w:after="0"/>
              <w:rPr>
                <w:sz w:val="20"/>
                <w:szCs w:val="20"/>
                <w:color w:val="auto"/>
              </w:rPr>
            </w:pPr>
            <w:r>
              <w:rPr>
                <w:rFonts w:ascii="Arial" w:cs="Arial" w:eastAsia="Arial" w:hAnsi="Arial"/>
                <w:sz w:val="18"/>
                <w:szCs w:val="18"/>
                <w:color w:val="auto"/>
              </w:rPr>
              <w:t>Expenses; Limitation of Liability; Indemnity; Etc.</w:t>
            </w:r>
          </w:p>
        </w:tc>
        <w:tc>
          <w:tcPr>
            <w:tcW w:w="24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80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80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6800" w:type="dxa"/>
            <w:vAlign w:val="bottom"/>
          </w:tcPr>
          <w:p>
            <w:pPr>
              <w:ind w:left="200"/>
              <w:spacing w:after="0"/>
              <w:rPr>
                <w:sz w:val="20"/>
                <w:szCs w:val="20"/>
                <w:color w:val="auto"/>
              </w:rPr>
            </w:pPr>
            <w:r>
              <w:rPr>
                <w:rFonts w:ascii="Arial" w:cs="Arial" w:eastAsia="Arial" w:hAnsi="Arial"/>
                <w:sz w:val="18"/>
                <w:szCs w:val="18"/>
                <w:color w:val="auto"/>
              </w:rPr>
              <w:t>Counterparts; Integration; Effectiveness; Electronic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68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680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24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6800" w:type="dxa"/>
            <w:vAlign w:val="bottom"/>
          </w:tcPr>
          <w:p>
            <w:pPr>
              <w:ind w:left="200"/>
              <w:spacing w:after="0"/>
              <w:rPr>
                <w:sz w:val="20"/>
                <w:szCs w:val="20"/>
                <w:color w:val="auto"/>
              </w:rPr>
            </w:pPr>
            <w:r>
              <w:rPr>
                <w:rFonts w:ascii="Arial" w:cs="Arial" w:eastAsia="Arial" w:hAnsi="Arial"/>
                <w:sz w:val="18"/>
                <w:szCs w:val="18"/>
                <w:color w:val="auto"/>
              </w:rPr>
              <w:t>Governing Law; Jurisdiction; Consent to Service of Process</w:t>
            </w:r>
          </w:p>
        </w:tc>
        <w:tc>
          <w:tcPr>
            <w:tcW w:w="24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68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680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680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6800" w:type="dxa"/>
            <w:vAlign w:val="bottom"/>
          </w:tcPr>
          <w:p>
            <w:pPr>
              <w:ind w:left="200"/>
              <w:spacing w:after="0"/>
              <w:rPr>
                <w:sz w:val="20"/>
                <w:szCs w:val="20"/>
                <w:color w:val="auto"/>
              </w:rPr>
            </w:pPr>
            <w:r>
              <w:rPr>
                <w:rFonts w:ascii="Arial" w:cs="Arial" w:eastAsia="Arial" w:hAnsi="Arial"/>
                <w:sz w:val="18"/>
                <w:szCs w:val="18"/>
                <w:color w:val="auto"/>
              </w:rPr>
              <w:t>Several Obligations; Nonreliance; Violation of Law</w:t>
            </w:r>
          </w:p>
        </w:tc>
        <w:tc>
          <w:tcPr>
            <w:tcW w:w="24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6800" w:type="dxa"/>
            <w:vAlign w:val="bottom"/>
          </w:tcPr>
          <w:p>
            <w:pPr>
              <w:ind w:left="200"/>
              <w:spacing w:after="0"/>
              <w:rPr>
                <w:sz w:val="20"/>
                <w:szCs w:val="20"/>
                <w:color w:val="auto"/>
              </w:rPr>
            </w:pPr>
            <w:r>
              <w:rPr>
                <w:rFonts w:ascii="Arial" w:cs="Arial" w:eastAsia="Arial" w:hAnsi="Arial"/>
                <w:sz w:val="18"/>
                <w:szCs w:val="18"/>
                <w:color w:val="auto"/>
              </w:rPr>
              <w:t>USA PATRIOT Act</w:t>
            </w:r>
          </w:p>
        </w:tc>
        <w:tc>
          <w:tcPr>
            <w:tcW w:w="24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9.15</w:t>
            </w:r>
          </w:p>
        </w:tc>
        <w:tc>
          <w:tcPr>
            <w:tcW w:w="6800" w:type="dxa"/>
            <w:vAlign w:val="bottom"/>
          </w:tcPr>
          <w:p>
            <w:pPr>
              <w:ind w:left="200"/>
              <w:spacing w:after="0"/>
              <w:rPr>
                <w:sz w:val="20"/>
                <w:szCs w:val="20"/>
                <w:color w:val="auto"/>
              </w:rPr>
            </w:pPr>
            <w:r>
              <w:rPr>
                <w:rFonts w:ascii="Arial" w:cs="Arial" w:eastAsia="Arial" w:hAnsi="Arial"/>
                <w:sz w:val="18"/>
                <w:szCs w:val="18"/>
                <w:color w:val="auto"/>
              </w:rPr>
              <w:t>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9.16</w:t>
            </w:r>
          </w:p>
        </w:tc>
        <w:tc>
          <w:tcPr>
            <w:tcW w:w="6800" w:type="dxa"/>
            <w:vAlign w:val="bottom"/>
          </w:tcPr>
          <w:p>
            <w:pPr>
              <w:ind w:left="200"/>
              <w:spacing w:after="0"/>
              <w:rPr>
                <w:sz w:val="20"/>
                <w:szCs w:val="20"/>
                <w:color w:val="auto"/>
              </w:rPr>
            </w:pPr>
            <w:r>
              <w:rPr>
                <w:rFonts w:ascii="Arial" w:cs="Arial" w:eastAsia="Arial" w:hAnsi="Arial"/>
                <w:sz w:val="18"/>
                <w:szCs w:val="18"/>
                <w:color w:val="auto"/>
              </w:rPr>
              <w:t>Appointment for Perfection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9.17</w:t>
            </w:r>
          </w:p>
        </w:tc>
        <w:tc>
          <w:tcPr>
            <w:tcW w:w="680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9.18</w:t>
            </w:r>
          </w:p>
        </w:tc>
        <w:tc>
          <w:tcPr>
            <w:tcW w:w="6800" w:type="dxa"/>
            <w:vAlign w:val="bottom"/>
          </w:tcPr>
          <w:p>
            <w:pPr>
              <w:ind w:left="200"/>
              <w:spacing w:after="0"/>
              <w:rPr>
                <w:sz w:val="20"/>
                <w:szCs w:val="20"/>
                <w:color w:val="auto"/>
              </w:rPr>
            </w:pPr>
            <w:r>
              <w:rPr>
                <w:rFonts w:ascii="Arial" w:cs="Arial" w:eastAsia="Arial" w:hAnsi="Arial"/>
                <w:sz w:val="18"/>
                <w:szCs w:val="18"/>
                <w:color w:val="auto"/>
              </w:rPr>
              <w:t>Marketing Consent</w:t>
            </w:r>
          </w:p>
        </w:tc>
        <w:tc>
          <w:tcPr>
            <w:tcW w:w="24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X Loan Guaranty</w:t>
            </w:r>
          </w:p>
        </w:tc>
        <w:tc>
          <w:tcPr>
            <w:tcW w:w="2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800" w:type="dxa"/>
            <w:vAlign w:val="bottom"/>
          </w:tcPr>
          <w:p>
            <w:pPr>
              <w:ind w:left="200"/>
              <w:spacing w:after="0"/>
              <w:rPr>
                <w:sz w:val="20"/>
                <w:szCs w:val="20"/>
                <w:color w:val="auto"/>
              </w:rPr>
            </w:pPr>
            <w:r>
              <w:rPr>
                <w:rFonts w:ascii="Arial" w:cs="Arial" w:eastAsia="Arial" w:hAnsi="Arial"/>
                <w:sz w:val="18"/>
                <w:szCs w:val="18"/>
                <w:color w:val="auto"/>
              </w:rPr>
              <w:t>Guaranty</w:t>
            </w:r>
          </w:p>
        </w:tc>
        <w:tc>
          <w:tcPr>
            <w:tcW w:w="2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800" w:type="dxa"/>
            <w:vAlign w:val="bottom"/>
          </w:tcPr>
          <w:p>
            <w:pPr>
              <w:ind w:left="200"/>
              <w:spacing w:after="0"/>
              <w:rPr>
                <w:sz w:val="20"/>
                <w:szCs w:val="20"/>
                <w:color w:val="auto"/>
              </w:rPr>
            </w:pPr>
            <w:r>
              <w:rPr>
                <w:rFonts w:ascii="Arial" w:cs="Arial" w:eastAsia="Arial" w:hAnsi="Arial"/>
                <w:sz w:val="18"/>
                <w:szCs w:val="18"/>
                <w:color w:val="auto"/>
              </w:rPr>
              <w:t>Guaranty of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6800" w:type="dxa"/>
            <w:vAlign w:val="bottom"/>
          </w:tcPr>
          <w:p>
            <w:pPr>
              <w:ind w:left="200"/>
              <w:spacing w:after="0"/>
              <w:rPr>
                <w:sz w:val="20"/>
                <w:szCs w:val="20"/>
                <w:color w:val="auto"/>
              </w:rPr>
            </w:pPr>
            <w:r>
              <w:rPr>
                <w:rFonts w:ascii="Arial" w:cs="Arial" w:eastAsia="Arial" w:hAnsi="Arial"/>
                <w:sz w:val="18"/>
                <w:szCs w:val="18"/>
                <w:color w:val="auto"/>
              </w:rPr>
              <w:t>No Discharge or Diminishment of Loan Guaranty</w:t>
            </w:r>
          </w:p>
        </w:tc>
        <w:tc>
          <w:tcPr>
            <w:tcW w:w="2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6800" w:type="dxa"/>
            <w:vAlign w:val="bottom"/>
          </w:tcPr>
          <w:p>
            <w:pPr>
              <w:ind w:left="200"/>
              <w:spacing w:after="0"/>
              <w:rPr>
                <w:sz w:val="20"/>
                <w:szCs w:val="20"/>
                <w:color w:val="auto"/>
              </w:rPr>
            </w:pPr>
            <w:r>
              <w:rPr>
                <w:rFonts w:ascii="Arial" w:cs="Arial" w:eastAsia="Arial" w:hAnsi="Arial"/>
                <w:sz w:val="18"/>
                <w:szCs w:val="18"/>
                <w:color w:val="auto"/>
              </w:rPr>
              <w:t>Defenses Waived</w:t>
            </w:r>
          </w:p>
        </w:tc>
        <w:tc>
          <w:tcPr>
            <w:tcW w:w="24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6800" w:type="dxa"/>
            <w:vAlign w:val="bottom"/>
          </w:tcPr>
          <w:p>
            <w:pPr>
              <w:ind w:left="200"/>
              <w:spacing w:after="0"/>
              <w:rPr>
                <w:sz w:val="20"/>
                <w:szCs w:val="20"/>
                <w:color w:val="auto"/>
              </w:rPr>
            </w:pPr>
            <w:r>
              <w:rPr>
                <w:rFonts w:ascii="Arial" w:cs="Arial" w:eastAsia="Arial" w:hAnsi="Arial"/>
                <w:sz w:val="18"/>
                <w:szCs w:val="18"/>
                <w:color w:val="auto"/>
              </w:rPr>
              <w:t>Rights of Subrogation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6800" w:type="dxa"/>
            <w:vAlign w:val="bottom"/>
          </w:tcPr>
          <w:p>
            <w:pPr>
              <w:ind w:left="200"/>
              <w:spacing w:after="0"/>
              <w:rPr>
                <w:sz w:val="20"/>
                <w:szCs w:val="20"/>
                <w:color w:val="auto"/>
              </w:rPr>
            </w:pPr>
            <w:r>
              <w:rPr>
                <w:rFonts w:ascii="Arial" w:cs="Arial" w:eastAsia="Arial" w:hAnsi="Arial"/>
                <w:sz w:val="18"/>
                <w:szCs w:val="18"/>
                <w:color w:val="auto"/>
              </w:rPr>
              <w:t>Reinstatement; Stay of Acceleration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6800" w:type="dxa"/>
            <w:vAlign w:val="bottom"/>
          </w:tcPr>
          <w:p>
            <w:pPr>
              <w:ind w:left="200"/>
              <w:spacing w:after="0"/>
              <w:rPr>
                <w:sz w:val="20"/>
                <w:szCs w:val="20"/>
                <w:color w:val="auto"/>
              </w:rPr>
            </w:pPr>
            <w:r>
              <w:rPr>
                <w:rFonts w:ascii="Arial" w:cs="Arial" w:eastAsia="Arial" w:hAnsi="Arial"/>
                <w:sz w:val="18"/>
                <w:szCs w:val="18"/>
                <w:color w:val="auto"/>
              </w:rPr>
              <w:t>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68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6800" w:type="dxa"/>
            <w:vAlign w:val="bottom"/>
          </w:tcPr>
          <w:p>
            <w:pPr>
              <w:ind w:left="20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6800" w:type="dxa"/>
            <w:vAlign w:val="bottom"/>
          </w:tcPr>
          <w:p>
            <w:pPr>
              <w:ind w:left="200"/>
              <w:spacing w:after="0"/>
              <w:rPr>
                <w:sz w:val="20"/>
                <w:szCs w:val="20"/>
                <w:color w:val="auto"/>
              </w:rPr>
            </w:pPr>
            <w:r>
              <w:rPr>
                <w:rFonts w:ascii="Arial" w:cs="Arial" w:eastAsia="Arial" w:hAnsi="Arial"/>
                <w:sz w:val="18"/>
                <w:szCs w:val="18"/>
                <w:color w:val="auto"/>
              </w:rPr>
              <w:t>Maximum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w w:val="93"/>
              </w:rPr>
              <w:t>SECTION 10.11</w:t>
            </w:r>
          </w:p>
        </w:tc>
        <w:tc>
          <w:tcPr>
            <w:tcW w:w="8520" w:type="dxa"/>
            <w:vAlign w:val="bottom"/>
            <w:gridSpan w:val="11"/>
          </w:tcPr>
          <w:p>
            <w:pPr>
              <w:ind w:left="360"/>
              <w:spacing w:after="0"/>
              <w:rPr>
                <w:sz w:val="20"/>
                <w:szCs w:val="20"/>
                <w:color w:val="auto"/>
              </w:rPr>
            </w:pPr>
            <w:r>
              <w:rPr>
                <w:rFonts w:ascii="Arial" w:cs="Arial" w:eastAsia="Arial" w:hAnsi="Arial"/>
                <w:sz w:val="18"/>
                <w:szCs w:val="18"/>
                <w:color w:val="auto"/>
              </w:rPr>
              <w:t>Contribution</w:t>
            </w: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w w:val="93"/>
              </w:rPr>
              <w:t>SECTION 10.12</w:t>
            </w:r>
          </w:p>
        </w:tc>
        <w:tc>
          <w:tcPr>
            <w:tcW w:w="8520" w:type="dxa"/>
            <w:vAlign w:val="bottom"/>
            <w:gridSpan w:val="11"/>
          </w:tcPr>
          <w:p>
            <w:pPr>
              <w:ind w:left="360"/>
              <w:spacing w:after="0"/>
              <w:rPr>
                <w:sz w:val="20"/>
                <w:szCs w:val="20"/>
                <w:color w:val="auto"/>
              </w:rPr>
            </w:pPr>
            <w:r>
              <w:rPr>
                <w:rFonts w:ascii="Arial" w:cs="Arial" w:eastAsia="Arial" w:hAnsi="Arial"/>
                <w:sz w:val="18"/>
                <w:szCs w:val="18"/>
                <w:color w:val="auto"/>
              </w:rPr>
              <w:t>Liability Cumulative</w:t>
            </w: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w w:val="93"/>
              </w:rPr>
              <w:t>SECTION 10.13</w:t>
            </w:r>
          </w:p>
        </w:tc>
        <w:tc>
          <w:tcPr>
            <w:tcW w:w="8520" w:type="dxa"/>
            <w:vAlign w:val="bottom"/>
            <w:gridSpan w:val="11"/>
          </w:tcPr>
          <w:p>
            <w:pPr>
              <w:ind w:left="360"/>
              <w:spacing w:after="0"/>
              <w:rPr>
                <w:sz w:val="20"/>
                <w:szCs w:val="20"/>
                <w:color w:val="auto"/>
              </w:rPr>
            </w:pPr>
            <w:r>
              <w:rPr>
                <w:rFonts w:ascii="Arial" w:cs="Arial" w:eastAsia="Arial" w:hAnsi="Arial"/>
                <w:sz w:val="18"/>
                <w:szCs w:val="18"/>
                <w:color w:val="auto"/>
              </w:rPr>
              <w:t>Keepwell</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91"/>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8"/>
          </w:tcPr>
          <w:p>
            <w:pPr>
              <w:jc w:val="center"/>
              <w:ind w:right="4080"/>
              <w:spacing w:after="0"/>
              <w:rPr>
                <w:sz w:val="20"/>
                <w:szCs w:val="20"/>
                <w:color w:val="auto"/>
              </w:rPr>
            </w:pPr>
            <w:r>
              <w:rPr>
                <w:rFonts w:ascii="Arial" w:cs="Arial" w:eastAsia="Arial" w:hAnsi="Arial"/>
                <w:sz w:val="18"/>
                <w:szCs w:val="18"/>
                <w:color w:val="auto"/>
                <w:w w:val="93"/>
              </w:rPr>
              <w:t>SCHEDULES:</w:t>
            </w:r>
          </w:p>
        </w:tc>
        <w:tc>
          <w:tcPr>
            <w:tcW w:w="840" w:type="dxa"/>
            <w:vAlign w:val="bottom"/>
          </w:tcPr>
          <w:p>
            <w:pPr>
              <w:spacing w:after="0"/>
              <w:rPr>
                <w:sz w:val="24"/>
                <w:szCs w:val="24"/>
                <w:color w:val="auto"/>
              </w:rPr>
            </w:pPr>
          </w:p>
        </w:tc>
      </w:tr>
      <w:tr>
        <w:trPr>
          <w:trHeight w:val="465"/>
        </w:trPr>
        <w:tc>
          <w:tcPr>
            <w:tcW w:w="4960" w:type="dxa"/>
            <w:vAlign w:val="bottom"/>
            <w:gridSpan w:val="5"/>
          </w:tcPr>
          <w:p>
            <w:pPr>
              <w:spacing w:after="0"/>
              <w:rPr>
                <w:sz w:val="20"/>
                <w:szCs w:val="20"/>
                <w:color w:val="auto"/>
              </w:rPr>
            </w:pPr>
            <w:r>
              <w:rPr>
                <w:rFonts w:ascii="Arial" w:cs="Arial" w:eastAsia="Arial" w:hAnsi="Arial"/>
                <w:sz w:val="18"/>
                <w:szCs w:val="18"/>
                <w:color w:val="auto"/>
              </w:rPr>
              <w:t>Commitment Schedule</w:t>
            </w:r>
          </w:p>
        </w:tc>
        <w:tc>
          <w:tcPr>
            <w:tcW w:w="1080" w:type="dxa"/>
            <w:vAlign w:val="bottom"/>
            <w:tcBorders>
              <w:top w:val="single" w:sz="8" w:color="auto"/>
            </w:tcBorders>
            <w:gridSpan w:val="7"/>
          </w:tcPr>
          <w:p>
            <w:pPr>
              <w:spacing w:after="0"/>
              <w:rPr>
                <w:sz w:val="24"/>
                <w:szCs w:val="24"/>
                <w:color w:val="auto"/>
              </w:rPr>
            </w:pPr>
          </w:p>
        </w:tc>
        <w:tc>
          <w:tcPr>
            <w:tcW w:w="4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1.01 --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Effective Date Early Pay Programs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1.02 --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Material Real Property</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1.03 --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Series D Preferred Stock</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3.05 --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Properties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3.06 --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Disclosed Matters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3.14 --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Insurance</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3.15 --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Capitalization and Subsidiaries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3.20 --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Burdensome Restrictions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5.15 --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Post-Closing Obligations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6.01 --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Existing Indebtedness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6.02 --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Existing Liens</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6"/>
              </w:rPr>
              <w:t>Schedule 6.04 --</w:t>
            </w:r>
          </w:p>
        </w:tc>
        <w:tc>
          <w:tcPr>
            <w:tcW w:w="300" w:type="dxa"/>
            <w:vAlign w:val="bottom"/>
          </w:tcPr>
          <w:p>
            <w:pPr>
              <w:spacing w:after="0"/>
              <w:rPr>
                <w:sz w:val="18"/>
                <w:szCs w:val="18"/>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Existing Investments</w:t>
            </w:r>
          </w:p>
        </w:tc>
        <w:tc>
          <w:tcPr>
            <w:tcW w:w="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6"/>
              </w:rPr>
              <w:t>Schedule 6.10 --</w:t>
            </w:r>
          </w:p>
        </w:tc>
        <w:tc>
          <w:tcPr>
            <w:tcW w:w="300" w:type="dxa"/>
            <w:vAlign w:val="bottom"/>
          </w:tcPr>
          <w:p>
            <w:pPr>
              <w:spacing w:after="0"/>
              <w:rPr>
                <w:sz w:val="20"/>
                <w:szCs w:val="20"/>
                <w:color w:val="auto"/>
              </w:rPr>
            </w:pPr>
          </w:p>
        </w:tc>
        <w:tc>
          <w:tcPr>
            <w:tcW w:w="8520" w:type="dxa"/>
            <w:vAlign w:val="bottom"/>
            <w:gridSpan w:val="11"/>
          </w:tcPr>
          <w:p>
            <w:pPr>
              <w:ind w:left="160"/>
              <w:spacing w:after="0"/>
              <w:rPr>
                <w:sz w:val="20"/>
                <w:szCs w:val="20"/>
                <w:color w:val="auto"/>
              </w:rPr>
            </w:pPr>
            <w:r>
              <w:rPr>
                <w:rFonts w:ascii="Arial" w:cs="Arial" w:eastAsia="Arial" w:hAnsi="Arial"/>
                <w:sz w:val="18"/>
                <w:szCs w:val="18"/>
                <w:color w:val="auto"/>
              </w:rPr>
              <w:t>Existing Restrictions</w:t>
            </w:r>
          </w:p>
        </w:tc>
        <w:tc>
          <w:tcPr>
            <w:tcW w:w="840" w:type="dxa"/>
            <w:vAlign w:val="bottom"/>
          </w:tcPr>
          <w:p>
            <w:pPr>
              <w:spacing w:after="0"/>
              <w:rPr>
                <w:sz w:val="20"/>
                <w:szCs w:val="20"/>
                <w:color w:val="auto"/>
              </w:rPr>
            </w:pPr>
          </w:p>
        </w:tc>
      </w:tr>
      <w:tr>
        <w:trPr>
          <w:trHeight w:val="392"/>
        </w:trPr>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EXHIBITS:</w:t>
            </w:r>
          </w:p>
        </w:tc>
        <w:tc>
          <w:tcPr>
            <w:tcW w:w="418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465"/>
        </w:trPr>
        <w:tc>
          <w:tcPr>
            <w:tcW w:w="1300" w:type="dxa"/>
            <w:vAlign w:val="bottom"/>
          </w:tcPr>
          <w:p>
            <w:pPr>
              <w:spacing w:after="0"/>
              <w:rPr>
                <w:sz w:val="20"/>
                <w:szCs w:val="20"/>
                <w:color w:val="auto"/>
              </w:rPr>
            </w:pPr>
            <w:r>
              <w:rPr>
                <w:rFonts w:ascii="Arial" w:cs="Arial" w:eastAsia="Arial" w:hAnsi="Arial"/>
                <w:sz w:val="18"/>
                <w:szCs w:val="18"/>
                <w:color w:val="auto"/>
              </w:rPr>
              <w:t>Exhibit 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rPr>
                <w:sz w:val="20"/>
                <w:szCs w:val="20"/>
                <w:color w:val="auto"/>
              </w:rPr>
            </w:pPr>
            <w:r>
              <w:rPr>
                <w:rFonts w:ascii="Arial" w:cs="Arial" w:eastAsia="Arial" w:hAnsi="Arial"/>
                <w:sz w:val="18"/>
                <w:szCs w:val="18"/>
                <w:color w:val="auto"/>
              </w:rPr>
              <w:t>Form of Assignment and Assumption</w:t>
            </w:r>
          </w:p>
        </w:tc>
        <w:tc>
          <w:tcPr>
            <w:tcW w:w="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B</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rPr>
                <w:sz w:val="20"/>
                <w:szCs w:val="20"/>
                <w:color w:val="auto"/>
              </w:rPr>
            </w:pPr>
            <w:r>
              <w:rPr>
                <w:rFonts w:ascii="Arial" w:cs="Arial" w:eastAsia="Arial" w:hAnsi="Arial"/>
                <w:sz w:val="18"/>
                <w:szCs w:val="18"/>
                <w:color w:val="auto"/>
              </w:rPr>
              <w:t>Form of Borrowing Base Certificate</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rPr>
                <w:sz w:val="20"/>
                <w:szCs w:val="20"/>
                <w:color w:val="auto"/>
              </w:rPr>
            </w:pPr>
            <w:r>
              <w:rPr>
                <w:rFonts w:ascii="Arial" w:cs="Arial" w:eastAsia="Arial" w:hAnsi="Arial"/>
                <w:sz w:val="18"/>
                <w:szCs w:val="18"/>
                <w:color w:val="auto"/>
              </w:rPr>
              <w:t>Form of Compliance Certificate</w:t>
            </w:r>
          </w:p>
        </w:tc>
        <w:tc>
          <w:tcPr>
            <w:tcW w:w="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rPr>
                <w:sz w:val="20"/>
                <w:szCs w:val="20"/>
                <w:color w:val="auto"/>
              </w:rPr>
            </w:pPr>
            <w:r>
              <w:rPr>
                <w:rFonts w:ascii="Arial" w:cs="Arial" w:eastAsia="Arial" w:hAnsi="Arial"/>
                <w:sz w:val="18"/>
                <w:szCs w:val="18"/>
                <w:color w:val="auto"/>
              </w:rPr>
              <w:t>Joinder Agreement</w:t>
            </w:r>
          </w:p>
        </w:tc>
        <w:tc>
          <w:tcPr>
            <w:tcW w:w="840" w:type="dxa"/>
            <w:vAlign w:val="bottom"/>
          </w:tcPr>
          <w:p>
            <w:pPr>
              <w:spacing w:after="0"/>
              <w:rPr>
                <w:sz w:val="18"/>
                <w:szCs w:val="18"/>
                <w:color w:val="auto"/>
              </w:rPr>
            </w:pPr>
          </w:p>
        </w:tc>
      </w:tr>
      <w:tr>
        <w:trPr>
          <w:trHeight w:val="190"/>
        </w:trPr>
        <w:tc>
          <w:tcPr>
            <w:tcW w:w="1300" w:type="dxa"/>
            <w:vAlign w:val="bottom"/>
          </w:tcPr>
          <w:p>
            <w:pPr>
              <w:spacing w:after="0" w:line="190" w:lineRule="exact"/>
              <w:rPr>
                <w:sz w:val="20"/>
                <w:szCs w:val="20"/>
                <w:color w:val="auto"/>
              </w:rPr>
            </w:pPr>
            <w:r>
              <w:rPr>
                <w:rFonts w:ascii="Arial" w:cs="Arial" w:eastAsia="Arial" w:hAnsi="Arial"/>
                <w:sz w:val="18"/>
                <w:szCs w:val="18"/>
                <w:color w:val="auto"/>
              </w:rPr>
              <w:t>Exhibit E-1</w:t>
            </w: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line="190" w:lineRule="exact"/>
              <w:rPr>
                <w:sz w:val="20"/>
                <w:szCs w:val="20"/>
                <w:color w:val="auto"/>
              </w:rPr>
            </w:pPr>
            <w:r>
              <w:rPr>
                <w:rFonts w:ascii="Arial" w:cs="Arial" w:eastAsia="Arial" w:hAnsi="Arial"/>
                <w:sz w:val="18"/>
                <w:szCs w:val="18"/>
                <w:color w:val="auto"/>
                <w:w w:val="99"/>
              </w:rPr>
              <w:t>U.S. Tax Certificate (For Foreign Lenders that are not Partnerships for U.S. Federal Income Tax Purposes)</w:t>
            </w:r>
          </w:p>
        </w:tc>
        <w:tc>
          <w:tcPr>
            <w:tcW w:w="84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Exhibit E-2</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line="196" w:lineRule="exact"/>
              <w:rPr>
                <w:sz w:val="20"/>
                <w:szCs w:val="20"/>
                <w:color w:val="auto"/>
              </w:rPr>
            </w:pPr>
            <w:r>
              <w:rPr>
                <w:rFonts w:ascii="Arial" w:cs="Arial" w:eastAsia="Arial" w:hAnsi="Arial"/>
                <w:sz w:val="18"/>
                <w:szCs w:val="18"/>
                <w:color w:val="auto"/>
                <w:w w:val="96"/>
              </w:rPr>
              <w:t>U.S. Tax Certificate (For Foreign Participants that are not Partnerships for U.S. Federal Income Tax Purposes)</w:t>
            </w:r>
          </w:p>
        </w:tc>
        <w:tc>
          <w:tcPr>
            <w:tcW w:w="8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Exhibit E-3</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line="196" w:lineRule="exact"/>
              <w:rPr>
                <w:sz w:val="20"/>
                <w:szCs w:val="20"/>
                <w:color w:val="auto"/>
              </w:rPr>
            </w:pPr>
            <w:r>
              <w:rPr>
                <w:rFonts w:ascii="Arial" w:cs="Arial" w:eastAsia="Arial" w:hAnsi="Arial"/>
                <w:sz w:val="18"/>
                <w:szCs w:val="18"/>
                <w:color w:val="auto"/>
                <w:w w:val="99"/>
              </w:rPr>
              <w:t>U.S. Tax Certificate (For Foreign Participants that are Partnerships for U.S. Federal Income Tax Purposes)</w:t>
            </w:r>
          </w:p>
        </w:tc>
        <w:tc>
          <w:tcPr>
            <w:tcW w:w="8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Exhibit E-4</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520" w:type="dxa"/>
            <w:vAlign w:val="bottom"/>
            <w:gridSpan w:val="11"/>
          </w:tcPr>
          <w:p>
            <w:pPr>
              <w:ind w:left="20"/>
              <w:spacing w:after="0" w:line="196" w:lineRule="exact"/>
              <w:rPr>
                <w:sz w:val="20"/>
                <w:szCs w:val="20"/>
                <w:color w:val="auto"/>
              </w:rPr>
            </w:pPr>
            <w:r>
              <w:rPr>
                <w:rFonts w:ascii="Arial" w:cs="Arial" w:eastAsia="Arial" w:hAnsi="Arial"/>
                <w:sz w:val="18"/>
                <w:szCs w:val="18"/>
                <w:color w:val="auto"/>
              </w:rPr>
              <w:t>U.S. Tax Certificate (For Foreign that are Partnerships for U.S. Federal Income Tax Purposes)</w:t>
            </w:r>
          </w:p>
        </w:tc>
        <w:tc>
          <w:tcPr>
            <w:tcW w:w="8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207" w:name="page208"/>
    <w:bookmarkEnd w:id="207"/>
    <w:p>
      <w:pPr>
        <w:ind w:left="4"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 dated as of March 22, 2021 (as it may be amended or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NN,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Loan Parties party hereto, the Lenders party hereto, and JPMORGAN CHASE BANK, N.A., as Administrative Agent.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ind w:left="5104"/>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is as defined in the Intercreditor Agreement.</w:t>
      </w:r>
    </w:p>
    <w:p>
      <w:pPr>
        <w:spacing w:after="0" w:line="225"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when used in reference to (a) a rate of interest, refers to the Alternate Base Rate, and (b) any Loan or Borrowing, refers to whether such Loan, or the Loans comprising such Borrowing, bear interest at a rate determined by reference to the Alternate Base Rate.</w:t>
      </w:r>
    </w:p>
    <w:p>
      <w:pPr>
        <w:spacing w:after="0" w:line="146"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Appraiser</w:t>
      </w:r>
      <w:r>
        <w:rPr>
          <w:rFonts w:ascii="Arial" w:cs="Arial" w:eastAsia="Arial" w:hAnsi="Arial"/>
          <w:sz w:val="17"/>
          <w:szCs w:val="17"/>
          <w:color w:val="auto"/>
        </w:rPr>
        <w:t>” means (i) Hilco Valuation Services, B. Riley Advisory Services, Gordon Brothers, and Tiger Group, and (ii) any other experienced and reputable appraiser reasonably acceptable to the Administrative Agent in consultation with the Company.</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on or after the Effective Date, by which any Loan Party</w:t>
      </w:r>
    </w:p>
    <w:p>
      <w:pPr>
        <w:spacing w:after="0" w:line="46" w:lineRule="exact"/>
        <w:rPr>
          <w:sz w:val="20"/>
          <w:szCs w:val="20"/>
          <w:color w:val="auto"/>
        </w:rPr>
      </w:pPr>
    </w:p>
    <w:p>
      <w:pPr>
        <w:ind w:left="244" w:hanging="244"/>
        <w:spacing w:after="0"/>
        <w:tabs>
          <w:tab w:leader="none" w:pos="24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acquires any going-concern business or all or substantially all of the assets of any Person, whether through purchase of assets, merger or otherwise or</w:t>
      </w:r>
    </w:p>
    <w:p>
      <w:pPr>
        <w:spacing w:after="0" w:line="32" w:lineRule="exact"/>
        <w:rPr>
          <w:rFonts w:ascii="Arial" w:cs="Arial" w:eastAsia="Arial" w:hAnsi="Arial"/>
          <w:sz w:val="16"/>
          <w:szCs w:val="16"/>
          <w:color w:val="auto"/>
        </w:rPr>
      </w:pPr>
    </w:p>
    <w:p>
      <w:pPr>
        <w:jc w:val="both"/>
        <w:ind w:left="4" w:right="60" w:hanging="4"/>
        <w:spacing w:after="0" w:line="302" w:lineRule="auto"/>
        <w:tabs>
          <w:tab w:leader="none" w:pos="25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directly or indirectly acquires (in one transaction or as the most recent transaction in a series of transactions) at least a majority (in number of votes) of the Equity Interests of a Person that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55"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for the Lenders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ectPr>
          <w:pgSz w:w="11900" w:h="16838" w:orient="portrait"/>
          <w:cols w:equalWidth="0" w:num="1">
            <w:col w:w="11004"/>
          </w:cols>
          <w:pgMar w:left="436" w:top="270" w:right="45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w:t>
      </w:r>
      <w:r>
        <w:rPr>
          <w:rFonts w:ascii="Arial" w:cs="Arial" w:eastAsia="Arial" w:hAnsi="Arial"/>
          <w:sz w:val="18"/>
          <w:szCs w:val="18"/>
          <w:color w:val="auto"/>
        </w:rPr>
        <w:t>” means, at any time, the aggregate Credit Exposure of all the Lenders at such time.</w:t>
      </w:r>
    </w:p>
    <w:p>
      <w:pPr>
        <w:spacing w:after="0" w:line="225"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Revolving Commitment</w:t>
      </w:r>
      <w:r>
        <w:rPr>
          <w:rFonts w:ascii="Arial" w:cs="Arial" w:eastAsia="Arial" w:hAnsi="Arial"/>
          <w:sz w:val="16"/>
          <w:szCs w:val="16"/>
          <w:color w:val="auto"/>
        </w:rPr>
        <w:t>” means, at any time, the aggregate of the Revolving Commitments of all of the Lenders, as increased or reduced from time to time pursuant to the terms and conditions hereof. As of the Effective Date, the Aggregate Revolving Commitment is $50,000,000.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Exposure</w:t>
      </w:r>
      <w:r>
        <w:rPr>
          <w:rFonts w:ascii="Arial" w:cs="Arial" w:eastAsia="Arial" w:hAnsi="Arial"/>
          <w:sz w:val="18"/>
          <w:szCs w:val="18"/>
          <w:color w:val="auto"/>
        </w:rPr>
        <w:t>” means, at any time, the aggregate Revolving Exposure of all the Lenders at such time.</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Catch-up Payment</w:t>
      </w:r>
      <w:r>
        <w:rPr>
          <w:rFonts w:ascii="Arial" w:cs="Arial" w:eastAsia="Arial" w:hAnsi="Arial"/>
          <w:sz w:val="18"/>
          <w:szCs w:val="18"/>
          <w:color w:val="auto"/>
        </w:rPr>
        <w:t>” means, with respect to Indebtedness that would constitute an applicable high yield debt obligation pursuant to Section 163(i) of the Code but for such AHYDO Catch-Up Payment and solely with respect to any associated interest payment date occurring after the fifth anniversary of the issuance of such Indebtedness, and each interest payment date thereafter, excluding the interest payment date that falls on the maturity date of such Indebtedness, the amount of payment required for such Indebtedness not to be treated as having a “significant original issue discount” within the meaning of Section 163(i)(2) of the Code.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means the American Land Title Association.</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and (c) the Adjusted LIBO Rate for a one month Interest Period on such day (or if such day is not a Business Day, the immediately preceding Business Day) plus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(for the avoidance of doubt, only until the Benchmark Replacement has been determined pursuant to Section 2.14(c)), then the Alternate Base Rate shall be the greater of clause (a) and (b) above and shall be determined without reference to clause (c) above. For the avoidance of doubt, if the Alternate Base Rate as determined pursuant to the foregoing would be less than 1.50%, such rate shall be deemed to be 1.50% for purposes of this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9.06(b).</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09" w:name="page210"/>
    <w:bookmarkEnd w:id="209"/>
    <w:p>
      <w:pPr>
        <w:ind w:right="1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laws, rules, and regulations of any jurisdiction applicable to the Borrower or any of its Subsidiaries from time to time concerning or relating to bribery or corruption, including the United States Foreign Corrupt Practices Act of 1977 and the U.K. Bribery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has the meaning assigned to it in Section 8.03(c).</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Credit Exposure, a percentage based upon its share of the Aggregate Credit Exposure (with the Swingline Exposure of each Lender calculated assuming that all of the Lenders have funded their participations in all Swingline Loans outstanding at such time) and the unused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accordance with Section 2.20, so long as any Lender shall be a Defaulting Lender, such Defaulting Lender’s Commitment shall be disregarded in the calculations under clauses (a) and (c) above.</w:t>
      </w:r>
    </w:p>
    <w:p>
      <w:pPr>
        <w:spacing w:after="0" w:line="17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for any day, with respect to any Loan, or with respect to the commitment fees payable hereunder, as the case may be, the applicable rate per annum set forth below under the caption “Revolver ABR Spread” or “Revolver Eurodollar Spread”, as the case may be, based upon the Average Quarterly Availability during the most recently ended fiscal quarter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Rate” shall be the applicable rates per annum set forth below in Category 1 during the period from the Effective Date to, and including, the last day of the fiscal quarter of the Company ending on or about March 31, 2021:</w:t>
      </w:r>
    </w:p>
    <w:p>
      <w:pPr>
        <w:spacing w:after="0" w:line="19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Revolver</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color w:val="auto"/>
                <w:w w:val="91"/>
              </w:rPr>
              <w:t>Category</w:t>
            </w:r>
          </w:p>
        </w:tc>
        <w:tc>
          <w:tcPr>
            <w:tcW w:w="460" w:type="dxa"/>
            <w:vAlign w:val="bottom"/>
          </w:tcPr>
          <w:p>
            <w:pPr>
              <w:spacing w:after="0"/>
              <w:rPr>
                <w:sz w:val="12"/>
                <w:szCs w:val="12"/>
                <w:color w:val="auto"/>
              </w:rPr>
            </w:pPr>
          </w:p>
        </w:tc>
        <w:tc>
          <w:tcPr>
            <w:tcW w:w="5640" w:type="dxa"/>
            <w:vAlign w:val="bottom"/>
            <w:gridSpan w:val="3"/>
            <w:vMerge w:val="restart"/>
          </w:tcPr>
          <w:p>
            <w:pPr>
              <w:jc w:val="center"/>
              <w:ind w:right="20"/>
              <w:spacing w:after="0"/>
              <w:rPr>
                <w:sz w:val="20"/>
                <w:szCs w:val="20"/>
                <w:color w:val="auto"/>
              </w:rPr>
            </w:pPr>
            <w:r>
              <w:rPr>
                <w:rFonts w:ascii="Arial" w:cs="Arial" w:eastAsia="Arial" w:hAnsi="Arial"/>
                <w:sz w:val="14"/>
                <w:szCs w:val="14"/>
                <w:color w:val="auto"/>
                <w:w w:val="96"/>
              </w:rPr>
              <w:t>Average Quarterly Availability</w:t>
            </w:r>
          </w:p>
        </w:tc>
        <w:tc>
          <w:tcPr>
            <w:tcW w:w="46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Revolver</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7"/>
              </w:rPr>
              <w:t>Eurodollar</w:t>
            </w:r>
          </w:p>
        </w:tc>
        <w:tc>
          <w:tcPr>
            <w:tcW w:w="0" w:type="dxa"/>
            <w:vAlign w:val="bottom"/>
          </w:tcPr>
          <w:p>
            <w:pPr>
              <w:spacing w:after="0"/>
              <w:rPr>
                <w:sz w:val="1"/>
                <w:szCs w:val="1"/>
                <w:color w:val="auto"/>
              </w:rPr>
            </w:pPr>
          </w:p>
        </w:tc>
      </w:tr>
      <w:tr>
        <w:trPr>
          <w:trHeight w:val="174"/>
        </w:trPr>
        <w:tc>
          <w:tcPr>
            <w:tcW w:w="54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3"/>
            <w:vMerge w:val="continue"/>
          </w:tcPr>
          <w:p>
            <w:pPr>
              <w:spacing w:after="0"/>
              <w:rPr>
                <w:sz w:val="15"/>
                <w:szCs w:val="15"/>
                <w:color w:val="auto"/>
              </w:rPr>
            </w:pPr>
          </w:p>
        </w:tc>
        <w:tc>
          <w:tcPr>
            <w:tcW w:w="1560" w:type="dxa"/>
            <w:vAlign w:val="bottom"/>
            <w:gridSpan w:val="3"/>
          </w:tcPr>
          <w:p>
            <w:pPr>
              <w:jc w:val="right"/>
              <w:ind w:right="380"/>
              <w:spacing w:after="0" w:line="154" w:lineRule="exact"/>
              <w:rPr>
                <w:sz w:val="20"/>
                <w:szCs w:val="20"/>
                <w:color w:val="auto"/>
              </w:rPr>
            </w:pPr>
            <w:r>
              <w:rPr>
                <w:rFonts w:ascii="Arial" w:cs="Arial" w:eastAsia="Arial" w:hAnsi="Arial"/>
                <w:sz w:val="14"/>
                <w:szCs w:val="14"/>
                <w:color w:val="auto"/>
              </w:rPr>
              <w:t>ABR Spread</w:t>
            </w:r>
          </w:p>
        </w:tc>
        <w:tc>
          <w:tcPr>
            <w:tcW w:w="240" w:type="dxa"/>
            <w:vAlign w:val="bottom"/>
          </w:tcPr>
          <w:p>
            <w:pPr>
              <w:spacing w:after="0"/>
              <w:rPr>
                <w:sz w:val="15"/>
                <w:szCs w:val="15"/>
                <w:color w:val="auto"/>
              </w:rPr>
            </w:pPr>
          </w:p>
        </w:tc>
        <w:tc>
          <w:tcPr>
            <w:tcW w:w="82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88"/>
              </w:rPr>
              <w:t>Spread</w:t>
            </w:r>
          </w:p>
        </w:tc>
        <w:tc>
          <w:tcPr>
            <w:tcW w:w="0" w:type="dxa"/>
            <w:vAlign w:val="bottom"/>
          </w:tcPr>
          <w:p>
            <w:pPr>
              <w:spacing w:after="0"/>
              <w:rPr>
                <w:sz w:val="1"/>
                <w:szCs w:val="1"/>
                <w:color w:val="auto"/>
              </w:rPr>
            </w:pPr>
          </w:p>
        </w:tc>
      </w:tr>
      <w:tr>
        <w:trPr>
          <w:trHeight w:val="163"/>
        </w:trPr>
        <w:tc>
          <w:tcPr>
            <w:tcW w:w="5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spacing w:after="0"/>
              <w:rPr>
                <w:sz w:val="14"/>
                <w:szCs w:val="14"/>
                <w:color w:val="auto"/>
              </w:rPr>
            </w:pPr>
          </w:p>
        </w:tc>
        <w:tc>
          <w:tcPr>
            <w:tcW w:w="3220" w:type="dxa"/>
            <w:vAlign w:val="bottom"/>
            <w:tcBorders>
              <w:top w:val="single" w:sz="8" w:color="auto"/>
            </w:tcBorders>
            <w:gridSpan w:val="2"/>
            <w:shd w:val="clear" w:color="auto" w:fill="CCEEFF"/>
          </w:tcPr>
          <w:p>
            <w:pPr>
              <w:jc w:val="center"/>
              <w:ind w:right="2440"/>
              <w:spacing w:after="0" w:line="163" w:lineRule="exact"/>
              <w:rPr>
                <w:sz w:val="20"/>
                <w:szCs w:val="20"/>
                <w:color w:val="auto"/>
              </w:rPr>
            </w:pPr>
            <w:r>
              <w:rPr>
                <w:rFonts w:ascii="Arial" w:cs="Arial" w:eastAsia="Arial" w:hAnsi="Arial"/>
                <w:sz w:val="18"/>
                <w:szCs w:val="18"/>
                <w:color w:val="auto"/>
                <w:w w:val="88"/>
              </w:rPr>
              <w:t>Category 1</w:t>
            </w:r>
          </w:p>
        </w:tc>
        <w:tc>
          <w:tcPr>
            <w:tcW w:w="4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560" w:type="dxa"/>
            <w:vAlign w:val="bottom"/>
            <w:gridSpan w:val="3"/>
            <w:shd w:val="clear" w:color="auto" w:fill="CCEEFF"/>
          </w:tcPr>
          <w:p>
            <w:pPr>
              <w:spacing w:after="0" w:line="20" w:lineRule="exact"/>
              <w:rPr>
                <w:sz w:val="1"/>
                <w:szCs w:val="1"/>
                <w:color w:val="auto"/>
              </w:rPr>
            </w:pPr>
          </w:p>
        </w:tc>
        <w:tc>
          <w:tcPr>
            <w:tcW w:w="106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&gt; 50% of the Aggregate Revolving Commitment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76"/>
        </w:trPr>
        <w:tc>
          <w:tcPr>
            <w:tcW w:w="54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220" w:type="dxa"/>
            <w:vAlign w:val="bottom"/>
            <w:gridSpan w:val="2"/>
          </w:tcPr>
          <w:p>
            <w:pPr>
              <w:jc w:val="center"/>
              <w:ind w:right="2440"/>
              <w:spacing w:after="0" w:line="176" w:lineRule="exact"/>
              <w:rPr>
                <w:sz w:val="20"/>
                <w:szCs w:val="20"/>
                <w:color w:val="auto"/>
              </w:rPr>
            </w:pPr>
            <w:r>
              <w:rPr>
                <w:rFonts w:ascii="Arial" w:cs="Arial" w:eastAsia="Arial" w:hAnsi="Arial"/>
                <w:sz w:val="18"/>
                <w:szCs w:val="18"/>
                <w:color w:val="auto"/>
                <w:w w:val="88"/>
              </w:rPr>
              <w:t>Category 2</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£ 50% of the Aggregate Revolving Commitment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2 at the option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0" w:name="page211"/>
    <w:bookmarkEnd w:id="21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or at the request of the Required Lenders if the Borrower fails to deliver any Borrowing Base Certificate or related information required to be delivered by them pursuant to Section 5.01, during the period from the expiration of the time for delivery thereof until each such Borrowing Base Certificate and related information is so delivered.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at any time the Administrative Agent determines that any Borrowing Base Certificate or related information based on which Availability and/or such Average Quarterly Availability and the corresponding Applicable Rate was determined, as applicable, was incorrect (whether based on a restatement, fraud or otherwise), the Borrower shall be required to retroactively pay any additional amount that the Borrower would have been required to pay if such Borrowing Base Certificate or related information based upon which Availability and/or such Average Quarterly Availability was determined had been accurate at the time it was delivered.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it in Section 8.03(a).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JPMorgan Chase Bank, N.A. in its capacity as sole bookrunner and sole lead arranger hereunder.</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at any time, an amount equal to (a) the lesser of (i) the Aggregate Revolving Commitment and (ii) the Borrowing Base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w:t>
      </w:r>
      <w:r>
        <w:rPr>
          <w:rFonts w:ascii="Arial" w:cs="Arial" w:eastAsia="Arial" w:hAnsi="Arial"/>
          <w:sz w:val="18"/>
          <w:szCs w:val="18"/>
          <w:color w:val="auto"/>
        </w:rPr>
        <w:t>(b) the Aggregate Revolving Exposure (calculated, with respect to any Defaulting Lender, as if such Defaulting Lender had funded its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all outstanding Borrowings).</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Triggering Covenant Event</w:t>
      </w:r>
      <w:r>
        <w:rPr>
          <w:rFonts w:ascii="Arial" w:cs="Arial" w:eastAsia="Arial" w:hAnsi="Arial"/>
          <w:sz w:val="18"/>
          <w:szCs w:val="18"/>
          <w:color w:val="auto"/>
        </w:rPr>
        <w:t>” at any time in which Availability is less than 12.5% of the Aggregate Revolving Commitment or an Event of Default has occurred and is continuing</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Triggering Covenant Event Period</w:t>
      </w:r>
      <w:r>
        <w:rPr>
          <w:rFonts w:ascii="Arial" w:cs="Arial" w:eastAsia="Arial" w:hAnsi="Arial"/>
          <w:sz w:val="18"/>
          <w:szCs w:val="18"/>
          <w:color w:val="auto"/>
        </w:rPr>
        <w:t>” means the period commencing on an Availability Triggering Covenant Event until the first day immediately succeeding the last day of the fiscal quarter that includes the 30th consecutive day on which the Availability remains in excess of 12.5% of the Aggregate Revolving Commitment, so long as no Default shall have occurred and be continuing.</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Triggering Financial Statement Event</w:t>
      </w:r>
      <w:r>
        <w:rPr>
          <w:rFonts w:ascii="Arial" w:cs="Arial" w:eastAsia="Arial" w:hAnsi="Arial"/>
          <w:sz w:val="18"/>
          <w:szCs w:val="18"/>
          <w:color w:val="auto"/>
        </w:rPr>
        <w:t>” at any time in which Availability is less than 15% of the Aggregate Revolving Commitment or an Event of Default has occurred and is continuing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1" w:name="page212"/>
    <w:bookmarkEnd w:id="211"/>
    <w:p>
      <w:pPr>
        <w:ind w:right="3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Availability Triggering Financial Statement Event Period</w:t>
      </w:r>
      <w:r>
        <w:rPr>
          <w:rFonts w:ascii="Arial" w:cs="Arial" w:eastAsia="Arial" w:hAnsi="Arial"/>
          <w:sz w:val="16"/>
          <w:szCs w:val="16"/>
          <w:color w:val="auto"/>
        </w:rPr>
        <w:t>” means the period commencing on an Availability Triggering Financial Statement Event until the first day immediately succeeding the last day of the fiscal quarter that includes the 30th consecutive day on which the Availability remains in excess of 15% of the Aggregate Revolving Commitment, so long as no Default shall have occurred and be continuing.</w:t>
      </w:r>
    </w:p>
    <w:p>
      <w:pPr>
        <w:spacing w:after="0" w:line="149"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Revolving Commitment</w:t>
      </w:r>
      <w:r>
        <w:rPr>
          <w:rFonts w:ascii="Arial" w:cs="Arial" w:eastAsia="Arial" w:hAnsi="Arial"/>
          <w:sz w:val="16"/>
          <w:szCs w:val="16"/>
          <w:color w:val="auto"/>
        </w:rPr>
        <w:t xml:space="preserve">” means, at any time, the Aggregate Revolving Commitment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the Aggregate Revolving Exposure (calculated, with respect to any Defaulting Lender, as if such Defaulting Lender had funded its Applicable Percentage of all outstanding Borrowings).</w:t>
      </w:r>
    </w:p>
    <w:p>
      <w:pPr>
        <w:spacing w:after="0" w:line="12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(g) of Section 2.14.</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Quarterly Availability</w:t>
      </w:r>
      <w:r>
        <w:rPr>
          <w:rFonts w:ascii="Arial" w:cs="Arial" w:eastAsia="Arial" w:hAnsi="Arial"/>
          <w:sz w:val="18"/>
          <w:szCs w:val="18"/>
          <w:color w:val="auto"/>
        </w:rPr>
        <w:t xml:space="preserve">” means, for any fiscal quarter of the Company, an amount equal to the average daily Availability during such fiscal quarter, as determined by the Administrative Agent’s system of records; </w:t>
      </w:r>
      <w:r>
        <w:rPr>
          <w:rFonts w:ascii="Arial" w:cs="Arial" w:eastAsia="Arial" w:hAnsi="Arial"/>
          <w:sz w:val="18"/>
          <w:szCs w:val="18"/>
          <w:u w:val="single" w:color="auto"/>
          <w:color w:val="auto"/>
        </w:rPr>
        <w:t>provided</w:t>
      </w:r>
      <w:r>
        <w:rPr>
          <w:rFonts w:ascii="Arial" w:cs="Arial" w:eastAsia="Arial" w:hAnsi="Arial"/>
          <w:sz w:val="18"/>
          <w:szCs w:val="18"/>
          <w:color w:val="auto"/>
        </w:rPr>
        <w:t>, that in order to determine Availability on any day for purposes of this definition, the Borrowing Base for such day shall be determined by reference to the most recent Base Certificate delivered to the Administrative Agent pursuant to Section 5.01 as of such day.</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or its Subsidiaries by JPMCB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88"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212" w:name="page213"/>
    <w:bookmarkEnd w:id="212"/>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Banking Services Reserves</w:t>
      </w:r>
      <w:r>
        <w:rPr>
          <w:rFonts w:ascii="Arial" w:cs="Arial" w:eastAsia="Arial" w:hAnsi="Arial"/>
          <w:sz w:val="18"/>
          <w:szCs w:val="18"/>
          <w:color w:val="auto"/>
        </w:rPr>
        <w:t>” means all Reserves that the Administrative Agent from time to time establishes in its Permitted Discretion for Banking Services then provided or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entitled “Bankruptcy”, as now and hereafter in effect, or any successor statute.</w:t>
      </w:r>
    </w:p>
    <w:p>
      <w:pPr>
        <w:spacing w:after="0" w:line="23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LIBO Rate or the then-current Benchmark, then “Benchmark” means the applicable Benchmark Replacement to the extent that such Benchmark Replacement has replaced such prior benchmark rate pursuant to clause (c) or clause (d) of Section 2.14.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211" w:lineRule="exact"/>
        <w:rPr>
          <w:sz w:val="20"/>
          <w:szCs w:val="20"/>
          <w:color w:val="auto"/>
        </w:rPr>
      </w:pPr>
    </w:p>
    <w:p>
      <w:pPr>
        <w:ind w:left="700" w:hanging="264"/>
        <w:spacing w:after="0"/>
        <w:tabs>
          <w:tab w:leader="none" w:pos="7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225" w:lineRule="exact"/>
        <w:rPr>
          <w:rFonts w:ascii="Arial" w:cs="Arial" w:eastAsia="Arial" w:hAnsi="Arial"/>
          <w:sz w:val="18"/>
          <w:szCs w:val="18"/>
          <w:color w:val="auto"/>
        </w:rPr>
      </w:pPr>
    </w:p>
    <w:p>
      <w:pPr>
        <w:ind w:firstLine="436"/>
        <w:spacing w:after="0" w:line="257"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13" w:name="page214"/>
    <w:bookmarkEnd w:id="213"/>
    <w:p>
      <w:pPr>
        <w:jc w:val="both"/>
        <w:ind w:right="220"/>
        <w:spacing w:after="0" w:line="29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6"/>
          <w:szCs w:val="16"/>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61" w:lineRule="exact"/>
        <w:rPr>
          <w:sz w:val="20"/>
          <w:szCs w:val="20"/>
          <w:color w:val="auto"/>
        </w:rPr>
      </w:pPr>
    </w:p>
    <w:p>
      <w:pPr>
        <w:jc w:val="both"/>
        <w:ind w:right="220" w:firstLine="440"/>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38" w:lineRule="exact"/>
        <w:rPr>
          <w:sz w:val="20"/>
          <w:szCs w:val="20"/>
          <w:color w:val="auto"/>
        </w:rPr>
      </w:pPr>
    </w:p>
    <w:p>
      <w:pPr>
        <w:ind w:right="180" w:firstLine="436"/>
        <w:spacing w:after="0" w:line="277" w:lineRule="auto"/>
        <w:tabs>
          <w:tab w:leader="none" w:pos="6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rFonts w:ascii="Arial" w:cs="Arial" w:eastAsia="Arial" w:hAnsi="Arial"/>
          <w:sz w:val="18"/>
          <w:szCs w:val="18"/>
          <w:color w:val="auto"/>
        </w:rPr>
      </w:pPr>
    </w:p>
    <w:p>
      <w:pPr>
        <w:ind w:left="440" w:right="100" w:firstLine="419"/>
        <w:spacing w:after="0" w:line="259" w:lineRule="auto"/>
        <w:tabs>
          <w:tab w:leader="none" w:pos="110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8" w:lineRule="exact"/>
        <w:rPr>
          <w:rFonts w:ascii="Arial" w:cs="Arial" w:eastAsia="Arial" w:hAnsi="Arial"/>
          <w:sz w:val="18"/>
          <w:szCs w:val="18"/>
          <w:color w:val="auto"/>
        </w:rPr>
      </w:pPr>
    </w:p>
    <w:p>
      <w:pPr>
        <w:ind w:left="440" w:firstLine="419"/>
        <w:spacing w:after="0" w:line="286" w:lineRule="auto"/>
        <w:tabs>
          <w:tab w:leader="none" w:pos="1118"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65" w:lineRule="exact"/>
        <w:rPr>
          <w:rFonts w:ascii="Arial" w:cs="Arial" w:eastAsia="Arial" w:hAnsi="Arial"/>
          <w:sz w:val="17"/>
          <w:szCs w:val="17"/>
          <w:color w:val="auto"/>
        </w:rPr>
      </w:pPr>
    </w:p>
    <w:p>
      <w:pPr>
        <w:ind w:right="20" w:firstLine="436"/>
        <w:spacing w:after="0" w:line="272" w:lineRule="auto"/>
        <w:tabs>
          <w:tab w:leader="none" w:pos="69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14" w:name="page215"/>
    <w:bookmarkEnd w:id="214"/>
    <w:p>
      <w:pPr>
        <w:ind w:right="4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8"/>
          <w:szCs w:val="18"/>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0" w:lineRule="exact"/>
        <w:rPr>
          <w:sz w:val="20"/>
          <w:szCs w:val="20"/>
          <w:color w:val="auto"/>
        </w:rPr>
      </w:pPr>
    </w:p>
    <w:p>
      <w:pPr>
        <w:ind w:right="1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17" w:lineRule="exact"/>
        <w:rPr>
          <w:sz w:val="20"/>
          <w:szCs w:val="20"/>
          <w:color w:val="auto"/>
        </w:rPr>
      </w:pPr>
    </w:p>
    <w:p>
      <w:pPr>
        <w:ind w:right="20" w:firstLine="436"/>
        <w:spacing w:after="0" w:line="286"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ind w:right="460" w:firstLine="436"/>
        <w:spacing w:after="0" w:line="27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ind w:firstLine="436"/>
        <w:spacing w:after="0" w:line="27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2.14(d); or</w:t>
      </w:r>
    </w:p>
    <w:p>
      <w:pPr>
        <w:spacing w:after="0" w:line="170" w:lineRule="exact"/>
        <w:rPr>
          <w:rFonts w:ascii="Arial" w:cs="Arial" w:eastAsia="Arial" w:hAnsi="Arial"/>
          <w:sz w:val="18"/>
          <w:szCs w:val="18"/>
          <w:color w:val="auto"/>
        </w:rPr>
      </w:pPr>
    </w:p>
    <w:p>
      <w:pPr>
        <w:ind w:right="160" w:firstLine="436"/>
        <w:spacing w:after="0" w:line="259"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15" w:name="page216"/>
    <w:bookmarkEnd w:id="215"/>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37" w:lineRule="exact"/>
        <w:rPr>
          <w:sz w:val="20"/>
          <w:szCs w:val="20"/>
          <w:color w:val="auto"/>
        </w:rPr>
      </w:pPr>
    </w:p>
    <w:p>
      <w:pPr>
        <w:ind w:left="4" w:right="80" w:firstLine="436"/>
        <w:spacing w:after="0" w:line="259" w:lineRule="auto"/>
        <w:tabs>
          <w:tab w:leader="none" w:pos="69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left="4" w:firstLine="436"/>
        <w:spacing w:after="0" w:line="272" w:lineRule="auto"/>
        <w:tabs>
          <w:tab w:leader="none" w:pos="69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7" w:lineRule="exact"/>
        <w:rPr>
          <w:rFonts w:ascii="Arial" w:cs="Arial" w:eastAsia="Arial" w:hAnsi="Arial"/>
          <w:sz w:val="17"/>
          <w:szCs w:val="17"/>
          <w:color w:val="auto"/>
        </w:rPr>
      </w:pPr>
    </w:p>
    <w:p>
      <w:pPr>
        <w:ind w:left="4" w:right="560" w:firstLine="436"/>
        <w:spacing w:after="0" w:line="263" w:lineRule="auto"/>
        <w:tabs>
          <w:tab w:leader="none" w:pos="69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w:t>
      </w:r>
    </w:p>
    <w:p>
      <w:pPr>
        <w:spacing w:after="0" w:line="46" w:lineRule="exact"/>
        <w:rPr>
          <w:sz w:val="20"/>
          <w:szCs w:val="20"/>
          <w:color w:val="auto"/>
        </w:rPr>
      </w:pPr>
    </w:p>
    <w:p>
      <w:pPr>
        <w:ind w:left="4" w:right="260" w:hanging="4"/>
        <w:spacing w:after="0" w:line="277" w:lineRule="auto"/>
        <w:tabs>
          <w:tab w:leader="none" w:pos="25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or (2) of that definition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173"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16" w:name="page217"/>
    <w:bookmarkEnd w:id="216"/>
    <w:p>
      <w:pPr>
        <w:ind w:left="4"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Blocking Regulation</w:t>
      </w:r>
      <w:r>
        <w:rPr>
          <w:rFonts w:ascii="Arial" w:cs="Arial" w:eastAsia="Arial" w:hAnsi="Arial"/>
          <w:sz w:val="18"/>
          <w:szCs w:val="18"/>
          <w:color w:val="auto"/>
        </w:rPr>
        <w:t>” has the meaning assigned to it in Section 3.21.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Borrowing, (b) a Swingline Loan, (c) a Protective Advance and (d) an Overadvance.</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xml:space="preserve">” means, at any time, the sum of (a) 85% of the Loan Parties’ Eligible Accounts at such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lesser of (i) 60% of the Loan Parties’ Eligible Inventory, at such time, valued at Cost and (ii) the product of 85%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Net Orderly Liquidation Value percentage identified in the most recent inventory appraisal ordered by the Administrative Agent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Loan Parties’ Eligible Inventory, valued at Cost,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(c) the lesser of (i) 60% of the Loan Parties’ Eligible In-Transit Inventory, at such time, valued at Cost and (ii) the product of 85%</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multiplied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Orderly Liquidation Value percentage identified in the most recent inventory appraisal ordered by the Administrative Agent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Loan Parties’ Eligible In-Transit Inventory, valued at Cost; provided that the aggregate amount added under this clause (c) shall not exceed $5,000,000, </w:t>
      </w:r>
      <w:r>
        <w:rPr>
          <w:rFonts w:ascii="Arial" w:cs="Arial" w:eastAsia="Arial" w:hAnsi="Arial"/>
          <w:sz w:val="16"/>
          <w:szCs w:val="16"/>
          <w:i w:val="1"/>
          <w:iCs w:val="1"/>
          <w:u w:val="single" w:color="auto"/>
          <w:color w:val="auto"/>
        </w:rPr>
        <w:t>minus</w:t>
      </w:r>
    </w:p>
    <w:p>
      <w:pPr>
        <w:spacing w:after="0" w:line="4" w:lineRule="exact"/>
        <w:rPr>
          <w:sz w:val="20"/>
          <w:szCs w:val="20"/>
          <w:color w:val="auto"/>
        </w:rPr>
      </w:pPr>
    </w:p>
    <w:p>
      <w:pPr>
        <w:ind w:left="4" w:right="60" w:hanging="4"/>
        <w:spacing w:after="0" w:line="260" w:lineRule="auto"/>
        <w:tabs>
          <w:tab w:leader="none" w:pos="2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Reserves. The Administrative Agent may, in its Permitted Discretion and otherwise subject to the terms of this Agreement, reduce the advance rates set forth above, adjust Reserves or reduce one or more of the other elements used in computing the Borrowing Base.</w:t>
      </w:r>
    </w:p>
    <w:p>
      <w:pPr>
        <w:spacing w:after="0" w:line="185"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signed and certified as accurate and complete by a Financial Officer of the Borrower,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another form that is acceptable to the Administrative Agent in its sole discretion.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Revolving Borrowing in accordance with Section 2.03.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Burdensome Restrictions</w:t>
      </w:r>
      <w:r>
        <w:rPr>
          <w:rFonts w:ascii="Arial" w:cs="Arial" w:eastAsia="Arial" w:hAnsi="Arial"/>
          <w:sz w:val="17"/>
          <w:szCs w:val="17"/>
          <w:color w:val="auto"/>
        </w:rPr>
        <w:t>” means any consensual encumbrance or restriction of the type described in clause (a) or (b) of Section 6.10.</w:t>
      </w:r>
    </w:p>
    <w:p>
      <w:pPr>
        <w:spacing w:after="0" w:line="23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general business in London.</w:t>
      </w:r>
    </w:p>
    <w:p>
      <w:pPr>
        <w:spacing w:after="0" w:line="184"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Distribution</w:t>
      </w:r>
      <w:r>
        <w:rPr>
          <w:rFonts w:ascii="Arial" w:cs="Arial" w:eastAsia="Arial" w:hAnsi="Arial"/>
          <w:sz w:val="17"/>
          <w:szCs w:val="17"/>
          <w:color w:val="auto"/>
        </w:rPr>
        <w:t>” means a payment made, liability incurred or other consideration given by the Borrower or any of its Subsidiaries, for the purchase, acquisition, redemption, repurchase, payment, defeasance, cancellation, termination or retirement of any capital stock or</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17" w:name="page218"/>
    <w:bookmarkEnd w:id="217"/>
    <w:p>
      <w:pPr>
        <w:jc w:val="both"/>
        <w:ind w:left="4"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16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without duplication, any expenditure or commitment to expend money for any purchase or other acquisition of any asset that would be classified as a fixed or capital asset on a consolidated balance sheet of the Company and its Subsidiaries prepared in accordance with GAAP.</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w:t>
      </w:r>
      <w:r>
        <w:rPr>
          <w:rFonts w:ascii="Arial" w:cs="Arial" w:eastAsia="Arial" w:hAnsi="Arial"/>
          <w:sz w:val="18"/>
          <w:szCs w:val="18"/>
          <w:color w:val="auto"/>
        </w:rPr>
        <w:t>” has the meaning assigned to it in Section 5.13.</w:t>
      </w:r>
    </w:p>
    <w:p>
      <w:pPr>
        <w:spacing w:after="0" w:line="225"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184"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(within the meaning of Rules 13d-3 and 13d-5 of the Securities Exchange Act of 1934, as then in effect) or of record, on or after the Effective Date by any Person or group (within the meaning of Rules 13d-3 and 13d-5 of the Securities Exchange Act of 1934 and the rules of the SEC thereunder as in effect on the date hereof) of Equity Interests representing more than 35% of the aggregate ordinary voting power represented by the issued and outstanding Equity Interests of the Company;</w:t>
      </w:r>
    </w:p>
    <w:p>
      <w:pPr>
        <w:spacing w:after="0" w:line="1" w:lineRule="exact"/>
        <w:rPr>
          <w:sz w:val="20"/>
          <w:szCs w:val="20"/>
          <w:color w:val="auto"/>
        </w:rPr>
      </w:pPr>
    </w:p>
    <w:p>
      <w:pPr>
        <w:ind w:left="4" w:hanging="4"/>
        <w:spacing w:after="0" w:line="268" w:lineRule="auto"/>
        <w:tabs>
          <w:tab w:leader="none" w:pos="25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 (c) the Company shall cease to own, free and clear of all Liens or other encumbrances (other than Permitted Borrowing Base Liens), at least 100% of the outstanding voting Equity Interests of the other Loan Parties on a fully diluted basis or (d) a “Change in Control” or comparable term as defined in the Term Loan Credit Agreement or in the documentation relating to any Material Indebtedness shall have occurred.</w:t>
      </w:r>
    </w:p>
    <w:p>
      <w:pPr>
        <w:spacing w:after="0" w:line="181"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18" w:name="page219"/>
    <w:bookmarkEnd w:id="21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Swingline Loans or Protective Advances or Overadvances.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 Person covered by the Collateral Documents (including, without limitation, the Mortgaged Property)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w:t>
      </w:r>
    </w:p>
    <w:p>
      <w:pPr>
        <w:spacing w:after="0" w:line="187"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any landlord waiver or other agreement, in form and substance satisfactory to the Administrative Agent, between the Administrative Agent and any third party (including any bailee, consignee, customs broker, or other similar Person) in possession of any Collateral or any landlord of any real property where any Collateral is located, as such landlord waiver or other agreement may be amended, restated, supplemented or otherwise modified from time to time.</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collectively, the Security Agreement, the Mortgages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landlord and bailee waivers financing statements and all other written matter whether theretofore, now or hereafter executed by any Loan Party and delivered to the Administrative Agent.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LC Exposure</w:t>
      </w:r>
      <w:r>
        <w:rPr>
          <w:rFonts w:ascii="Arial" w:cs="Arial" w:eastAsia="Arial" w:hAnsi="Arial"/>
          <w:sz w:val="18"/>
          <w:szCs w:val="18"/>
          <w:color w:val="auto"/>
        </w:rPr>
        <w:t xml:space="preserve">” means, at any time, the sum of (a) the aggregate undrawn amount of all outstanding commercial Letters of Credit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(b) the aggregate amount of all LC Disbursements relating to commercial Letters of Credit that have not yet been reimbursed by or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The Commercial LC Exposure of any Revolving Lender at any time shall be its Applicable Percentage of the aggregate Commercial LC Exposure at such time.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219" w:name="page220"/>
    <w:bookmarkEnd w:id="219"/>
    <w:p>
      <w:pPr>
        <w:ind w:left="4" w:right="2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8.03(c).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of a Financial Officer of the Borrower in substantially the form of Exhibit C.</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Account</w:t>
      </w:r>
      <w:r>
        <w:rPr>
          <w:rFonts w:ascii="Arial" w:cs="Arial" w:eastAsia="Arial" w:hAnsi="Arial"/>
          <w:sz w:val="18"/>
          <w:szCs w:val="18"/>
          <w:color w:val="auto"/>
        </w:rPr>
        <w:t>” means the deposit account maintained with the Administrative Agent or an Affiliate of the Administrative Agent that serves as the main concentration account of the Loan Parties.</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Balance</w:t>
      </w:r>
      <w:r>
        <w:rPr>
          <w:rFonts w:ascii="Arial" w:cs="Arial" w:eastAsia="Arial" w:hAnsi="Arial"/>
          <w:sz w:val="16"/>
          <w:szCs w:val="16"/>
          <w:color w:val="auto"/>
        </w:rPr>
        <w:t>” shall mean at any time, (a) the aggregate amount of cash, marketable securities, treasury bonds and bills, certificates of deposit, investments in money market funds, commercial paper and Permitted Investments, in each case, held or owned by, credited to the account of or would otherwise be required to be reflected as an asset on the balance sheet of the Borrower and its Subsidiaries less (b) the sum of (i) any restricted cash or Permitted Investments to pay royalty obligations, working interest obligations, suspense payments, severance taxes, payroll, payroll taxes, other taxes, employee wage and benefit payments and trust and fiduciary obligations or other obligations of the Borrower or any Subsidiary to third parties and for which the Borrower or such Subsidiary has issued checks or has initiated wires or ACH transfers (or, in the Borrower’s discretion, will issue checks or initiate wires or ACH transfers within five (5) Business Days), (ii) other amounts for which the Borrower or such Subsidiary has issued checks or has initiated wires or ACH transfers but have not yet been subtracted from the balance in the relevant account of the Borrower or such Subsidiary and</w:t>
      </w:r>
    </w:p>
    <w:p>
      <w:pPr>
        <w:spacing w:after="0" w:line="1" w:lineRule="exact"/>
        <w:rPr>
          <w:sz w:val="20"/>
          <w:szCs w:val="20"/>
          <w:color w:val="auto"/>
        </w:rPr>
      </w:pPr>
    </w:p>
    <w:p>
      <w:pPr>
        <w:jc w:val="both"/>
        <w:ind w:left="4" w:right="80" w:hanging="4"/>
        <w:spacing w:after="0" w:line="255" w:lineRule="auto"/>
        <w:tabs>
          <w:tab w:leader="none" w:pos="31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while and to the extent refundable, any cash or Permitted Investments of the Borrower or any Subsidiaries constituting purchase price deposits held in escrow pursuant to a binding and enforceable purchase and sale agreement with a third party containing customary provisions regarding the payment and refunding of such deposits.</w:t>
      </w:r>
    </w:p>
    <w:p>
      <w:pPr>
        <w:spacing w:after="0" w:line="19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20" w:name="page221"/>
    <w:bookmarkEnd w:id="220"/>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as determined on a consolidated basis, Consolidated Net Earnings for such period, </w:t>
      </w:r>
      <w:r>
        <w:rPr>
          <w:rFonts w:ascii="Arial" w:cs="Arial" w:eastAsia="Arial" w:hAnsi="Arial"/>
          <w:sz w:val="17"/>
          <w:szCs w:val="17"/>
          <w:u w:val="single" w:color="auto"/>
          <w:color w:val="auto"/>
        </w:rPr>
        <w:t>plus</w:t>
      </w:r>
    </w:p>
    <w:p>
      <w:pPr>
        <w:spacing w:after="0" w:line="35" w:lineRule="exact"/>
        <w:rPr>
          <w:sz w:val="20"/>
          <w:szCs w:val="20"/>
          <w:color w:val="auto"/>
        </w:rPr>
      </w:pPr>
    </w:p>
    <w:p>
      <w:pPr>
        <w:ind w:left="244" w:hanging="244"/>
        <w:spacing w:after="0"/>
        <w:tabs>
          <w:tab w:leader="none" w:pos="24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without duplication, the aggregate amounts deducted in determining such Consolidated Net Earnings in respect of: (i) Consolidated Interest Expense,</w:t>
      </w:r>
    </w:p>
    <w:p>
      <w:pPr>
        <w:spacing w:after="0" w:line="32" w:lineRule="exact"/>
        <w:rPr>
          <w:rFonts w:ascii="Arial" w:cs="Arial" w:eastAsia="Arial" w:hAnsi="Arial"/>
          <w:sz w:val="16"/>
          <w:szCs w:val="16"/>
          <w:color w:val="auto"/>
        </w:rPr>
      </w:pPr>
    </w:p>
    <w:p>
      <w:pPr>
        <w:ind w:left="4" w:hanging="4"/>
        <w:spacing w:after="0" w:line="283" w:lineRule="auto"/>
        <w:tabs>
          <w:tab w:leader="none" w:pos="26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Consolidated Income Tax Expense and distributions therefor, (iii) Consolidated Depreciation and Amortization Charges, (iv) non-cash charges, expenses, losses or other items;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(viii) (1) pro forma adjustments, including pro forma “run rate” cost savings, operating expense reductions and other synergies (in each case, net of amounts actually realized) related to the Transactions that are factually supportable and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Effective Date and that are reasonably anticipated by a Financial Officer of the Borrower to be realized within such 12 month period, and/or (2) pro forma adjustments, including pro forma “run rate” cost savings, operating expense reductions, operating improvements and other synergies (in each case net of amounts actually realized) related to any Acquisition or Disposition permitted pursuant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or related to restructuring initiatives, cost savings initiatives, new projects and other initiatives that are factually supportable and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and that are reasonably anticipated by a Financial Officer of the Borrower to be realized within such 12 month period,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that the amounts added to Consolidated EBITDA pursuant to the foregoing </w:t>
      </w:r>
      <w:r>
        <w:rPr>
          <w:rFonts w:ascii="Arial" w:cs="Arial" w:eastAsia="Arial" w:hAnsi="Arial"/>
          <w:sz w:val="16"/>
          <w:szCs w:val="16"/>
          <w:u w:val="single" w:color="auto"/>
          <w:color w:val="auto"/>
        </w:rPr>
        <w:t>clauses (vii</w:t>
      </w:r>
      <w:r>
        <w:rPr>
          <w:rFonts w:ascii="Arial" w:cs="Arial" w:eastAsia="Arial" w:hAnsi="Arial"/>
          <w:sz w:val="16"/>
          <w:szCs w:val="16"/>
          <w:color w:val="auto"/>
        </w:rPr>
        <w:t>) through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in any such period (other than with respect to (a) stock option and other equity based compensation expenses, (b) Transaction Costs and (c) Settlement Costs) shall not exceed, in the aggregate, 25% of Consolidated EBITDA for such period (calculated before giving effect to the adjustments set forth in </w:t>
      </w:r>
      <w:r>
        <w:rPr>
          <w:rFonts w:ascii="Arial" w:cs="Arial" w:eastAsia="Arial" w:hAnsi="Arial"/>
          <w:sz w:val="16"/>
          <w:szCs w:val="16"/>
          <w:u w:val="single" w:color="auto"/>
          <w:color w:val="auto"/>
        </w:rPr>
        <w:t>clauses (vii</w:t>
      </w:r>
      <w:r>
        <w:rPr>
          <w:rFonts w:ascii="Arial" w:cs="Arial" w:eastAsia="Arial" w:hAnsi="Arial"/>
          <w:sz w:val="16"/>
          <w:szCs w:val="16"/>
          <w:color w:val="auto"/>
        </w:rPr>
        <w:t>) through (</w:t>
      </w:r>
      <w:r>
        <w:rPr>
          <w:rFonts w:ascii="Arial" w:cs="Arial" w:eastAsia="Arial" w:hAnsi="Arial"/>
          <w:sz w:val="16"/>
          <w:szCs w:val="16"/>
          <w:u w:val="single" w:color="auto"/>
          <w:color w:val="auto"/>
        </w:rPr>
        <w:t>xi</w:t>
      </w:r>
      <w:r>
        <w:rPr>
          <w:rFonts w:ascii="Arial" w:cs="Arial" w:eastAsia="Arial" w:hAnsi="Arial"/>
          <w:sz w:val="16"/>
          <w:szCs w:val="16"/>
          <w:color w:val="auto"/>
        </w:rPr>
        <w:t>)), (xii) charges, losses or expenses to the extent paid for, reimbursed, indemnified or insured</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21" w:name="page222"/>
    <w:bookmarkEnd w:id="221"/>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by a third party (or reasonably expected to be so paid or reimbursed within one (1) year after the end of such period) (and a deduction for any amount so added back to the extent not so paid or reimbursed within one (1) year after the end of such period), (xiii) proceeds of business interruption insurance to the extent not included in the calculation of Consolidated Net Earnings, (xiv) minority interest expense to the extent deducted and note added back in such period in calculating Consolidated Net Earnings, (xv) letter of credit and other financing fees, (xvi) any non-cash increase in expenses (1) resulting from the revaluation of inventory (including any impact of changes to inventory valuation policy methods including changes in capitalization of variances) or other inventory adjustments, or any other acquisition or (2) due to purchase accounting and (xvii) earnout obligations with respect to any Acquisition or Investment paid or accrued during the applicable period to the extent otherwise permitted hereunder; provided, that, notwithstanding the foregoing, in no event shall adjustments for the write-down or write-off of accounts receivable or inventory be permitted pursuant to this definition </w:t>
      </w:r>
      <w:r>
        <w:rPr>
          <w:rFonts w:ascii="Arial" w:cs="Arial" w:eastAsia="Arial" w:hAnsi="Arial"/>
          <w:sz w:val="16"/>
          <w:szCs w:val="16"/>
          <w:i w:val="1"/>
          <w:iCs w:val="1"/>
          <w:color w:val="auto"/>
        </w:rPr>
        <w:t xml:space="preserve">minus </w:t>
      </w:r>
      <w:r>
        <w:rPr>
          <w:rFonts w:ascii="Arial" w:cs="Arial" w:eastAsia="Arial" w:hAnsi="Arial"/>
          <w:sz w:val="16"/>
          <w:szCs w:val="16"/>
          <w:color w:val="auto"/>
        </w:rPr>
        <w:t>(b) without duplication, the aggregate amounts included in determining such Consolidated Net Earnings in respect of: (i) unusual non-cash gains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incurred in the ordinary course of business and (ii) foreign exchange gains as reported in “Other Income” according to GAAP and the positive impact to Consolidated EBITDA resulting from converting foreign currency-based income to dollar-based income. For purposes of this Agreement, Consolidated EBITDA shall be adjusted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Notwithstanding anything to the contrary contained herein, for purposes of determining Consolidated EBITDA for each such period that includes: for the fiscal quarters ended June 30, 2020, September 30, 2020 and December 31, 2020, Consolidated EBITDA for such fiscal quarters shall be deemed to be $3,926,468, $13,524,610 and $15,012,049 respectively.</w:t>
      </w:r>
    </w:p>
    <w:p>
      <w:pPr>
        <w:spacing w:after="0" w:line="171"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Earnings</w:t>
      </w:r>
      <w:r>
        <w:rPr>
          <w:rFonts w:ascii="Arial" w:cs="Arial" w:eastAsia="Arial" w:hAnsi="Arial"/>
          <w:sz w:val="16"/>
          <w:szCs w:val="16"/>
          <w:color w:val="auto"/>
        </w:rPr>
        <w:t xml:space="preserve">” means, for any period, the net income (or loss) of the Borrower and its Subsidiaries for such period, as determined on a consolidated basis and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Earnings shall exclude (a) extraordinary gains and extraordinary losses (which includes for the avoidance of doubt, impairment charges or write offs with respect to goodwill and other intangible assets) for such period,</w:t>
      </w:r>
    </w:p>
    <w:p>
      <w:pPr>
        <w:spacing w:after="0" w:line="2" w:lineRule="exact"/>
        <w:rPr>
          <w:sz w:val="20"/>
          <w:szCs w:val="20"/>
          <w:color w:val="auto"/>
        </w:rPr>
      </w:pPr>
    </w:p>
    <w:p>
      <w:pPr>
        <w:ind w:left="4" w:right="80" w:hanging="4"/>
        <w:spacing w:after="0" w:line="268" w:lineRule="auto"/>
        <w:tabs>
          <w:tab w:leader="none" w:pos="25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from its net income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proviso).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22" w:name="page223"/>
    <w:bookmarkEnd w:id="222"/>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means, as of any date, determined on a consolidated basis, the ratio of (a) Consolidated Funded Indebtedness (as of such date) minus the aggregate amount equal to 100% of the Unrestricted Cash and Cash Equivalents of the Loan Parties subject to control agreements (as of such date) in favor of the Administrative Agent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161"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 Agreement</w:t>
      </w:r>
      <w:r>
        <w:rPr>
          <w:rFonts w:ascii="Arial" w:cs="Arial" w:eastAsia="Arial" w:hAnsi="Arial"/>
          <w:sz w:val="17"/>
          <w:szCs w:val="17"/>
          <w:color w:val="auto"/>
        </w:rPr>
        <w:t>” means an agreement, in form and substance satisfactory to the Lender, among the Loan Parties, a bank, financial institution, securities intermediary or other Person holding the Loan Parties’ funds or maintaining a deposit account or securities account for the Loan Parties, and the Administrative Agent, with respect to collection and control of all deposits, balances, securities and other assets held in a deposit account or securities account maintained by any Loan Party with such bank, financial institution, securities intermediary or other Person.</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Disbursement Account</w:t>
      </w:r>
      <w:r>
        <w:rPr>
          <w:rFonts w:ascii="Arial" w:cs="Arial" w:eastAsia="Arial" w:hAnsi="Arial"/>
          <w:sz w:val="18"/>
          <w:szCs w:val="18"/>
          <w:color w:val="auto"/>
        </w:rPr>
        <w:t>” means the following account: JPMorgan Chase account #157956118, and any replacement or additional accounts of the Borrower maintained with the Administrative Agent as a zero balance, cash management account pursuant to and under any agreement between the Borrower and the Administrative Agent, as modified and amended from time to time, and through which all disbursements of the Borrower, any other Loan Party and any designated Subsidiary of the Borrower are made and settled on a daily basis with no uninvested balance remaining overnight.</w:t>
      </w:r>
    </w:p>
    <w:p>
      <w:pPr>
        <w:spacing w:after="0" w:line="18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w:t>
      </w:r>
      <w:r>
        <w:rPr>
          <w:rFonts w:ascii="Arial" w:cs="Arial" w:eastAsia="Arial" w:hAnsi="Arial"/>
          <w:sz w:val="18"/>
          <w:szCs w:val="18"/>
          <w:color w:val="auto"/>
        </w:rPr>
        <w:t>” means, as determined by Administrative Agent in good faith, with respect to Inventory, the lower of (a) cost computed on a first-in first-out basis in accordance with GAAP or (b) market value.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660" w:hanging="224"/>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5420" w:right="2920" w:hanging="4984"/>
        <w:spacing w:after="0" w:line="449" w:lineRule="auto"/>
        <w:tabs>
          <w:tab w:leader="none" w:pos="70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 16</w:t>
      </w:r>
    </w:p>
    <w:p>
      <w:pPr>
        <w:sectPr>
          <w:pgSz w:w="11900" w:h="16838" w:orient="portrait"/>
          <w:cols w:equalWidth="0" w:num="1">
            <w:col w:w="11000"/>
          </w:cols>
          <w:pgMar w:left="440" w:top="274" w:right="459" w:bottom="1440" w:gutter="0" w:footer="0" w:header="0"/>
        </w:sectPr>
      </w:pPr>
    </w:p>
    <w:bookmarkStart w:id="223" w:name="page224"/>
    <w:bookmarkEnd w:id="223"/>
    <w:p>
      <w:pPr>
        <w:ind w:left="440" w:right="3080" w:hanging="4"/>
        <w:spacing w:after="0" w:line="500" w:lineRule="auto"/>
        <w:tabs>
          <w:tab w:leader="none" w:pos="7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“covered FSI” as that term is defined in, and interpreted in accordance with, 12 C.F.R. § 382.2(b). “</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it in Section 9.21.</w:t>
      </w:r>
    </w:p>
    <w:p>
      <w:pPr>
        <w:spacing w:after="0" w:line="1" w:lineRule="exact"/>
        <w:rPr>
          <w:rFonts w:ascii="Arial" w:cs="Arial" w:eastAsia="Arial" w:hAnsi="Arial"/>
          <w:sz w:val="18"/>
          <w:szCs w:val="18"/>
          <w:color w:val="auto"/>
        </w:rPr>
      </w:pPr>
    </w:p>
    <w:p>
      <w:pPr>
        <w:ind w:left="440" w:right="222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Exposure</w:t>
      </w:r>
      <w:r>
        <w:rPr>
          <w:rFonts w:ascii="Arial" w:cs="Arial" w:eastAsia="Arial" w:hAnsi="Arial"/>
          <w:sz w:val="16"/>
          <w:szCs w:val="16"/>
          <w:color w:val="auto"/>
        </w:rPr>
        <w:t>” means, as to any Lender at any time, the sum of such Lender’s Revolving Exposure at such time. “</w:t>
      </w:r>
      <w:r>
        <w:rPr>
          <w:rFonts w:ascii="Arial" w:cs="Arial" w:eastAsia="Arial" w:hAnsi="Arial"/>
          <w:sz w:val="16"/>
          <w:szCs w:val="16"/>
          <w:u w:val="single" w:color="auto"/>
          <w:color w:val="auto"/>
        </w:rPr>
        <w:t>Credit Party</w:t>
      </w:r>
      <w:r>
        <w:rPr>
          <w:rFonts w:ascii="Arial" w:cs="Arial" w:eastAsia="Arial" w:hAnsi="Arial"/>
          <w:sz w:val="16"/>
          <w:szCs w:val="16"/>
          <w:color w:val="auto"/>
        </w:rPr>
        <w:t>” means the Administrative Agent, the Issuing Bank, the Swingline Lender or any other Lender.</w:t>
      </w:r>
    </w:p>
    <w:p>
      <w:pPr>
        <w:spacing w:after="0" w:line="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Deficiency Funding Date</w:t>
      </w:r>
      <w:r>
        <w:rPr>
          <w:rFonts w:ascii="Arial" w:cs="Arial" w:eastAsia="Arial" w:hAnsi="Arial"/>
          <w:sz w:val="18"/>
          <w:szCs w:val="18"/>
          <w:color w:val="auto"/>
        </w:rPr>
        <w:t>” has the meaning assigned to such term in Section 2.05(a).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24" w:name="page225"/>
    <w:bookmarkEnd w:id="2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defined in Article 9 of the UCC) held by any Loan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proceedings and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on or prior to the ninety-first day following the final maturity date of the then issued Loans or existing Commitments, as extended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Loans or Commitments shall not constitute Disqualified Equity Interests if any such requirement only becomes operative after Payment in Full of the Obligations.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5" w:name="page226"/>
    <w:bookmarkEnd w:id="225"/>
    <w:p>
      <w:pPr>
        <w:ind w:left="4"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that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LIBO Rate, the occurrence of:</w:t>
      </w:r>
    </w:p>
    <w:p>
      <w:pPr>
        <w:spacing w:after="0" w:line="117" w:lineRule="exact"/>
        <w:rPr>
          <w:sz w:val="20"/>
          <w:szCs w:val="20"/>
          <w:color w:val="auto"/>
        </w:rPr>
      </w:pPr>
    </w:p>
    <w:p>
      <w:pPr>
        <w:ind w:left="4" w:right="160" w:firstLine="436"/>
        <w:spacing w:after="0" w:line="259" w:lineRule="auto"/>
        <w:tabs>
          <w:tab w:leader="none" w:pos="69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6" w:lineRule="exact"/>
        <w:rPr>
          <w:rFonts w:ascii="Arial" w:cs="Arial" w:eastAsia="Arial" w:hAnsi="Arial"/>
          <w:sz w:val="18"/>
          <w:szCs w:val="18"/>
          <w:color w:val="auto"/>
        </w:rPr>
      </w:pPr>
    </w:p>
    <w:p>
      <w:pPr>
        <w:ind w:left="4" w:right="100" w:firstLine="436"/>
        <w:spacing w:after="0" w:line="277" w:lineRule="auto"/>
        <w:tabs>
          <w:tab w:leader="none" w:pos="69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LIBO Rate and the provision by the Administrative Agent of written notice of such election to the Lenders.</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Pay Program</w:t>
      </w:r>
      <w:r>
        <w:rPr>
          <w:rFonts w:ascii="Arial" w:cs="Arial" w:eastAsia="Arial" w:hAnsi="Arial"/>
          <w:sz w:val="18"/>
          <w:szCs w:val="18"/>
          <w:color w:val="auto"/>
        </w:rPr>
        <w:t>” means (i) as of the Effective Date, the programs set forth on Schedule 1.01 and (ii) a program developed by customer(s) of the Loan Parties and approved by the Administrative Agent in its Permitted Discretion whereby Accounts owing by such customer(s) to the Loan Parties are approved by such customers(s) for participation in such program and such approved Account are then purchased by a Supplier Financing Intermediary with payment for such purchase remitted to the applicable Loan Party.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Pay Program Accounts</w:t>
      </w:r>
      <w:r>
        <w:rPr>
          <w:rFonts w:ascii="Arial" w:cs="Arial" w:eastAsia="Arial" w:hAnsi="Arial"/>
          <w:sz w:val="18"/>
          <w:szCs w:val="18"/>
          <w:color w:val="auto"/>
        </w:rPr>
        <w:t>” means Accounts participating in an Early Pay Program.</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ind w:left="244" w:hanging="244"/>
        <w:spacing w:after="0"/>
        <w:tabs>
          <w:tab w:leader="none" w:pos="24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of this definition, or (c) any financial institution established in an EEA Member Country that is a subsidiary of an institution described in clauses</w:t>
      </w:r>
    </w:p>
    <w:p>
      <w:pPr>
        <w:spacing w:after="0" w:line="20" w:lineRule="exact"/>
        <w:rPr>
          <w:rFonts w:ascii="Arial" w:cs="Arial" w:eastAsia="Arial" w:hAnsi="Arial"/>
          <w:sz w:val="17"/>
          <w:szCs w:val="17"/>
          <w:color w:val="auto"/>
        </w:rPr>
      </w:pPr>
    </w:p>
    <w:p>
      <w:pPr>
        <w:ind w:left="244" w:hanging="244"/>
        <w:spacing w:after="0"/>
        <w:tabs>
          <w:tab w:leader="none" w:pos="2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or (b) of this definition and is subject to consolidated supervision with its parent.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26" w:name="page227"/>
    <w:bookmarkEnd w:id="226"/>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the conditions specified in Section 4.01 are satisfied (or waived in accordance with Section 9.02).</w:t>
      </w:r>
    </w:p>
    <w:p>
      <w:pPr>
        <w:spacing w:after="0" w:line="23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web portal access for the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of a Loan Party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Loan Party:</w:t>
      </w:r>
    </w:p>
    <w:p>
      <w:pPr>
        <w:spacing w:after="0" w:line="184" w:lineRule="exact"/>
        <w:rPr>
          <w:sz w:val="20"/>
          <w:szCs w:val="20"/>
          <w:color w:val="auto"/>
        </w:rPr>
      </w:pPr>
    </w:p>
    <w:p>
      <w:pPr>
        <w:ind w:left="680" w:hanging="244"/>
        <w:spacing w:after="0"/>
        <w:tabs>
          <w:tab w:leader="none" w:pos="68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that is not subject to a first priority (subject to Permitted Borrowing Base Liens) perfected security interest in favor of the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700" w:hanging="264"/>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that is subject to any Lien other than (i) a Lien in favor of the Administrative Agent and (ii) a Permitted Borrowing Base Lien;</w:t>
      </w:r>
    </w:p>
    <w:p>
      <w:pPr>
        <w:spacing w:after="0" w:line="225" w:lineRule="exact"/>
        <w:rPr>
          <w:rFonts w:ascii="Arial" w:cs="Arial" w:eastAsia="Arial" w:hAnsi="Arial"/>
          <w:sz w:val="18"/>
          <w:szCs w:val="18"/>
          <w:color w:val="auto"/>
        </w:rPr>
      </w:pPr>
    </w:p>
    <w:p>
      <w:pPr>
        <w:ind w:firstLine="436"/>
        <w:spacing w:after="0" w:line="254" w:lineRule="auto"/>
        <w:tabs>
          <w:tab w:leader="none" w:pos="68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 with respect to which the scheduled due date is more than 90 days (or 120 days solely with respect to Accounts owing by Extended Terms Account Debtors that do not constitute more than $5,000,000 of Eligible Accounts (“</w:t>
      </w:r>
      <w:r>
        <w:rPr>
          <w:rFonts w:ascii="Arial" w:cs="Arial" w:eastAsia="Arial" w:hAnsi="Arial"/>
          <w:sz w:val="18"/>
          <w:szCs w:val="18"/>
          <w:u w:val="single" w:color="auto"/>
          <w:color w:val="auto"/>
        </w:rPr>
        <w:t>Extended Terms Accounts</w:t>
      </w:r>
      <w:r>
        <w:rPr>
          <w:rFonts w:ascii="Arial" w:cs="Arial" w:eastAsia="Arial" w:hAnsi="Arial"/>
          <w:sz w:val="18"/>
          <w:szCs w:val="18"/>
          <w:color w:val="auto"/>
        </w:rPr>
        <w:t>”)) after the date of the original invoice therefor, (ii) which is unpaid more than 90 days (or 120 days with respect to Extended Terms Accounts) after the date of the original invoice therefor or more than 60 days after the original due date therefor (“</w:t>
      </w:r>
      <w:r>
        <w:rPr>
          <w:rFonts w:ascii="Arial" w:cs="Arial" w:eastAsia="Arial" w:hAnsi="Arial"/>
          <w:sz w:val="18"/>
          <w:szCs w:val="18"/>
          <w:u w:val="single" w:color="auto"/>
          <w:color w:val="auto"/>
        </w:rPr>
        <w:t>Overage</w:t>
      </w:r>
      <w:r>
        <w:rPr>
          <w:rFonts w:ascii="Arial" w:cs="Arial" w:eastAsia="Arial" w:hAnsi="Arial"/>
          <w:sz w:val="18"/>
          <w:szCs w:val="18"/>
          <w:color w:val="auto"/>
        </w:rPr>
        <w:t>”) (when calculating the amount under this clause (ii), for the same Account Debtor, the Administrative Agent shall include the net amount of such Overage and add back any credits, but only to the extent that such credits do not exceed the total gross receivables from such Account Debtor), or (iii) which has been written off the books of such Borrower or otherwise designated as uncollectible;</w:t>
      </w:r>
    </w:p>
    <w:p>
      <w:pPr>
        <w:spacing w:after="0" w:line="194" w:lineRule="exact"/>
        <w:rPr>
          <w:rFonts w:ascii="Arial" w:cs="Arial" w:eastAsia="Arial" w:hAnsi="Arial"/>
          <w:sz w:val="18"/>
          <w:szCs w:val="18"/>
          <w:color w:val="auto"/>
        </w:rPr>
      </w:pPr>
    </w:p>
    <w:p>
      <w:pPr>
        <w:ind w:right="640" w:firstLine="436"/>
        <w:spacing w:after="0" w:line="277"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that is owing by an Account Debtor for which more than 50% of the Accounts owing from such Account Debtor and its Affiliates are ineligible pursuant to clause (c) above;</w:t>
      </w:r>
    </w:p>
    <w:p>
      <w:pPr>
        <w:spacing w:after="0" w:line="170"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that is owing by an Account Debtor to the extent the aggregate amount of Accounts owing from such Account Debtor and its Affiliates to all Loan Parties exceeds 20% of the aggregate amount of Eligible Accounts of all Loan Parties;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27" w:name="page228"/>
    <w:bookmarkEnd w:id="227"/>
    <w:p>
      <w:pPr>
        <w:ind w:left="4" w:right="740" w:firstLine="436"/>
        <w:spacing w:after="0" w:line="277" w:lineRule="auto"/>
        <w:tabs>
          <w:tab w:leader="none" w:pos="669" w:val="left"/>
        </w:tabs>
        <w:numPr>
          <w:ilvl w:val="1"/>
          <w:numId w:val="2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does not satisfy or comply with a covenant, representation or warranty in any material respect contained in this Agreement or the applicable Security Documents as to such Account;</w:t>
      </w:r>
    </w:p>
    <w:p>
      <w:pPr>
        <w:spacing w:after="0" w:line="170" w:lineRule="exact"/>
        <w:rPr>
          <w:rFonts w:ascii="Arial" w:cs="Arial" w:eastAsia="Arial" w:hAnsi="Arial"/>
          <w:sz w:val="18"/>
          <w:szCs w:val="18"/>
          <w:color w:val="auto"/>
        </w:rPr>
      </w:pPr>
    </w:p>
    <w:p>
      <w:pPr>
        <w:ind w:left="4" w:firstLine="436"/>
        <w:spacing w:after="0" w:line="286" w:lineRule="auto"/>
        <w:tabs>
          <w:tab w:leader="none" w:pos="69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that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consisting of an invoice for goods sold or used or services rendered pursuant to a contract under which the Account Debtor’s obligation to pay that invoice is subject to a Loan Party’s completion of further performance under such contract or is subject to the equitable lien of a surety bond issuer,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is contingent upon such Loan Party’s completion of any further performance, (v) represents a sale on a bill-and-hold, guaranteed sale,</w:t>
      </w:r>
    </w:p>
    <w:p>
      <w:pPr>
        <w:spacing w:after="0" w:line="9" w:lineRule="exact"/>
        <w:rPr>
          <w:sz w:val="20"/>
          <w:szCs w:val="20"/>
          <w:color w:val="auto"/>
        </w:rPr>
      </w:pPr>
    </w:p>
    <w:p>
      <w:pPr>
        <w:ind w:left="4" w:right="60"/>
        <w:spacing w:after="0" w:line="260" w:lineRule="auto"/>
        <w:rPr>
          <w:sz w:val="20"/>
          <w:szCs w:val="20"/>
          <w:color w:val="auto"/>
        </w:rPr>
      </w:pPr>
      <w:r>
        <w:rPr>
          <w:rFonts w:ascii="Arial" w:cs="Arial" w:eastAsia="Arial" w:hAnsi="Arial"/>
          <w:sz w:val="18"/>
          <w:szCs w:val="18"/>
          <w:color w:val="auto"/>
        </w:rPr>
        <w:t xml:space="preserve">sale-and-return, sale on approval, consignment, cash-on-delivery or any other repurchase or return basis or (vi) relates to payments of interest, </w:t>
      </w:r>
      <w:r>
        <w:rPr>
          <w:rFonts w:ascii="Arial" w:cs="Arial" w:eastAsia="Arial" w:hAnsi="Arial"/>
          <w:sz w:val="18"/>
          <w:szCs w:val="18"/>
          <w:i w:val="1"/>
          <w:iCs w:val="1"/>
          <w:color w:val="auto"/>
        </w:rPr>
        <w:t>provided</w:t>
      </w:r>
      <w:r>
        <w:rPr>
          <w:rFonts w:ascii="Arial" w:cs="Arial" w:eastAsia="Arial" w:hAnsi="Arial"/>
          <w:sz w:val="18"/>
          <w:szCs w:val="18"/>
          <w:color w:val="auto"/>
        </w:rPr>
        <w:t>, that ineligibility shall be limited to the extent thereof;</w:t>
      </w:r>
    </w:p>
    <w:p>
      <w:pPr>
        <w:spacing w:after="0" w:line="185" w:lineRule="exact"/>
        <w:rPr>
          <w:sz w:val="20"/>
          <w:szCs w:val="20"/>
          <w:color w:val="auto"/>
        </w:rPr>
      </w:pPr>
    </w:p>
    <w:p>
      <w:pPr>
        <w:ind w:left="4" w:right="360" w:firstLine="436"/>
        <w:spacing w:after="0" w:line="277" w:lineRule="auto"/>
        <w:tabs>
          <w:tab w:leader="none" w:pos="69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Loan Party or if such Account was invoiced more than once;</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w:t>
      </w:r>
    </w:p>
    <w:p>
      <w:pPr>
        <w:spacing w:after="0" w:line="225" w:lineRule="exact"/>
        <w:rPr>
          <w:rFonts w:ascii="Arial" w:cs="Arial" w:eastAsia="Arial" w:hAnsi="Arial"/>
          <w:sz w:val="18"/>
          <w:szCs w:val="18"/>
          <w:color w:val="auto"/>
        </w:rPr>
      </w:pPr>
    </w:p>
    <w:p>
      <w:pPr>
        <w:ind w:left="4" w:right="100" w:firstLine="436"/>
        <w:spacing w:after="0" w:line="273" w:lineRule="auto"/>
        <w:tabs>
          <w:tab w:leader="none" w:pos="65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that is owed by an Account Debtor that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or (vi) ceased operation of its business;</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that is owed by any Account Debtor that has sold all or substantially all of its assets;</w:t>
      </w:r>
    </w:p>
    <w:p>
      <w:pPr>
        <w:spacing w:after="0" w:line="225" w:lineRule="exact"/>
        <w:rPr>
          <w:rFonts w:ascii="Arial" w:cs="Arial" w:eastAsia="Arial" w:hAnsi="Arial"/>
          <w:sz w:val="18"/>
          <w:szCs w:val="18"/>
          <w:color w:val="auto"/>
        </w:rPr>
      </w:pPr>
    </w:p>
    <w:p>
      <w:pPr>
        <w:ind w:left="4" w:right="20" w:firstLine="436"/>
        <w:spacing w:after="0" w:line="311" w:lineRule="auto"/>
        <w:tabs>
          <w:tab w:leader="none" w:pos="65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that is owed by an Account Debtor that (i) does not maintain its chief executive office in the U.S. or Canada or (ii) is not organized under applicable law of the U.S., any state of the U.S., or the District of Columbia, Canada, or any province of Canada unless, in any such case, such Account is backed by a Letter of Credit acceptable to the Administrative Agent that is in the possession of, and is directly drawable by, the Administrative Agent;</w:t>
      </w:r>
    </w:p>
    <w:p>
      <w:pPr>
        <w:spacing w:after="0" w:line="148" w:lineRule="exact"/>
        <w:rPr>
          <w:rFonts w:ascii="Arial" w:cs="Arial" w:eastAsia="Arial" w:hAnsi="Arial"/>
          <w:sz w:val="16"/>
          <w:szCs w:val="16"/>
          <w:color w:val="auto"/>
        </w:rPr>
      </w:pPr>
    </w:p>
    <w:p>
      <w:pPr>
        <w:ind w:left="744" w:hanging="304"/>
        <w:spacing w:after="0"/>
        <w:tabs>
          <w:tab w:leader="none" w:pos="74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that is owed in any currency other than U.S. dollars;</w:t>
      </w:r>
    </w:p>
    <w:p>
      <w:pPr>
        <w:spacing w:after="0" w:line="225" w:lineRule="exact"/>
        <w:rPr>
          <w:rFonts w:ascii="Arial" w:cs="Arial" w:eastAsia="Arial" w:hAnsi="Arial"/>
          <w:sz w:val="18"/>
          <w:szCs w:val="18"/>
          <w:color w:val="auto"/>
        </w:rPr>
      </w:pPr>
    </w:p>
    <w:p>
      <w:pPr>
        <w:ind w:left="4" w:right="60" w:firstLine="436"/>
        <w:spacing w:after="0" w:line="296" w:lineRule="auto"/>
        <w:tabs>
          <w:tab w:leader="none" w:pos="69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that is owed by (i) any government (or any department, agency, public corporation, or instrumentality thereof) of any country other than the U.S. unless such Account is backed by a Letter of Credit acceptable to the Administrative Agent that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41 U.S.C. § 15 </w:t>
      </w:r>
      <w:r>
        <w:rPr>
          <w:rFonts w:ascii="Arial" w:cs="Arial" w:eastAsia="Arial" w:hAnsi="Arial"/>
          <w:sz w:val="16"/>
          <w:szCs w:val="16"/>
          <w:u w:val="single" w:color="auto"/>
          <w:color w:val="auto"/>
        </w:rPr>
        <w:t>et seq</w:t>
      </w:r>
      <w:r>
        <w:rPr>
          <w:rFonts w:ascii="Arial" w:cs="Arial" w:eastAsia="Arial" w:hAnsi="Arial"/>
          <w:sz w:val="16"/>
          <w:szCs w:val="16"/>
          <w:color w:val="auto"/>
        </w:rPr>
        <w:t>.), and any other steps necessary to perfect the Lien of the Administrative Agent in such Account have been complied with to the Administrative Agent’s reasonable satisfaction;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28" w:name="page229"/>
    <w:bookmarkEnd w:id="228"/>
    <w:p>
      <w:pPr>
        <w:ind w:left="700" w:hanging="264"/>
        <w:spacing w:after="0"/>
        <w:tabs>
          <w:tab w:leader="none" w:pos="7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is owed by any Affiliate of any Loan Party or any employee, officer, director, or agent of any Loan Party or any of its Affiliates;</w:t>
      </w:r>
    </w:p>
    <w:p>
      <w:pPr>
        <w:spacing w:after="0" w:line="236" w:lineRule="exact"/>
        <w:rPr>
          <w:rFonts w:ascii="Arial" w:cs="Arial" w:eastAsia="Arial" w:hAnsi="Arial"/>
          <w:sz w:val="17"/>
          <w:szCs w:val="17"/>
          <w:color w:val="auto"/>
        </w:rPr>
      </w:pPr>
    </w:p>
    <w:p>
      <w:pPr>
        <w:ind w:left="700" w:hanging="264"/>
        <w:spacing w:after="0"/>
        <w:tabs>
          <w:tab w:leader="none" w:pos="7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Transferred Accounts;</w:t>
      </w:r>
    </w:p>
    <w:p>
      <w:pPr>
        <w:spacing w:after="0" w:line="225"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that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83" w:lineRule="exact"/>
        <w:rPr>
          <w:rFonts w:ascii="Arial" w:cs="Arial" w:eastAsia="Arial" w:hAnsi="Arial"/>
          <w:sz w:val="18"/>
          <w:szCs w:val="18"/>
          <w:color w:val="auto"/>
        </w:rPr>
      </w:pPr>
    </w:p>
    <w:p>
      <w:pPr>
        <w:ind w:right="240" w:firstLine="436"/>
        <w:spacing w:after="0" w:line="277" w:lineRule="auto"/>
        <w:tabs>
          <w:tab w:leader="none" w:pos="66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that is subject to any counterclaim, deduction, defense, setoff or dispute but only to the extent of any such counterclaim, deduction, defense, setoff or dispute;</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that is evidenced by any promissory note, chattel paper or instrument;</w:t>
      </w:r>
    </w:p>
    <w:p>
      <w:pPr>
        <w:spacing w:after="0" w:line="225" w:lineRule="exact"/>
        <w:rPr>
          <w:rFonts w:ascii="Arial" w:cs="Arial" w:eastAsia="Arial" w:hAnsi="Arial"/>
          <w:sz w:val="18"/>
          <w:szCs w:val="18"/>
          <w:color w:val="auto"/>
        </w:rPr>
      </w:pPr>
    </w:p>
    <w:p>
      <w:pPr>
        <w:ind w:firstLine="436"/>
        <w:spacing w:after="0" w:line="279" w:lineRule="auto"/>
        <w:tabs>
          <w:tab w:leader="none" w:pos="65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that is owed by an Account Debtor (i) located in any jurisdiction that requires filing of a “Notice of Business Activities Report” or other similar report in order to permit such Loan Party to seek judicial enforcement in such jurisdiction of payment of such Account, unless such Loan Party (A) has filed such report, (B) is qualified to do business in such jurisdiction or (C) is qualified to do business in such jurisdiction and is exempt from filing such report and has provided the Administrative Agent with satisfactory evidence thereof or (ii) that is a Sanctioned Person;</w:t>
      </w:r>
    </w:p>
    <w:p>
      <w:pPr>
        <w:spacing w:after="0" w:line="171" w:lineRule="exact"/>
        <w:rPr>
          <w:rFonts w:ascii="Arial" w:cs="Arial" w:eastAsia="Arial" w:hAnsi="Arial"/>
          <w:sz w:val="17"/>
          <w:szCs w:val="17"/>
          <w:color w:val="auto"/>
        </w:rPr>
      </w:pPr>
    </w:p>
    <w:p>
      <w:pPr>
        <w:ind w:right="140" w:firstLine="436"/>
        <w:spacing w:after="0" w:line="263"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respect to which such Loan Party has made any agreement with the Account Debtor for any reduction thereof (but only to the extent of such reduction), other than (i) discounts and adjustments given in the ordinary course of business and (ii) any Account that was partially paid and such Loan Party created a new receivable for the unpaid portion of such Account;</w:t>
      </w:r>
    </w:p>
    <w:p>
      <w:pPr>
        <w:spacing w:after="0" w:line="183" w:lineRule="exact"/>
        <w:rPr>
          <w:rFonts w:ascii="Arial" w:cs="Arial" w:eastAsia="Arial" w:hAnsi="Arial"/>
          <w:sz w:val="18"/>
          <w:szCs w:val="18"/>
          <w:color w:val="auto"/>
        </w:rPr>
      </w:pPr>
    </w:p>
    <w:p>
      <w:pPr>
        <w:ind w:right="460" w:firstLine="436"/>
        <w:spacing w:after="0" w:line="342" w:lineRule="auto"/>
        <w:tabs>
          <w:tab w:leader="none" w:pos="69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that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23" w:lineRule="exact"/>
        <w:rPr>
          <w:rFonts w:ascii="Arial" w:cs="Arial" w:eastAsia="Arial" w:hAnsi="Arial"/>
          <w:sz w:val="16"/>
          <w:szCs w:val="16"/>
          <w:color w:val="auto"/>
        </w:rPr>
      </w:pPr>
    </w:p>
    <w:p>
      <w:pPr>
        <w:ind w:firstLine="436"/>
        <w:spacing w:after="0" w:line="263" w:lineRule="auto"/>
        <w:tabs>
          <w:tab w:leader="none" w:pos="73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that is for goods that have been sold under a purchase order or pursuant to the terms of a contract or other agreement or understanding (written or oral) that indicates or purports that any Person other than such Loan Party has or has had an ownership interest in such goods, or that indicates any party other than such Loan Party as payee or remittance party; or</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that was created on cash on delivery terms.</w:t>
      </w:r>
    </w:p>
    <w:p>
      <w:pPr>
        <w:spacing w:after="0" w:line="225"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 xml:space="preserve">The change to the eligibility criteria (or the Administrative Agent’s decision not to include an Account as an Eligible Account) will be limited to the exercise by the Administrative Agent of its Permitted Discretion, upon at least three Business Days’ prior written notice 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removal of an Account or change in the eligibility criteria has been included in the determination of the Borrowing Base.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29" w:name="page230"/>
    <w:bookmarkEnd w:id="229"/>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such three Business Day period, the Administrative Agent shall use commercially reasonable efforts to endeavor, if requested, to discuss any such new removal or changes with the Borrower and the Borrower may take such action as may be required so that the event, condition or matter that is the basis for such new removal or changes no longer exists or exists in a manner and to the extent reasonably satisfactory to the Administrative Agent. In the event that an Account of a Loan Party that was previously an Eligible Account ceases to be an Eligible Account hereunder, such Loan Party or the Borrower shall notify the Administrative Agent thereof on and at the time of submission to the Administrative Agent of the next Borrowing Base Certificate.</w:t>
      </w:r>
    </w:p>
    <w:p>
      <w:pPr>
        <w:spacing w:after="0" w:line="192"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In-Transit Inventory</w:t>
      </w:r>
      <w:r>
        <w:rPr>
          <w:rFonts w:ascii="Arial" w:cs="Arial" w:eastAsia="Arial" w:hAnsi="Arial"/>
          <w:sz w:val="16"/>
          <w:szCs w:val="16"/>
          <w:color w:val="auto"/>
        </w:rPr>
        <w:t>” shall mean Inventory owned by a Loan Party that meets all of the criteria of “Eligible Inventory” other than clauses (g), (h) or (i) thereof. In addition, no Inventory shall be Eligible In-Transit Inventory unless (a) such Inventory is insured in accordance with the provisions of this Agreement and the other Loan Documents, in any event including general casualty insurance and to the extent applicable, marine cargo insurance and such insurance must expressly cover inventory in transit in form and substance reasonably satisfactory to the Administrative Agent;</w:t>
      </w:r>
    </w:p>
    <w:p>
      <w:pPr>
        <w:spacing w:after="0" w:line="1" w:lineRule="exact"/>
        <w:rPr>
          <w:sz w:val="20"/>
          <w:szCs w:val="20"/>
          <w:color w:val="auto"/>
        </w:rPr>
      </w:pPr>
    </w:p>
    <w:p>
      <w:pPr>
        <w:ind w:left="4" w:hanging="4"/>
        <w:spacing w:after="0" w:line="281" w:lineRule="auto"/>
        <w:tabs>
          <w:tab w:leader="none" w:pos="25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such Inventory has been identified to the applicable sales contract and title has passed to the applicable Loan Party; (c) such Inventory is not sold by a vendor that has a right to reclaim, divert shipment of, repossess, stop delivery, claim any reservation of title or otherwise assert Lien rights against the Inventory; (d) such Inventory is subject to the appropriate documentation such as delivery of customs broker, freight forwarder agreements, negotiable bill of lading or other shipping documents in a form and substance reasonably acceptable to the Administrative Agent (which documents shall be made available to the Administrative Agent for its inspection); (e) such Inventory is shipped by a common carrier that is not affiliated with the vendor and has not been acquired from a Person that is (1) currently the subject or target of any Sanctions or (2) a Sanctioned Person; (f) the Administrative Agent shall have received a collateral access agreement in form and substance reasonably satisfactory to the Administrative Agent and executed by the applicable customers broker, freight forwarder or carrier of such Inventory; (g) the Administrative Agent shall have received, if requested, an inspection certificate in form and substance satisfactory to the Administrative Agent from the applicable Loan Party or its agent at the point of origin of such shipment; (h) (x) the negotiable bill of lading shall be issued in the name of the applicable Loan Party and shall show the Administrative Agent (or, with the consent of the Administrative Agent in its Permitted Discretion, the applicable Loan Party) as consignee and (y) the Administrative Agent shall have received, if requested, a bailee agreement in form and substance satisfactory to the Administrative Agent and executed by the applicable customers broker, freight forwarder or carrier of such Inventory that holds the negotiable bill of lading as agent for the Administrative Agent; and (i) if a commercial Letter of Credit has been issued in payment of such Inventory, such commercial Letter of Credit shall require presentation of the following documents for payment, each in form and substance satisfactory to the Administrative Agent: (v) an inspection certificate from the applicable Loan Party or its agent at the point of origin of such shipment, (w) a commercial invoice with respect to the purchase order(s) against which the Inventory are being delivered,</w:t>
      </w:r>
    </w:p>
    <w:p>
      <w:pPr>
        <w:spacing w:after="0" w:line="9" w:lineRule="exact"/>
        <w:rPr>
          <w:rFonts w:ascii="Arial" w:cs="Arial" w:eastAsia="Arial" w:hAnsi="Arial"/>
          <w:sz w:val="16"/>
          <w:szCs w:val="16"/>
          <w:color w:val="auto"/>
        </w:rPr>
      </w:pPr>
    </w:p>
    <w:p>
      <w:pPr>
        <w:ind w:left="4" w:right="40" w:hanging="4"/>
        <w:spacing w:after="0" w:line="253" w:lineRule="auto"/>
        <w:tabs>
          <w:tab w:leader="none" w:pos="25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packing list with respect to such Inventory, (y) a negotiable bill of lading issued by a shipper approved by the Administrative Agent in its reasonable discretion with respect to the finished goods being shipped, which negotiable bill of lading shall be issued in the name of the applicable Loan Party and shall show the Administrative Agent (or, with the consent of the Administrative Agent in its Permitted Discretion, the applicable Loan Party) as consignee, and (z) a certificate of origin for such Inventory.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230" w:name="page231"/>
    <w:bookmarkEnd w:id="23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any time, the Inventory of a Loan Party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Loan Party shall not include any Inventory:</w:t>
      </w:r>
    </w:p>
    <w:p>
      <w:pPr>
        <w:spacing w:after="0" w:line="76" w:lineRule="exact"/>
        <w:rPr>
          <w:sz w:val="20"/>
          <w:szCs w:val="20"/>
          <w:color w:val="auto"/>
        </w:rPr>
      </w:pPr>
    </w:p>
    <w:p>
      <w:pPr>
        <w:ind w:left="680" w:hanging="244"/>
        <w:spacing w:after="0"/>
        <w:tabs>
          <w:tab w:leader="none" w:pos="6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that is not subject to a first priority (subject to Permitted Borrowing Base Liens) perfected Lien in favor of the Administrative Agent;</w:t>
      </w:r>
    </w:p>
    <w:p>
      <w:pPr>
        <w:spacing w:after="0" w:line="236" w:lineRule="exact"/>
        <w:rPr>
          <w:rFonts w:ascii="Arial" w:cs="Arial" w:eastAsia="Arial" w:hAnsi="Arial"/>
          <w:sz w:val="17"/>
          <w:szCs w:val="17"/>
          <w:color w:val="auto"/>
        </w:rPr>
      </w:pPr>
    </w:p>
    <w:p>
      <w:pPr>
        <w:ind w:left="700" w:hanging="264"/>
        <w:spacing w:after="0"/>
        <w:tabs>
          <w:tab w:leader="none" w:pos="7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subject to any Lien other than (i) a Lien in favor of the Administrative Agent and (ii) Permitted Borrowing Base Liens;</w:t>
      </w:r>
    </w:p>
    <w:p>
      <w:pPr>
        <w:spacing w:after="0" w:line="225" w:lineRule="exact"/>
        <w:rPr>
          <w:rFonts w:ascii="Arial" w:cs="Arial" w:eastAsia="Arial" w:hAnsi="Arial"/>
          <w:sz w:val="18"/>
          <w:szCs w:val="18"/>
          <w:color w:val="auto"/>
        </w:rPr>
      </w:pPr>
    </w:p>
    <w:p>
      <w:pPr>
        <w:ind w:right="920" w:firstLine="436"/>
        <w:spacing w:after="0" w:line="277" w:lineRule="auto"/>
        <w:tabs>
          <w:tab w:leader="none" w:pos="68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as determined by Administrative Agent in good faith upon advance written notice to the Borrower, slow moving, obsolete, unmerchantable, defective, used, substandard or unfit for sale;</w:t>
      </w:r>
    </w:p>
    <w:p>
      <w:pPr>
        <w:spacing w:after="0" w:line="170"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does not satisfy or comply with a covenant, representation or warranties in any material respect contained in this Agreement or the applicable Security Documents;</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not 100% legally owned only by one or more of the Borrower or any Subsidiary of the Borrower that is a Guarantor;</w:t>
      </w:r>
    </w:p>
    <w:p>
      <w:pPr>
        <w:spacing w:after="0" w:line="225" w:lineRule="exact"/>
        <w:rPr>
          <w:rFonts w:ascii="Arial" w:cs="Arial" w:eastAsia="Arial" w:hAnsi="Arial"/>
          <w:sz w:val="18"/>
          <w:szCs w:val="18"/>
          <w:color w:val="auto"/>
        </w:rPr>
      </w:pPr>
    </w:p>
    <w:p>
      <w:pPr>
        <w:ind w:right="180" w:firstLine="436"/>
        <w:spacing w:after="0" w:line="286" w:lineRule="auto"/>
        <w:tabs>
          <w:tab w:leader="none" w:pos="66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that constitutes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that are not of a type held for sale in the ordinary course of business;</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not (A) located in the U.S. or (B) in transit within the United States with a common carrier from vendors and suppliers;</w:t>
      </w:r>
    </w:p>
    <w:p>
      <w:pPr>
        <w:spacing w:after="0" w:line="225" w:lineRule="exact"/>
        <w:rPr>
          <w:rFonts w:ascii="Arial" w:cs="Arial" w:eastAsia="Arial" w:hAnsi="Arial"/>
          <w:sz w:val="18"/>
          <w:szCs w:val="18"/>
          <w:color w:val="auto"/>
        </w:rPr>
      </w:pPr>
    </w:p>
    <w:p>
      <w:pPr>
        <w:ind w:firstLine="436"/>
        <w:spacing w:after="0" w:line="255" w:lineRule="auto"/>
        <w:tabs>
          <w:tab w:leader="none" w:pos="6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located in any location leased by a Loan Party unless (A) (i) the lessor has delivered to the Administrative Agent a Collateral Access Agreement, (ii) the Administrative Agent has given its express prior written consent thereto or (iii) a Reserve for rent, charges and other amounts due or to become due with respect to such facility has been established by the Administrative Agent in its Permitted Discretion and (B) at least $250,000 of Inventory of the Loan Parties is located at such location; it being understood that in each case, upon the delivery by the lessor to the Administrative Agent of a Collateral Access Agreement for such location, such Reserve for rent, charges and other amounts due or to become due with respect to such facility will no longer apply;</w:t>
      </w:r>
    </w:p>
    <w:p>
      <w:pPr>
        <w:spacing w:after="0" w:line="192" w:lineRule="exact"/>
        <w:rPr>
          <w:rFonts w:ascii="Arial" w:cs="Arial" w:eastAsia="Arial" w:hAnsi="Arial"/>
          <w:sz w:val="18"/>
          <w:szCs w:val="18"/>
          <w:color w:val="auto"/>
        </w:rPr>
      </w:pPr>
    </w:p>
    <w:p>
      <w:pPr>
        <w:ind w:right="120" w:firstLine="436"/>
        <w:spacing w:after="0" w:line="254" w:lineRule="auto"/>
        <w:tabs>
          <w:tab w:leader="none" w:pos="6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that is located in any third party warehouse or is in the possession of a bailee (other than a third party processor) and is not evidenced by a Document, unless (A) (i) such warehouseman or bailee has delivered to the Administrative Agent a Collateral Access Agreement and such other documentation as the Administrative Agent may require, (ii) the Administrative Agent has given its express prior written consent thereto or (iii) an appropriate Reserve has been established by the Administrative Agent in its Permitted Discretion and (B) at least $250,000 of Inventory of the Loan Parties is located at such third party warehouse or in possession of such bailee; it being understood that in each case, upon the delivery by the lessor to the Administrative Agent of a Collateral Access Agreement for such location, such Reserve for rent, charges and other amounts due or to become due with respect to such facility will no longer apply;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231" w:name="page232"/>
    <w:bookmarkEnd w:id="231"/>
    <w:p>
      <w:pPr>
        <w:ind w:left="4" w:right="540" w:firstLine="436"/>
        <w:spacing w:after="0" w:line="277" w:lineRule="auto"/>
        <w:tabs>
          <w:tab w:leader="none" w:pos="659" w:val="left"/>
        </w:tabs>
        <w:numPr>
          <w:ilvl w:val="1"/>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is being processed offsite at a third party location or outside processor, or is in-transit to or from such third party location or outside processor;</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is a discontinued product or component thereof;</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is the subject of a consignment by such Loan Party as consignor;</w:t>
      </w:r>
    </w:p>
    <w:p>
      <w:pPr>
        <w:spacing w:after="0" w:line="225" w:lineRule="exact"/>
        <w:rPr>
          <w:rFonts w:ascii="Arial" w:cs="Arial" w:eastAsia="Arial" w:hAnsi="Arial"/>
          <w:sz w:val="18"/>
          <w:szCs w:val="18"/>
          <w:color w:val="auto"/>
        </w:rPr>
      </w:pPr>
    </w:p>
    <w:p>
      <w:pPr>
        <w:ind w:left="744" w:hanging="304"/>
        <w:spacing w:after="0"/>
        <w:tabs>
          <w:tab w:leader="none" w:pos="74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is perishable;</w:t>
      </w:r>
    </w:p>
    <w:p>
      <w:pPr>
        <w:spacing w:after="0" w:line="225" w:lineRule="exact"/>
        <w:rPr>
          <w:rFonts w:ascii="Arial" w:cs="Arial" w:eastAsia="Arial" w:hAnsi="Arial"/>
          <w:sz w:val="18"/>
          <w:szCs w:val="18"/>
          <w:color w:val="auto"/>
        </w:rPr>
      </w:pPr>
    </w:p>
    <w:p>
      <w:pPr>
        <w:ind w:left="4" w:right="300" w:firstLine="436"/>
        <w:spacing w:after="0" w:line="291" w:lineRule="auto"/>
        <w:tabs>
          <w:tab w:leader="none" w:pos="699"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that contains or bears any intellectual property rights licensed to such Loan Party by any Person other than a Loan Party unless the Administrative Agent is reasonably satisfied that it may sell or otherwise dispose of such Inventory without (i) infringing the rights of such licensor,</w:t>
      </w:r>
    </w:p>
    <w:p>
      <w:pPr>
        <w:ind w:left="4" w:right="60" w:hanging="4"/>
        <w:spacing w:after="0" w:line="260" w:lineRule="auto"/>
        <w:tabs>
          <w:tab w:leader="none" w:pos="26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violating any contract with such licensor, or (iii) incurring any liability with respect to payment of royalties other than royalties incurred pursuant to sale of such Inventory under the current licensing agreement relating thereto;</w:t>
      </w:r>
    </w:p>
    <w:p>
      <w:pPr>
        <w:spacing w:after="0" w:line="185" w:lineRule="exact"/>
        <w:rPr>
          <w:rFonts w:ascii="Arial" w:cs="Arial" w:eastAsia="Arial" w:hAnsi="Arial"/>
          <w:sz w:val="18"/>
          <w:szCs w:val="18"/>
          <w:color w:val="auto"/>
        </w:rPr>
      </w:pPr>
    </w:p>
    <w:p>
      <w:pPr>
        <w:ind w:left="4" w:right="940" w:firstLine="436"/>
        <w:spacing w:after="0" w:line="277" w:lineRule="auto"/>
        <w:tabs>
          <w:tab w:leader="none" w:pos="699"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that is not reflected in a current perpetual inventory report of such Loan Party (unless such Inventory is reflected in a report to the Administrative Agent as “in transit” Inventory);</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for which reclamation rights have been asserted by the seller; or</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that has been acquired from a Sanctioned Person.</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The change to the eligibility criteria (or the Administrative Agent’s decision not to include Inventory as Eligible Inventory) will be limited to the exercise by the Administrative Agent of its Permitted Discretion, upon at least three Business Days’ prior written notice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removal of Inventory or change in the eligibility criteria has been included in the determination of the Borrowing Base. During such three Business Day period, the Administrative Agent shall use commercially reasonable efforts to endeavor, if requested, to discuss any such new removal or changes with the Borrower and the Borrower may take such action as may be required so that the event, condition or matter that is the basis for such new removal or changes no longer exists or exists in a manner and to the extent reasonably satisfactory to the Administrative Agent. In the event that Inventory of a Loan Party that was previously Eligible Inventory ceases to be Eligible Inventory hereunder, such Loan Party or the Borrower shall notify the Administrative Agent thereof on and at the time of submission to the Administrative Agent of the next Borrowing Base Certificate.</w:t>
      </w:r>
    </w:p>
    <w:p>
      <w:pPr>
        <w:spacing w:after="0" w:line="185" w:lineRule="exact"/>
        <w:rPr>
          <w:sz w:val="20"/>
          <w:szCs w:val="20"/>
          <w:color w:val="auto"/>
        </w:rPr>
      </w:pPr>
    </w:p>
    <w:p>
      <w:pPr>
        <w:ind w:left="4" w:right="5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232" w:name="page233"/>
    <w:bookmarkEnd w:id="232"/>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the same may be amended from time to time, and any final regulations and the rulings issued thereunder.</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33" w:name="page234"/>
    <w:bookmarkEnd w:id="233"/>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bears interest at a rate determined by reference to the Adjusted LIBO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(i) any property to the extent that the grant of a security interest therein would violate applicable laws, require a consent not obtained of any Governmental Authority, or constitute a breach of or default under, or result in the termination of or require a consent not obtained under, any contract, lease, license or other agreement evidencing or giving rise to such property, or result in the invalidation thereof or provide any party thereto with a right of termination (other than to the extent that any such term would be rendered ineffective pursuant to Section 9-406, 9-407, 9-408 or</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9-409 of the applicable UCC or any other applicable Law or principles of equity), except in each case with respect to any such contract, lease, license or other agreement evidencing or giving rise to such property, the provision resulting in such prohibition, breach, default, right of termination or consent was entered into in contemplation thereof or for the purposes of circumventing the requirements of the Loan Documents (ii) any permit, license, contract or lease to the extent that (and in each case only for so long as) such grant of a security interest is prohibited by any anti-assignment provision therein or any applicable laws or is prohibited by, or constitutes a breach or default under or results in the termination of or gives rise to a right on the part of the parties thereto other than the Loan Parties and their Subsidiaries to terminate such permit, license, contract or lease (or requires the consent of any party thereto other than the Loan Parties and their Subsidiaries), except in each case to the extent that (x) with respect to any such contract or lease, the provision resulting in such prohibition, breach, default, right of termination or consent was entered into in contemplation thereof or for the purposes of circumventing the requirements of the Loan Documents and (y) such anti-assignment provisions or such laws or the term in such permit, license, contract or lease providing for such prohibition, breach, default, right of termination or consent are ineffective or rendered unenforceable under the applicable anti-assignment provisions of the UCC, (iii) any property owned by a Loan Party on the date hereof or hereafter acquired that is subject to a Lien securing a purchase money or capital or finance lease obligation permitted to be incurred hereunder if (and in each case only for so long as) the contract or other agreement in which such Lien is granted (or the documentation providing for such purchase money, project financing or capital or finance lease obligation) prohibits the creation of any other Lien on such property or would give rise to a right to termination with respect thereto, except to the extent that the term in such contract or other agreement providing for such prohibition is ineffective or rendered unenforceable under the applicable anti-assignment provisions of the UCC , (iv) (A) solely with respect to each first-tier Foreign Subsidiary that is a CFC and each Foreign Subsidiary Holding Company, voting equity securities in excess of 65% of the voting equity securities thereof and (B) any equity interests of a Subsidiary that is owned by a Subsidiary that is a CFC or a Foreign Subsidiary Holding Company, (v) any Excluded Deposit Account described in clause (a) of the definition thereof, (vi)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solely to the extent and during the period, if any, that, the grant of such security interest would impair the validity or enforceability of such intent-to-use United States trademark application under applicable federal law; provided, that, upon such filing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34" w:name="page235"/>
    <w:bookmarkEnd w:id="23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acceptance, such intent-to-use applications shall be included as Collateral, (vii) all assets of Excluded Subsidiaries, (viii) all leasehold real property,</w:t>
      </w:r>
    </w:p>
    <w:p>
      <w:pPr>
        <w:spacing w:after="0" w:line="46" w:lineRule="exact"/>
        <w:rPr>
          <w:sz w:val="20"/>
          <w:szCs w:val="20"/>
          <w:color w:val="auto"/>
        </w:rPr>
      </w:pPr>
    </w:p>
    <w:p>
      <w:pPr>
        <w:ind w:left="4" w:right="40" w:hanging="4"/>
        <w:spacing w:after="0" w:line="286" w:lineRule="auto"/>
        <w:tabs>
          <w:tab w:leader="none" w:pos="30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fee owned real property that does not constitute Material Real Property, (x) interests in joint ventures and non-wholly owned subsidiaries, in each case, solely to the extent a Guarantee of the Obligations by such person is not permitted under its Organization Documents (other than to the extent such Organization Documents (or any provision therein) was entered into for the purpose of circumventing any requirement of the Loan Documents) (xi) margin stock, (xii) security interests to the extent the same would result in materially adverse tax consequences as reasonably determined by the Administrative Agent and the Borrower, and (xiii) those assets as to which the Administrative Agent and the Borrower reasonably agree that the cost of obtaining such a security interest or perfection thereof are excessive in relation to the benefit to the Lenders of the security to be afforded thereby; provided, further, that, notwithstanding the foregoing, a security interest shall be, and is hereby, granted in (A) any property immediately upon such property ceasing to be an Excluded Asset and (B) any and all proceeds, products, substitutions and replacements of Excluded Assets to the extent such proceeds, products, substitutions and replacements do not themselves constitute Excluded Assets; provided, however, if any Excluded Asset does not constitute an Excluded Asset (as defined in the Term Loan Credit Agreement), it shall not constitute an Excluded Asset hereunder.</w:t>
      </w:r>
    </w:p>
    <w:p>
      <w:pPr>
        <w:spacing w:after="0" w:line="169" w:lineRule="exact"/>
        <w:rPr>
          <w:sz w:val="20"/>
          <w:szCs w:val="20"/>
          <w:color w:val="auto"/>
        </w:rPr>
      </w:pPr>
    </w:p>
    <w:p>
      <w:pPr>
        <w:jc w:val="both"/>
        <w:ind w:left="4"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Deposit Accounts</w:t>
      </w:r>
      <w:r>
        <w:rPr>
          <w:rFonts w:ascii="Arial" w:cs="Arial" w:eastAsia="Arial" w:hAnsi="Arial"/>
          <w:sz w:val="18"/>
          <w:szCs w:val="18"/>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(other than Letters of Credit) to the extent permitted hereunder.</w:t>
      </w:r>
    </w:p>
    <w:p>
      <w:pPr>
        <w:spacing w:after="0" w:line="18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Subsidiaries</w:t>
      </w:r>
      <w:r>
        <w:rPr>
          <w:rFonts w:ascii="Arial" w:cs="Arial" w:eastAsia="Arial" w:hAnsi="Arial"/>
          <w:sz w:val="17"/>
          <w:szCs w:val="17"/>
          <w:color w:val="auto"/>
        </w:rPr>
        <w:t>” means (i) any Subsidiary to the extent a Guaranty by such Subsidiary would be prohibited or restricted by law or by any restriction in any contract existing on the Effective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(iii) any direct or indirect Subsidiary of any Foreign Subsidiary or any Foreign Subsidiary Holding Company set forth in clause (ii), (iv) any Subsidiary that is an Immaterial Subsidiary, and (v) any Subsidiary where the Administrative Agent and the Borrower agree that the cost (including any adverse tax consequences) of obtaining a Guarantee by such Subsidiary would be excessive in light of the practical benefit to the Lenders afforded thereby.</w:t>
      </w:r>
    </w:p>
    <w:p>
      <w:pPr>
        <w:spacing w:after="0" w:line="178"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35" w:name="page236"/>
    <w:bookmarkEnd w:id="235"/>
    <w:p>
      <w:pPr>
        <w:ind w:left="4" w:right="2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right="180" w:hanging="4"/>
        <w:spacing w:after="0" w:line="269" w:lineRule="auto"/>
        <w:tabs>
          <w:tab w:leader="none" w:pos="25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8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Amended and Restated Credit Agreement, dated as of December 19, 2019, by and among the Borrower, the other loan parties party thereto, Truist Bank, as successor by merger to SunTrust Bank, and the lenders party thereto, as amended, restated, amended and restated, supplemented, or otherwise modified prior to the date of this Agreement.</w:t>
      </w:r>
    </w:p>
    <w:p>
      <w:pPr>
        <w:spacing w:after="0" w:line="184"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Terms Account Debtor</w:t>
      </w:r>
      <w:r>
        <w:rPr>
          <w:rFonts w:ascii="Arial" w:cs="Arial" w:eastAsia="Arial" w:hAnsi="Arial"/>
          <w:sz w:val="18"/>
          <w:szCs w:val="18"/>
          <w:color w:val="auto"/>
        </w:rPr>
        <w:t>” means any Account Debtor that has been provided terms for payment greater than 90 days past the original invoice date, but not to exceed 120 days past the original invoice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Terms Accounts</w:t>
      </w:r>
      <w:r>
        <w:rPr>
          <w:rFonts w:ascii="Arial" w:cs="Arial" w:eastAsia="Arial" w:hAnsi="Arial"/>
          <w:sz w:val="18"/>
          <w:szCs w:val="18"/>
          <w:color w:val="auto"/>
        </w:rPr>
        <w:t>” has the meaning assigned to such term in the definition of “Eligible Accounts”.</w:t>
      </w:r>
    </w:p>
    <w:p>
      <w:pPr>
        <w:spacing w:after="0" w:line="225" w:lineRule="exact"/>
        <w:rPr>
          <w:sz w:val="20"/>
          <w:szCs w:val="20"/>
          <w:color w:val="auto"/>
        </w:rPr>
      </w:pPr>
    </w:p>
    <w:p>
      <w:pPr>
        <w:jc w:val="both"/>
        <w:ind w:left="4" w:right="6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Extenuating Circumstance</w:t>
      </w:r>
      <w:r>
        <w:rPr>
          <w:rFonts w:ascii="Arial" w:cs="Arial" w:eastAsia="Arial" w:hAnsi="Arial"/>
          <w:sz w:val="16"/>
          <w:szCs w:val="16"/>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49"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Receipt</w:t>
      </w:r>
      <w:r>
        <w:rPr>
          <w:rFonts w:ascii="Arial" w:cs="Arial" w:eastAsia="Arial" w:hAnsi="Arial"/>
          <w:sz w:val="18"/>
          <w:szCs w:val="18"/>
          <w:color w:val="auto"/>
        </w:rPr>
        <w:t xml:space="preserve">” means any cash received by or paid to or for the account of any Person not in the ordinary course of business, including tax refunds, pension plan reversions, proceeds of insurance (including, for the avoidance of doubt, proceeds of casualty or any taking under power of eminent domain, but excluding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Extraordinary Receipt shall not include cash receipts from proceeds of insurance,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36" w:name="page237"/>
    <w:bookmarkEnd w:id="236"/>
    <w:p>
      <w:pPr>
        <w:jc w:val="both"/>
        <w:ind w:right="3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6"/>
          <w:szCs w:val="16"/>
          <w:u w:val="single" w:color="auto"/>
          <w:color w:val="auto"/>
        </w:rPr>
        <w:t>Section 2.11(d).</w:t>
      </w:r>
    </w:p>
    <w:p>
      <w:pPr>
        <w:spacing w:after="0" w:line="149"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0.00%, such rate shall be deemed to be 0.00% for the purposes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84"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xml:space="preserve">” means, at any date, the ratio of (a) Consolidated EBITDA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Unfinanced Capital Expenditures to (b) Fixed Charges, all calculated for the period of twelve consecutive calendar months ended on such date (or, if such date is not the last day of a calendar month, ended on the last day of the calendar month most recently ended prior to such date). For purposes of this Agreement, Fixed Charges of the any type described in clauses (a), (b), (c) and (e) of the definition of “Fixed Charges” for all periods through the period ending on March 31, 2022 shall be deemed to equal (x) the amount of Fixed Charges incurred from and after the Effective Date through and including the last day of such period multiplied by (y)(A) 365 divided by (B) the number of calendar days from and including the Effective Date through and including the last date of such period.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237" w:name="page238"/>
    <w:bookmarkEnd w:id="237"/>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for any period, without duplication, (a) Consolidated Interest Expense,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voluntary prepayments and scheduled principal payments on Indebtedness for borrowed money (excluding intercompany Indebtedness) actually made calculated as if voluntary prepayments had been applied pro rata against all remaining scheduled installments,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 expenses for taxes paid in cash,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(d) Restricted Payments paid in cash,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(e) Financing Lease Obligation payments, all calculated for the Company and its Subsidiaries on a consolidated basis in accordance with GAAP.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has the meaning assigned to such term in Section 8.10.</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LIBO Rate.</w:t>
      </w:r>
    </w:p>
    <w:p>
      <w:pPr>
        <w:spacing w:after="0" w:line="17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the Borrower is a U.S. Person, a Lender, with respect to the Borrower, that is not a U.S. Person, and (b) if the Borrower is not a U.S. Person, a Lender, with respect to the Borrower, that is resident or organized under the laws of a jurisdiction other than that in which the Borrower is resident for tax purposes.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Subsidiary of Company all of the assets of which constitute the Equity Interests and/or Indebtedness of one or more CFCs and other Foreign Subsidiary Holding Companies.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Account</w:t>
      </w:r>
      <w:r>
        <w:rPr>
          <w:rFonts w:ascii="Arial" w:cs="Arial" w:eastAsia="Arial" w:hAnsi="Arial"/>
          <w:sz w:val="18"/>
          <w:szCs w:val="18"/>
          <w:color w:val="auto"/>
        </w:rPr>
        <w:t>” has the meaning assigned to such term in Section 4.01(h).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Guarantee shall not include endorsements for collection or deposit in the ordinary course of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238" w:name="page239"/>
    <w:bookmarkEnd w:id="2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assigned to such term in Section 10.01.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all Guarantors who have delivered a Loan Guaranty, and the term “Guarantor” means each or any one of them individually.</w:t>
      </w:r>
    </w:p>
    <w:p>
      <w:pPr>
        <w:spacing w:after="0" w:line="248"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and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Arial" w:cs="Arial" w:eastAsia="Arial" w:hAnsi="Arial"/>
          <w:sz w:val="16"/>
          <w:szCs w:val="16"/>
          <w:u w:val="single" w:color="auto"/>
          <w:color w:val="auto"/>
        </w:rPr>
        <w:t>Section 5.14(g)</w:t>
      </w:r>
      <w:r>
        <w:rPr>
          <w:rFonts w:ascii="Arial" w:cs="Arial" w:eastAsia="Arial" w:hAnsi="Arial"/>
          <w:sz w:val="16"/>
          <w:szCs w:val="16"/>
          <w:color w:val="auto"/>
        </w:rPr>
        <w:t xml:space="preserve">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whether or not included as indebtedness or liabilities in accordance with GAAP,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Financing Lease Obligations of such Person, (i) all obligations, contingent or otherwise, of such Person as an account party in respect of letters of credit and letters of guaranty, (j) all obligations, contingent or otherwise, of such Person in respect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39" w:name="page240"/>
    <w:bookmarkEnd w:id="239"/>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bankers’ acceptances, (k) obligations under any earn-out (which for all purposes of this Agreement shall be valued at the maximum potential amount payable with respect to such earn-out), (l) any other Off-Balance Sheet Liability, (m) obligations, whether absolute or contingent and howsoever and whensoever created, arising, evidenced or acquired (including all renewals, extensions and modifications thereof and substitutions therefor), under</w:t>
      </w:r>
    </w:p>
    <w:p>
      <w:pPr>
        <w:spacing w:after="0" w:line="2" w:lineRule="exact"/>
        <w:rPr>
          <w:sz w:val="20"/>
          <w:szCs w:val="20"/>
          <w:color w:val="auto"/>
        </w:rPr>
      </w:pPr>
    </w:p>
    <w:p>
      <w:pPr>
        <w:ind w:left="4" w:right="120" w:hanging="4"/>
        <w:spacing w:after="0" w:line="287" w:lineRule="auto"/>
        <w:tabs>
          <w:tab w:leader="none" w:pos="21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any and all Swap Agreements, and (ii) any and all cancellations, buy backs, reversals, terminations or assignments of any Swap Agreement transaction and (n) 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preferred Equity Interests be included as Indebtedness so long as such preferred Equity Interests do not have a mandatory redemption date applicable thereto and are not subject to any covenants.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0"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that certain Intercreditor Agreement, dated as of the date hereof, between the Administrative Agent and the Term Loan Agent, as the same may be amended, restated, supplemented or otherwise modified from time to time in accordance with the terms thereof.</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 Section 2.08.</w:t>
      </w:r>
    </w:p>
    <w:p>
      <w:pPr>
        <w:spacing w:after="0" w:line="237"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first Business Day of each calendar quarter and the Maturity Date, (b) with respect to any Eurodollar Loan, the last day of each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Swingline Loan is required to be repaid and the Maturity Date.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240" w:name="page241"/>
    <w:bookmarkEnd w:id="240"/>
    <w:p>
      <w:pPr>
        <w:ind w:left="4"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Borrowing, the period commencing on the date of such Eurodollar Borrowing and ending on the numerically corresponding day in the calendar month that is one, two, three or six months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ind w:left="4" w:right="200" w:hanging="4"/>
        <w:spacing w:after="0" w:line="270" w:lineRule="auto"/>
        <w:tabs>
          <w:tab w:leader="none" w:pos="24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xml:space="preserv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Interpolated Rate shall be less than 0.00%, such rate shall be deemed to be 0.00% for purposes of this Agreement.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individually and collectively, each of JPMCB, in its capacity as the issuer of Letters of Credit hereunder and any other Revolving Lender from time to time designated by the Borrower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Sublimit</w:t>
      </w:r>
      <w:r>
        <w:rPr>
          <w:rFonts w:ascii="Arial" w:cs="Arial" w:eastAsia="Arial" w:hAnsi="Arial"/>
          <w:sz w:val="18"/>
          <w:szCs w:val="18"/>
          <w:color w:val="auto"/>
        </w:rPr>
        <w:t xml:space="preserve">” means, as of the Effective Date, (a) $30,000,000, in the case of JPMCB and (b) such amount as shall be designated to the Administrative Agent and the Borrower in writing by an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Aggregate Revolving Commitment is reduced below $30,000,000, the Issuing Bank Sublimit shall automatically (without any further action) be reduced on a dollar-for-dollar basis by the amount the Aggregate Revolving Commitment is reduced below $30,000,000.</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241" w:name="page242"/>
    <w:bookmarkEnd w:id="2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Election</w:t>
      </w:r>
      <w:r>
        <w:rPr>
          <w:rFonts w:ascii="Arial" w:cs="Arial" w:eastAsia="Arial" w:hAnsi="Arial"/>
          <w:sz w:val="18"/>
          <w:szCs w:val="18"/>
          <w:color w:val="auto"/>
        </w:rPr>
        <w:t>” has the meaning assigned to such term in Section 1.09.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Test Date</w:t>
      </w:r>
      <w:r>
        <w:rPr>
          <w:rFonts w:ascii="Arial" w:cs="Arial" w:eastAsia="Arial" w:hAnsi="Arial"/>
          <w:sz w:val="18"/>
          <w:szCs w:val="18"/>
          <w:color w:val="auto"/>
        </w:rPr>
        <w:t>” has the meaning assigned to such term in Section 1.09.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any payment made by an Issuing Bank pursuant to a Letter of Credit.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letters of credit issued pursuant to this Agreement, and the term “</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one of them or each of them singularly, as the context may require.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it in Section 2.06(b).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any Eurodollar Borrowing for any applicable Interest Period or for any ABR Borrowing, the LIBO Screen Rate at approximately 11:00 a.m., London time, two (2)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shall not be available at such time for such Interest Period (an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then the LIBO Rate shall be the Interpolated Rate, subject to Section 2.14 in the event that the Administrative Agent shall conclude that it shall not be possible to determine such Interpolated Rate (which conclusion shall be conclusive and binding absent manifest error).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242" w:name="page243"/>
    <w:bookmarkEnd w:id="24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above, to the extent that “LIBO Rate” or “Adjusted LIBO Rate” is used in connection with an ABR Borrowing, such rate shall be determined as modified by the definition of Alternate Base Rate.</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xml:space="preserve">” means, for any day and time, with respect to any Eurodollar Borrowing for any Interest Period or for any ABR Borrowing,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as so determined would be less than 0.50% per annum, such rate shall be deemed to 0.50% per annum for the purposes of this Agreement.</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acquisition permitted under Section 6.04, including by way of merger, by the Borrower or one or more Subsidiaries whose consummation is not conditioned on the availability of, or on obtaining, third party financing; provided, that, if any such acquisition is not consummated within 90 days (or such later date acceptable to the Administrative Agent in its sole discretion) following the date of execution of the definitive documentation evidencing such acquisition, then such acquisition shall on that date cease to be a Limited Condition Acquisition..</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this Agreement, any promissory notes issued pursuant to this Agreement, any Letter of Credit Agreement, the Collateral Documents, each Compliance Certificate, the Loan Guaranty, the Intercreditor Agreement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and the Issuing Bank regarding the Issuing Bank’s Issuing Bank Sublimit or the respective rights and obligations between the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243" w:name="page244"/>
    <w:bookmarkEnd w:id="2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the Borrower’s Domestic Subsidiaries (other than Excluded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Swingline Loans, Overadvances and Protective Advances.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 Agreement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 as applicable.</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liabilities (actual or contingent) operations, prospects or condition, financial or otherwise, of the Company, (b) the business, assets, liabilities (actual or contingent) operations, prospects or condition, financial or otherwise, of the Company and its Subsidiaries taken as a whole, (c) the ability of any Loan Party to perform any of its Obligations, (d) the Collateral, or the Administrative Agent’s Liens (on behalf of itself and other Secured Parties) on the Collateral or the priority of such Liens, or (e) the rights of or benefits available to the Administrative Agent, the Issuing Bank or the Lenders under any of the Loan Documents.</w:t>
      </w:r>
    </w:p>
    <w:p>
      <w:pPr>
        <w:spacing w:after="0" w:line="17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(a) the Loans and Letters of Credit and (b) Series D Preferred Stock), or obligations in respect of one or more Swap Agreements, of any one or more of the Company and its Subsidiaries in an aggregate principal amount exceeding $15,000,000.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of the Borrower and its Subsidiaries that is included in the Collateral and the loss of which would have a Material Adverse Effect on the business, results of operations or financial condition of the Borrower and its Subsidiaries (taken as a whole).</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that (a) as of the Effective Date is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(b) if acquired after the Effective Date, has a fair market value of $2,000,000 or (c) is designated by the Borrower in accordance with </w:t>
      </w:r>
      <w:r>
        <w:rPr>
          <w:rFonts w:ascii="Arial" w:cs="Arial" w:eastAsia="Arial" w:hAnsi="Arial"/>
          <w:sz w:val="18"/>
          <w:szCs w:val="18"/>
          <w:u w:val="single" w:color="auto"/>
          <w:color w:val="auto"/>
        </w:rPr>
        <w:t>Section 5.14(f)</w:t>
      </w:r>
      <w:r>
        <w:rPr>
          <w:rFonts w:ascii="Arial" w:cs="Arial" w:eastAsia="Arial" w:hAnsi="Arial"/>
          <w:sz w:val="18"/>
          <w:szCs w:val="18"/>
          <w:color w:val="auto"/>
        </w:rPr>
        <w:t>.</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to occur of (a) March 22, 2026 or any earlier date on which the Commitments are reduced to zero or otherwise terminated pursuant to the terms hereof and (b) the date that is ninety-one (91) days prior to the Term Loan Maturity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44" w:name="page245"/>
    <w:bookmarkEnd w:id="2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or other agreement which conveys or evidences a Lien in favor of the Administrative Agent, for the benefit of the Administrative Agent and the other Secured Parties, now or hereafter encumbering any Mortgaged Property of a Loan Party, including any amendment, restatement, modification or supplement thereto, each of which shall be in form and substance reasonably satisfactory to the Administrative Agent.</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Orderly Liquidation Value</w:t>
      </w:r>
      <w:r>
        <w:rPr>
          <w:rFonts w:ascii="Arial" w:cs="Arial" w:eastAsia="Arial" w:hAnsi="Arial"/>
          <w:sz w:val="17"/>
          <w:szCs w:val="17"/>
          <w:color w:val="auto"/>
        </w:rPr>
        <w:t>” means, with respect to Inventory of any Person, the orderly liquidation value thereof as determined in a manner acceptable to the Administrative Agent in its Permitted Discretion by an Acceptable Appraiser, net of all costs of liquidation thereof.</w:t>
      </w:r>
    </w:p>
    <w:p>
      <w:pPr>
        <w:spacing w:after="0" w:line="14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provided, that the cash proceeds received in connection with any Disposition or Extraordinary Receipt shall only constitute Net Proceeds under this definition in any fiscal year to the extent that the aggregate amount of such cash proceeds received in such fiscal year exceeds $5,000,000.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245" w:name="page246"/>
    <w:bookmarkEnd w:id="245"/>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0.00%, such rate shall be deemed to be 0.00% for purposes of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Party</w:t>
      </w:r>
      <w:r>
        <w:rPr>
          <w:rFonts w:ascii="Arial" w:cs="Arial" w:eastAsia="Arial" w:hAnsi="Arial"/>
          <w:sz w:val="18"/>
          <w:szCs w:val="18"/>
          <w:color w:val="auto"/>
        </w:rPr>
        <w:t>” has the meaning assigned to such term in Section 10.02.</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shall exclude any Excluded Swap Obligations.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Off-Balance Sheet Liability</w:t>
      </w:r>
      <w:r>
        <w:rPr>
          <w:rFonts w:ascii="Arial" w:cs="Arial" w:eastAsia="Arial" w:hAnsi="Arial"/>
          <w:sz w:val="17"/>
          <w:szCs w:val="17"/>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that is the functional equivalent of or takes the place of borrowing but that does not constitute a liability on the balance sheet of such Person (other than operating leases).</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6" w:name="page247"/>
    <w:bookmarkEnd w:id="246"/>
    <w:p>
      <w:pPr>
        <w:ind w:right="1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5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has the meaning assigned to such term in Section 2.05(c).</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Obligations in respect of (i) Specified Hedge Agreements and Cash Management Obligations that are not then due and payable and in connection with such Payment in Full are subject to arrangements satisfactory to the Administrative Agent in its sole discretion and (ii)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Condition</w:t>
      </w:r>
      <w:r>
        <w:rPr>
          <w:rFonts w:ascii="Arial" w:cs="Arial" w:eastAsia="Arial" w:hAnsi="Arial"/>
          <w:sz w:val="16"/>
          <w:szCs w:val="16"/>
          <w:color w:val="auto"/>
        </w:rPr>
        <w:t>” shall be deemed to be satisfied in connection with a Restricted Payment, investment, Permitted Acquisition, or other particular action as to which the satisfaction of the Payment Conditions is being determined if, after giving effect to the taking of such action: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47" w:name="page248"/>
    <w:bookmarkEnd w:id="247"/>
    <w:p>
      <w:pPr>
        <w:ind w:firstLine="436"/>
        <w:spacing w:after="0" w:line="277" w:lineRule="auto"/>
        <w:tabs>
          <w:tab w:leader="none" w:pos="685"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Default has occurred and is continuing or would result immediately after giving effect to such Restricted Payment, investment, or Permitted Acquisition;</w:t>
      </w:r>
    </w:p>
    <w:p>
      <w:pPr>
        <w:spacing w:after="0" w:line="170" w:lineRule="exact"/>
        <w:rPr>
          <w:rFonts w:ascii="Arial" w:cs="Arial" w:eastAsia="Arial" w:hAnsi="Arial"/>
          <w:sz w:val="18"/>
          <w:szCs w:val="18"/>
          <w:color w:val="auto"/>
        </w:rPr>
      </w:pPr>
    </w:p>
    <w:p>
      <w:pPr>
        <w:ind w:right="60" w:firstLine="436"/>
        <w:spacing w:after="0" w:line="293" w:lineRule="auto"/>
        <w:tabs>
          <w:tab w:leader="none" w:pos="69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immediately after giving effect to and at all times during the 30-day period immediately prior to such Restricted Payment, investment, Permitted Acquisition, or other particular action, the Loan Parties shall have (i) (A) Availability calculated on a pro forma basis after giving effect to such Restricted Payment, investment, Permitted Acquisition or other particular action of not less than 20% of the Revolving Commitment, and (B) a Fixed Charge Coverage Ratio for the trailing four fiscal quarters calculated on a pro forma basis after giving effect to such Restricted Payment, investment, Permitted Acquisition or other particular action of not less than 1.00 to 1.00 or (ii) Availability calculated on a pro forma basis after giving effect to such Restricted Payment, investment, Permitted Acquisition or other particular action of not less than 30% of the Revolving Commitment; and</w:t>
      </w:r>
    </w:p>
    <w:p>
      <w:pPr>
        <w:spacing w:after="0" w:line="164" w:lineRule="exact"/>
        <w:rPr>
          <w:rFonts w:ascii="Arial" w:cs="Arial" w:eastAsia="Arial" w:hAnsi="Arial"/>
          <w:sz w:val="16"/>
          <w:szCs w:val="16"/>
          <w:color w:val="auto"/>
        </w:rPr>
      </w:pPr>
    </w:p>
    <w:p>
      <w:pPr>
        <w:ind w:right="20" w:firstLine="436"/>
        <w:spacing w:after="0" w:line="277" w:lineRule="auto"/>
        <w:tabs>
          <w:tab w:leader="none" w:pos="68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certificate in form and substance reasonably satisfactory to the Administrative Agent certifying as to the items described in (a) and (b) above and attaching calculations for item (b).</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Loan Party in a transaction that satisfies each of the following requirements:</w:t>
      </w:r>
    </w:p>
    <w:p>
      <w:pPr>
        <w:spacing w:after="0" w:line="117" w:lineRule="exact"/>
        <w:rPr>
          <w:sz w:val="20"/>
          <w:szCs w:val="20"/>
          <w:color w:val="auto"/>
        </w:rPr>
      </w:pPr>
    </w:p>
    <w:p>
      <w:pPr>
        <w:ind w:left="680" w:hanging="244"/>
        <w:spacing w:after="0"/>
        <w:tabs>
          <w:tab w:leader="none" w:pos="6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such Acquisition is not a hostile or contested acquisition;</w:t>
      </w:r>
    </w:p>
    <w:p>
      <w:pPr>
        <w:spacing w:after="0" w:line="225"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business acquired in connection with such Acquisition is not engaged, directly or indirectly, in any line of business other than the businesses in which the Loan Parties are engaged on the Effective Date and any business activities that are substantially similar, reasonably related or incidental thereto and reasonable expansions and extensions thereof;</w:t>
      </w:r>
    </w:p>
    <w:p>
      <w:pPr>
        <w:spacing w:after="0" w:line="183" w:lineRule="exact"/>
        <w:rPr>
          <w:rFonts w:ascii="Arial" w:cs="Arial" w:eastAsia="Arial" w:hAnsi="Arial"/>
          <w:sz w:val="18"/>
          <w:szCs w:val="18"/>
          <w:color w:val="auto"/>
        </w:rPr>
      </w:pPr>
    </w:p>
    <w:p>
      <w:pPr>
        <w:ind w:right="40" w:firstLine="436"/>
        <w:spacing w:after="0" w:line="263" w:lineRule="auto"/>
        <w:tabs>
          <w:tab w:leader="none" w:pos="68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both before and after giving effect to such Acquisition and the Loans (if any) requested to be made in connection therewith, each of the representations and warranties in the Loan Documents is true and correct in all material respects (except any such representation or warranty that relates to a specified prior date) and the Payment Conditions are satisfied;</w:t>
      </w:r>
    </w:p>
    <w:p>
      <w:pPr>
        <w:spacing w:after="0" w:line="183" w:lineRule="exact"/>
        <w:rPr>
          <w:rFonts w:ascii="Arial" w:cs="Arial" w:eastAsia="Arial" w:hAnsi="Arial"/>
          <w:sz w:val="18"/>
          <w:szCs w:val="18"/>
          <w:color w:val="auto"/>
        </w:rPr>
      </w:pPr>
    </w:p>
    <w:p>
      <w:pPr>
        <w:ind w:right="340" w:firstLine="436"/>
        <w:spacing w:after="0" w:line="259"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 aggregate consideration is greater than or equal to $10,000,000 as soon as available, but not less than five (5) Business Days prior to such Acquisition, the Borrower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186"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the Accounts and Inventory acquired in connection with such Acquisition are proposed to be included in the determination of the Borrowing Base, the Administrative Agent shall have conducted an appraisal and field examination of such Accounts and Inventory prior to their inclusion in the determination of the Borrowing Base (which, for the avoidance of doubt, such appraisals may be conducted subsequent to the consummation of such Permitted Acquisition if agreed to by the Administrative Agent in its Permitted Discretion; provided, however, such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248" w:name="page249"/>
    <w:bookmarkEnd w:id="24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Accounts and Inventory acquired in connection with such Acquisition shall not be included in the determination of the Borrowing Base until the appraisal and field examination of such Accounts and Inventory have been completed and such Acquisition has been consummated), the results of which shall be satisfactory to the Administrative Agent;</w:t>
      </w:r>
    </w:p>
    <w:p>
      <w:pPr>
        <w:spacing w:after="0" w:line="184" w:lineRule="exact"/>
        <w:rPr>
          <w:sz w:val="20"/>
          <w:szCs w:val="20"/>
          <w:color w:val="auto"/>
        </w:rPr>
      </w:pPr>
    </w:p>
    <w:p>
      <w:pPr>
        <w:ind w:right="100" w:firstLine="436"/>
        <w:spacing w:after="0" w:line="272" w:lineRule="auto"/>
        <w:tabs>
          <w:tab w:leader="none" w:pos="66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total consideration (including the maximum potential total amount of all deferred payment obligations (including earn-outs) and Indebtedness assumed or incurred) for all Acquisitions by Foreign Subsidiaries, Acquisitions of Persons or Equity Interests of Persons that do not become Loan Parties (including by way of merger into a Loan Party) and Acquisitions of assets that are not included in the Collateral, shall not exceed $10,000,000 during the term of this Agreement and the Borrower shall have delivered evidence demonstrating that after giving pro forma effect to each such Acquisition described in this clause (f) and to any Indebtedness incurred, assumed or acquired in connection therewith), the Borrower and its Subsidiaries shall be in compliance with the maximum permitted Consolidated Net Leverage Ratio set forth in Section 7.14 of the Term Loan Credit Agreement (as in effect on the Effective Date or as amended with the consent of the Administrative Agent).</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such Acquisition is an acquisition of Equity Interests, such Acquisition will not result in any violation of Regulation U;</w:t>
      </w:r>
    </w:p>
    <w:p>
      <w:pPr>
        <w:spacing w:after="0" w:line="225"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such Acquisition involves a merger or a consolidation involving the Borrower or any other Loan Party, the Borrower or such Loan Party, as applicable, shall be the surviving entity;</w:t>
      </w:r>
    </w:p>
    <w:p>
      <w:pPr>
        <w:spacing w:after="0" w:line="170" w:lineRule="exact"/>
        <w:rPr>
          <w:rFonts w:ascii="Arial" w:cs="Arial" w:eastAsia="Arial" w:hAnsi="Arial"/>
          <w:sz w:val="18"/>
          <w:szCs w:val="18"/>
          <w:color w:val="auto"/>
        </w:rPr>
      </w:pPr>
    </w:p>
    <w:p>
      <w:pPr>
        <w:ind w:right="400" w:firstLine="436"/>
        <w:spacing w:after="0" w:line="263" w:lineRule="auto"/>
        <w:tabs>
          <w:tab w:leader="none" w:pos="6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Loan Party shall, as a result of or in connection with any such Acquisition, assume or incur any direct or contingent liabilities (whether relating to environmental, tax, litigation, or other matters) that would, individually or in the aggregate, reasonably be expected to have a Material Adverse Effect;</w:t>
      </w:r>
    </w:p>
    <w:p>
      <w:pPr>
        <w:spacing w:after="0" w:line="183" w:lineRule="exact"/>
        <w:rPr>
          <w:rFonts w:ascii="Arial" w:cs="Arial" w:eastAsia="Arial" w:hAnsi="Arial"/>
          <w:sz w:val="18"/>
          <w:szCs w:val="18"/>
          <w:color w:val="auto"/>
        </w:rPr>
      </w:pPr>
    </w:p>
    <w:p>
      <w:pPr>
        <w:ind w:right="440" w:firstLine="436"/>
        <w:spacing w:after="0" w:line="263" w:lineRule="auto"/>
        <w:tabs>
          <w:tab w:leader="none" w:pos="6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connection with an Acquisition of the Equity Interests of any Person, all Liens on property of such Person shall be terminated unless permitted under Section 6.02, and in connection with an Acquisition of the assets of any Person, all Liens on such assets shall be terminated unless permitted under Section 6.02;</w:t>
      </w:r>
    </w:p>
    <w:p>
      <w:pPr>
        <w:spacing w:after="0" w:line="183"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the final executed material documentation relating to such Acquisition within three (3) days following the consummation thereof; and</w:t>
      </w:r>
    </w:p>
    <w:p>
      <w:pPr>
        <w:spacing w:after="0" w:line="170" w:lineRule="exact"/>
        <w:rPr>
          <w:rFonts w:ascii="Arial" w:cs="Arial" w:eastAsia="Arial" w:hAnsi="Arial"/>
          <w:sz w:val="18"/>
          <w:szCs w:val="18"/>
          <w:color w:val="auto"/>
        </w:rPr>
      </w:pPr>
    </w:p>
    <w:p>
      <w:pPr>
        <w:ind w:right="260" w:firstLine="436"/>
        <w:spacing w:after="0" w:line="277" w:lineRule="auto"/>
        <w:tabs>
          <w:tab w:leader="none" w:pos="6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conditions required to consummate an “Acquisition” (as defined in the Term Loan Credit Agreement) permitted under Section 7.03(b) of Term Loan Credit Agreement shall be satisfied.</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Borrowing Base Liens</w:t>
      </w:r>
      <w:r>
        <w:rPr>
          <w:rFonts w:ascii="Arial" w:cs="Arial" w:eastAsia="Arial" w:hAnsi="Arial"/>
          <w:sz w:val="18"/>
          <w:szCs w:val="18"/>
          <w:color w:val="auto"/>
        </w:rPr>
        <w:t>” means Liens permitted under clauses (a), (b) and (f) of the definition of “Permitted Encumbrances” and Section 6.02(h).</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49" w:name="page250"/>
    <w:bookmarkEnd w:id="249"/>
    <w:p>
      <w:pPr>
        <w:ind w:left="680" w:hanging="244"/>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imposed by law for Taxes that are not yet due or are being contested in compliance with Section 5.04;</w:t>
      </w:r>
    </w:p>
    <w:p>
      <w:pPr>
        <w:spacing w:after="0" w:line="225" w:lineRule="exact"/>
        <w:rPr>
          <w:rFonts w:ascii="Arial" w:cs="Arial" w:eastAsia="Arial" w:hAnsi="Arial"/>
          <w:sz w:val="18"/>
          <w:szCs w:val="18"/>
          <w:color w:val="auto"/>
        </w:rPr>
      </w:pPr>
    </w:p>
    <w:p>
      <w:pPr>
        <w:ind w:right="420" w:firstLine="436"/>
        <w:spacing w:after="0" w:line="342" w:lineRule="auto"/>
        <w:tabs>
          <w:tab w:leader="none" w:pos="69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123" w:lineRule="exact"/>
        <w:rPr>
          <w:rFonts w:ascii="Arial" w:cs="Arial" w:eastAsia="Arial" w:hAnsi="Arial"/>
          <w:sz w:val="16"/>
          <w:szCs w:val="16"/>
          <w:color w:val="auto"/>
        </w:rPr>
      </w:pPr>
    </w:p>
    <w:p>
      <w:pPr>
        <w:ind w:right="160" w:firstLine="436"/>
        <w:spacing w:after="0" w:line="277" w:lineRule="auto"/>
        <w:tabs>
          <w:tab w:leader="none" w:pos="68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like matters;</w:t>
      </w:r>
    </w:p>
    <w:p>
      <w:pPr>
        <w:spacing w:after="0" w:line="170"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25" w:lineRule="exact"/>
        <w:rPr>
          <w:rFonts w:ascii="Arial" w:cs="Arial" w:eastAsia="Arial" w:hAnsi="Arial"/>
          <w:sz w:val="18"/>
          <w:szCs w:val="18"/>
          <w:color w:val="auto"/>
        </w:rPr>
      </w:pPr>
    </w:p>
    <w:p>
      <w:pPr>
        <w:ind w:right="160" w:firstLine="436"/>
        <w:spacing w:after="0" w:line="263" w:lineRule="auto"/>
        <w:tabs>
          <w:tab w:leader="none" w:pos="66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“Permitted Encumbrances” shall not include any Lien securing Indebtedness, except with respect to clause (e) above.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firstLine="436"/>
        <w:spacing w:after="0" w:line="263" w:lineRule="auto"/>
        <w:tabs>
          <w:tab w:leader="none" w:pos="68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83"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ind w:right="40" w:firstLine="436"/>
        <w:spacing w:after="0" w:line="311" w:lineRule="auto"/>
        <w:tabs>
          <w:tab w:leader="none" w:pos="68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w:t>
      </w:r>
    </w:p>
    <w:p>
      <w:pPr>
        <w:spacing w:after="0" w:line="148"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50" w:name="page251"/>
    <w:bookmarkEnd w:id="250"/>
    <w:p>
      <w:pPr>
        <w:ind w:right="620" w:firstLine="436"/>
        <w:spacing w:after="0" w:line="342" w:lineRule="auto"/>
        <w:tabs>
          <w:tab w:leader="none" w:pos="685"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23" w:lineRule="exact"/>
        <w:rPr>
          <w:rFonts w:ascii="Arial" w:cs="Arial" w:eastAsia="Arial" w:hAnsi="Arial"/>
          <w:sz w:val="16"/>
          <w:szCs w:val="16"/>
          <w:color w:val="auto"/>
        </w:rPr>
      </w:pPr>
    </w:p>
    <w:p>
      <w:pPr>
        <w:ind w:right="220" w:firstLine="436"/>
        <w:spacing w:after="0" w:line="277" w:lineRule="auto"/>
        <w:tabs>
          <w:tab w:leader="none" w:pos="66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endorsement of a check of other medium of payment for deposit or collection through normal banking channels or similar transaction in the normal course of business.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means 29 CFR § 2510.3-101 et seq., as modified by Section 3(42) of ERISA, as amended from time to time.</w:t>
      </w:r>
    </w:p>
    <w:p>
      <w:pPr>
        <w:spacing w:after="0" w:line="23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Precious Metal Consignment Agreements</w:t>
      </w:r>
      <w:r>
        <w:rPr>
          <w:rFonts w:ascii="Arial" w:cs="Arial" w:eastAsia="Arial" w:hAnsi="Arial"/>
          <w:sz w:val="18"/>
          <w:szCs w:val="18"/>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17" w:lineRule="exact"/>
        <w:rPr>
          <w:sz w:val="20"/>
          <w:szCs w:val="20"/>
          <w:color w:val="auto"/>
        </w:rPr>
      </w:pPr>
    </w:p>
    <w:p>
      <w:pPr>
        <w:ind w:right="260" w:firstLine="436"/>
        <w:spacing w:after="0" w:line="277" w:lineRule="auto"/>
        <w:tabs>
          <w:tab w:leader="none" w:pos="68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Disposition (including pursuant to a sale and leaseback transaction) of any property or asset of any Loan Party or any Subsidiary that is made pursuant to Section 6.05(g);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incurrence by any Loan Party or any Subsidiary of any Indebtedness, other than Indebtedness permitted under Section 6.01.</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claim, litigation, investigation, action, suit, arbitration or administrative, judicial or regulatory action or proceeding in any jurisdiction.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251" w:name="page252"/>
    <w:bookmarkEnd w:id="2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assigned to such term in Section 5.01(f).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Public-Sider</w:t>
      </w:r>
      <w:r>
        <w:rPr>
          <w:rFonts w:ascii="Arial" w:cs="Arial" w:eastAsia="Arial" w:hAnsi="Arial"/>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means, with respect to any Material Real Property, receipt by the Administrative Agent of the following, in form and substance reasonably satisfactory to the Administrative Agent:</w:t>
      </w:r>
    </w:p>
    <w:p>
      <w:pPr>
        <w:spacing w:after="0" w:line="62" w:lineRule="exact"/>
        <w:rPr>
          <w:sz w:val="20"/>
          <w:szCs w:val="20"/>
          <w:color w:val="auto"/>
        </w:rPr>
      </w:pPr>
    </w:p>
    <w:p>
      <w:pPr>
        <w:ind w:left="1080" w:hanging="221"/>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Mortgage on such property;</w:t>
      </w:r>
    </w:p>
    <w:p>
      <w:pPr>
        <w:spacing w:after="0" w:line="117" w:lineRule="exact"/>
        <w:rPr>
          <w:rFonts w:ascii="Arial" w:cs="Arial" w:eastAsia="Arial" w:hAnsi="Arial"/>
          <w:sz w:val="18"/>
          <w:szCs w:val="18"/>
          <w:color w:val="auto"/>
        </w:rPr>
      </w:pPr>
    </w:p>
    <w:p>
      <w:pPr>
        <w:ind w:left="440" w:firstLine="419"/>
        <w:spacing w:after="0" w:line="342" w:lineRule="auto"/>
        <w:tabs>
          <w:tab w:leader="none" w:pos="112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evidence that a counterpart of the Mortgage has been recorded in the place necessary, in the Administrative Agent’s judgment, to create a valid and enforceable first priority Lien in favor of the Administrative Agent for the benefit of itself, the Lenders and the other Secured Parties;</w:t>
      </w:r>
    </w:p>
    <w:p>
      <w:pPr>
        <w:spacing w:after="0" w:line="15" w:lineRule="exact"/>
        <w:rPr>
          <w:rFonts w:ascii="Arial" w:cs="Arial" w:eastAsia="Arial" w:hAnsi="Arial"/>
          <w:sz w:val="16"/>
          <w:szCs w:val="16"/>
          <w:color w:val="auto"/>
        </w:rPr>
      </w:pPr>
    </w:p>
    <w:p>
      <w:pPr>
        <w:ind w:left="1180" w:hanging="321"/>
        <w:spacing w:after="0"/>
        <w:tabs>
          <w:tab w:leader="none" w:pos="11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ALTA or other mortgagee’s title policy;</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6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required in order to obtain a customary survey endorsement available in the applicable jurisdiction of the property, an ALTA survey prepared and certified to the Administrative Agent by a surveyor acceptable to the Administrative Agent;</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requested by Administrative Agent, an opinion of counsel in the state in which such parcel of real property is located in form and substance and from counsel reasonably satisfactory to the Administrative Agent;</w:t>
      </w:r>
    </w:p>
    <w:p>
      <w:pPr>
        <w:spacing w:after="0" w:line="62" w:lineRule="exact"/>
        <w:rPr>
          <w:rFonts w:ascii="Arial" w:cs="Arial" w:eastAsia="Arial" w:hAnsi="Arial"/>
          <w:sz w:val="18"/>
          <w:szCs w:val="18"/>
          <w:color w:val="auto"/>
        </w:rPr>
      </w:pPr>
    </w:p>
    <w:p>
      <w:pPr>
        <w:ind w:left="440" w:right="180" w:firstLine="419"/>
        <w:spacing w:after="0" w:line="311" w:lineRule="auto"/>
        <w:tabs>
          <w:tab w:leader="none" w:pos="116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any such parcel of real property is determined by the Administrative Agent to be in a “Special Flood Hazard Area” as designated on maps prepared by the Federal Emergency Management Agency, a flood notification form signed by the Borrower Representative and evidence that flood insurance is in place for the building and contents, all in form, substance and amount satisfactory to the Administrative Agent;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52" w:name="page253"/>
    <w:bookmarkEnd w:id="252"/>
    <w:p>
      <w:pPr>
        <w:ind w:left="1220" w:hanging="361"/>
        <w:spacing w:after="0"/>
        <w:tabs>
          <w:tab w:leader="none" w:pos="12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40" w:firstLine="419"/>
        <w:spacing w:after="0" w:line="263" w:lineRule="auto"/>
        <w:tabs>
          <w:tab w:leader="none" w:pos="126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requested by the Administrative Agent, an environmental assessment of the real property prepared by an environmental engineer reasonably acceptable to the Administrative Agent, and accompanied by such reports, certificates, studies or data as the Administrative Agent may reasonably require, all in form and substance satisfactory to the Administrative Agent; and</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such other information, documentation, and certifications as may be reasonably required by the Administrative Agent.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any Issuing Bank, or any combination thereof (as the context requires).</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has the meaning assigned to such term in Section 6.01(f).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Federal Reserve Board, as in effect from time to time and all official rulings and interpretations thereunder or thereof.</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Federal Reserve Board, as in effect from time to time and all official rulings and interpretations thereunder or thereof.</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Federal Reserve Board, as in effect from time to time and all official rulings and interpretations thereunder or thereof.</w:t>
      </w:r>
    </w:p>
    <w:p>
      <w:pPr>
        <w:spacing w:after="0" w:line="170"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migrating, disposing or dumping of any substance into the environment.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53" w:name="page254"/>
    <w:bookmarkEnd w:id="253"/>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NYFRB, or a committee officially endorsed or convened by the Federal Reserve Board or the NYFRB or any successor thereto.</w:t>
      </w:r>
    </w:p>
    <w:p>
      <w:pPr>
        <w:spacing w:after="0" w:line="170"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means reports prepared by the Administrative Agent or another Person showing the results of appraisals, field examinations or audits pertaining to the assets of the Loan Parties from information furnished by or on behalf of the Borrower, after the Administrative Agent has exercised its rights of inspection pursuant to this Agreement, which Reports may be distributed to the Lenders by the Administrative Agent.</w:t>
      </w:r>
    </w:p>
    <w:p>
      <w:pPr>
        <w:spacing w:after="0" w:line="165"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subject to Section 2.20, (a) at any time prior to the earlier of the Loans becoming due and payable pursuant to Article VII or the Commitments terminating or expiring, Lenders having Credit Exposures and Unfunded Commitments representing more than 50% of the sum of the Aggregate Credit Exposure and Unfunded Commitments at such time; and (b) for all purposes after the Loans become due and payable pursuant to Article VII or the Commitments expire or terminate, Lenders having Credit Exposures representing more than 50% of the Aggregate Credit Exposure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case, as long as there are only two Lenders, Required Lenders shall mean both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clauses (a) and (b) above, the Credit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w:t>
      </w:r>
    </w:p>
    <w:p>
      <w:pPr>
        <w:spacing w:after="0" w:line="18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Organization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means without duplication of any other reserves or items that are otherwise addressed or excluded through eligibility criteria, any and all reserves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that the Administrative Agent from time to time</w:t>
      </w:r>
    </w:p>
    <w:p>
      <w:pPr>
        <w:spacing w:after="0" w:line="2" w:lineRule="exact"/>
        <w:rPr>
          <w:sz w:val="20"/>
          <w:szCs w:val="20"/>
          <w:color w:val="auto"/>
        </w:rPr>
      </w:pPr>
    </w:p>
    <w:p>
      <w:pPr>
        <w:ind w:left="4" w:right="400" w:hanging="4"/>
        <w:spacing w:after="0" w:line="260" w:lineRule="auto"/>
        <w:tabs>
          <w:tab w:leader="none" w:pos="25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deems necessary, in its Permitted Discretion, in order to ensure that the Borrower can satisfy the Obligations and (y) determines in its Permitted Discretion as being appropriate to reflect: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254" w:name="page255"/>
    <w:bookmarkEnd w:id="254"/>
    <w:p>
      <w:pPr>
        <w:ind w:firstLine="987"/>
        <w:spacing w:after="0" w:line="277" w:lineRule="auto"/>
        <w:tabs>
          <w:tab w:leader="none" w:pos="12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impediments to the Administrative Agent’s ability to realize upon the Collateral included in the Borrowing Base in accordance with the Loan Documents;</w:t>
      </w:r>
    </w:p>
    <w:p>
      <w:pPr>
        <w:spacing w:after="0" w:line="170" w:lineRule="exact"/>
        <w:rPr>
          <w:rFonts w:ascii="Arial" w:cs="Arial" w:eastAsia="Arial" w:hAnsi="Arial"/>
          <w:sz w:val="18"/>
          <w:szCs w:val="18"/>
          <w:color w:val="auto"/>
        </w:rPr>
      </w:pPr>
    </w:p>
    <w:p>
      <w:pPr>
        <w:ind w:right="440" w:firstLine="987"/>
        <w:spacing w:after="0" w:line="277" w:lineRule="auto"/>
        <w:tabs>
          <w:tab w:leader="none" w:pos="12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claims and liabilities that will need to be satisfied, or will dilute the amounts received by holders of Loans, in connection with the realization upon such Collateral or;</w:t>
      </w:r>
    </w:p>
    <w:p>
      <w:pPr>
        <w:spacing w:after="0" w:line="170"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criteria, events, conditions, contingencies or risks that adversely affect any component of the Borrowing Base, the Collateral included therein or the validity or enforceability of the Loan Documents or any material remedies of the Administrative Agent, the Collateral Agent, each Issuing Bank and each Lender under the Loan Documents with respect to such Collateral.</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establishment or increase of any Reserve will be limited to the exercise by the Administrative Agent of its Permitted Discretion, upon at least three Business Days’ prior written notice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such written notice and prior to the lapse of such three Business Day period, any testing of the borrowing condition in Section 4.02(c) (or any other determination of Availability) shall require such condition to be met assuming such proposed Reserve has been implemented. During such three Business Day period, the Administrative Agent shall use commercially reasonable efforts to endeavor, if requested, to discuss any such new or modified Reserve with the Borrower and the Borrower may take such action as may be required so that the event, condition or matter that is the basis for such new or modified Reserve no longer exists or exists in a manner that would result in the establishment of a lower Reserve or result in a lesser change, in each case, in a manner and to the extent reasonably satisfactory to the Administrative Agent. As it relates to the establishment, adjustment or imposition of new Reserves exercise of Permitted Discretion will require that the contributing factors to the imposition of any Reserve will not duplicate the exclusionary criteria set forth in definitions of “Eligible Accounts”, “Eligible Inventory”, or “Qualified Cash” as applicable (and vice versa).</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president, Financial Officer or other executive officer of the Borrower.</w:t>
      </w:r>
    </w:p>
    <w:p>
      <w:pPr>
        <w:spacing w:after="0" w:line="22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xml:space="preserve">” means any dividend (including any Capital Distribution)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that, dividends or distributions to the holders of the Series D Preferred Stock payable solely in the Equity Interests (and not in cash or any other property) of the Borrower or as an increase to a liquidation preference, in each case, shall not be considered Restricted Payments.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w:t>
      </w:r>
      <w:r>
        <w:rPr>
          <w:rFonts w:ascii="Arial" w:cs="Arial" w:eastAsia="Arial" w:hAnsi="Arial"/>
          <w:sz w:val="18"/>
          <w:szCs w:val="18"/>
          <w:color w:val="auto"/>
        </w:rPr>
        <w:t>” means, as applicable, Thomson Reuters Corp, Refinitiv, or any successor thereto.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55" w:name="page256"/>
    <w:bookmarkEnd w:id="25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Revolving Loans of the same Type, made, converted or continued on the same date and, in the case of Eurodollar Loans, as to which a single Interest Period is in effect.</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w:t>
      </w:r>
      <w:r>
        <w:rPr>
          <w:rFonts w:ascii="Arial" w:cs="Arial" w:eastAsia="Arial" w:hAnsi="Arial"/>
          <w:sz w:val="18"/>
          <w:szCs w:val="18"/>
          <w:u w:val="single" w:color="auto"/>
          <w:color w:val="auto"/>
        </w:rPr>
        <w:t>provided</w:t>
      </w:r>
      <w:r>
        <w:rPr>
          <w:rFonts w:ascii="Arial" w:cs="Arial" w:eastAsia="Arial" w:hAnsi="Arial"/>
          <w:sz w:val="18"/>
          <w:szCs w:val="18"/>
          <w:color w:val="auto"/>
        </w:rPr>
        <w:t>, that at no time shall the Revolving Exposure of any Lender exceed its Revolving Commitment. The initial aggregate amount of the Lenders’ Revolving Commitment is $50,000,000.</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xml:space="preserve">” means, with respect to any Lender at any time, the sum, without duplication, of (a) the outstanding principal amount of such Lender’s Revolving Loans, its LC Exposure and its Swingline Exposure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an amount equal to its Applicable Percentage of the aggregate principal amount of Protective Advances outstanding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 an amount equal to its Applicable Percentage of the aggregate principal amount of Overadvances outstanding at such time.</w:t>
      </w:r>
    </w:p>
    <w:p>
      <w:pPr>
        <w:spacing w:after="0" w:line="18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as of any date of determination, a Lender with a Revolving Commitment or, if the Revolving Commitments have terminated or expired, a Lender with Revolving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assigned to such term in Section 6.06.</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that is itself the subject or target of any Sanctions (at the time of this Agreement, Crimea, Cuba, Iran, North Korea and Syria).</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(a) Banking Services Obligations and (b) Swap Agreement Obligations owing to one or more Lenders or their respective Affiliates;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means (a) the Series D Perpetual Preferred Stock issued or to be issued on or about the Closing Date by the Company on substantially the terms set forth on Schedule 1.03 and (b) thereafter, any Series D Perpetual Preferred Stock issued by the Company on terms that are substantially similar (taken as a whole) to the terms set forth on Schedule 1.03.</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Costs</w:t>
      </w:r>
      <w:r>
        <w:rPr>
          <w:rFonts w:ascii="Arial" w:cs="Arial" w:eastAsia="Arial" w:hAnsi="Arial"/>
          <w:sz w:val="18"/>
          <w:szCs w:val="18"/>
          <w:color w:val="auto"/>
        </w:rPr>
        <w:t xml:space="preserve">” means the expenses, payments or other costs associated with the settlement of litigation with Corre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Settlement Costs shall not exceed $2,000,000 in the aggregate.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257" w:name="page258"/>
    <w:bookmarkEnd w:id="257"/>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Sold Account</w:t>
      </w:r>
      <w:r>
        <w:rPr>
          <w:rFonts w:ascii="Arial" w:cs="Arial" w:eastAsia="Arial" w:hAnsi="Arial"/>
          <w:sz w:val="18"/>
          <w:szCs w:val="18"/>
          <w:color w:val="auto"/>
        </w:rPr>
        <w:t>” means an Account that Borrower or a Subsidiary has sold to, or otherwise has granted a Lien on or in favor of, a Supplier Financing Intermediary pursuant to a Supplier Financing Agreement, for which such Loan Party has received the purchase price for such Account and which transaction is otherwise permitted by Section 6.01(n).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any Event of Default under subsection (a), (b) (solely with respect to payments of interest and fees), (h) or (i) of Article VII..</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disposition, incurrence or repayment of Indebtedness, or Restricted Payment, in each case, that is otherwise permitted hereunder.</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LC Exposure</w:t>
      </w:r>
      <w:r>
        <w:rPr>
          <w:rFonts w:ascii="Arial" w:cs="Arial" w:eastAsia="Arial" w:hAnsi="Arial"/>
          <w:sz w:val="18"/>
          <w:szCs w:val="18"/>
          <w:color w:val="auto"/>
        </w:rPr>
        <w:t xml:space="preserve">” means, at any time, the sum of (a) the aggregate undrawn amount of all standby Letters of Credit outstanding at such time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(b) the aggregate amount of all LC Disbursements relating to standby Letters of Credit that have not yet been reimbursed by or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at such time. The Standby LC Exposure of any Revolving Lender at any time shall be its Applicable Percentage of the aggregate Standby LC Exposure at such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Statements</w:t>
      </w:r>
      <w:r>
        <w:rPr>
          <w:rFonts w:ascii="Arial" w:cs="Arial" w:eastAsia="Arial" w:hAnsi="Arial"/>
          <w:sz w:val="18"/>
          <w:szCs w:val="18"/>
          <w:color w:val="auto"/>
        </w:rPr>
        <w:t>” has the meaning assigned to such term in Section 2.18(f).</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Board. Eurodollar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 Person means any Indebtedness of such Person the payment of which is subordinated to payment of the Secured Obligations to the written satisfaction of the Administrative Agent.</w:t>
      </w:r>
    </w:p>
    <w:p>
      <w:pPr>
        <w:spacing w:after="0" w:line="17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Company or a Loan Party, as applicable.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58" w:name="page259"/>
    <w:bookmarkEnd w:id="258"/>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Supermajority Revolving Lenders</w:t>
      </w:r>
      <w:r>
        <w:rPr>
          <w:rFonts w:ascii="Arial" w:cs="Arial" w:eastAsia="Arial" w:hAnsi="Arial"/>
          <w:sz w:val="18"/>
          <w:szCs w:val="18"/>
          <w:color w:val="auto"/>
        </w:rPr>
        <w:t>” means, at any time, Lenders (other than Defaulting Lenders) having Revolving Exposures and unused Revolving Commitments representing at least 66.667% of the sum of the Aggregate Revolving Exposure and unused Revolving Commitments at 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 Financing Intermediary</w:t>
      </w:r>
      <w:r>
        <w:rPr>
          <w:rFonts w:ascii="Arial" w:cs="Arial" w:eastAsia="Arial" w:hAnsi="Arial"/>
          <w:sz w:val="18"/>
          <w:szCs w:val="18"/>
          <w:color w:val="auto"/>
        </w:rPr>
        <w:t>” has the meaning assigned to such term in the definition of “Supplier Financing Agreement”.</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 Financing Agreement</w:t>
      </w:r>
      <w:r>
        <w:rPr>
          <w:rFonts w:ascii="Arial" w:cs="Arial" w:eastAsia="Arial" w:hAnsi="Arial"/>
          <w:sz w:val="16"/>
          <w:szCs w:val="16"/>
          <w:color w:val="auto"/>
        </w:rPr>
        <w:t>” means any receivables purchase agreement, supplier financing agreement or similar arrangement between (x) a supplier financing counterparty on the Effective Date (each an “</w:t>
      </w:r>
      <w:r>
        <w:rPr>
          <w:rFonts w:ascii="Arial" w:cs="Arial" w:eastAsia="Arial" w:hAnsi="Arial"/>
          <w:sz w:val="16"/>
          <w:szCs w:val="16"/>
          <w:u w:val="single" w:color="auto"/>
          <w:color w:val="auto"/>
        </w:rPr>
        <w:t>Existing Supplier Financing Intermediary</w:t>
      </w:r>
      <w:r>
        <w:rPr>
          <w:rFonts w:ascii="Arial" w:cs="Arial" w:eastAsia="Arial" w:hAnsi="Arial"/>
          <w:sz w:val="16"/>
          <w:szCs w:val="16"/>
          <w:color w:val="auto"/>
        </w:rPr>
        <w:t>”) with respect to Accounts owing to a Loan Party by (i) those Account Debtors participating in Supplier Financing Agreements on the Effective Date and previously disclosed to the Administrative Agent in writing or (ii) any other Account Debtor approved in writing by the Administrative Agent in its Permitted Discretion or (y) a supplier financing counterparty reasonably acceptable to the Administrative Agent (each an “</w:t>
      </w:r>
      <w:r>
        <w:rPr>
          <w:rFonts w:ascii="Arial" w:cs="Arial" w:eastAsia="Arial" w:hAnsi="Arial"/>
          <w:sz w:val="16"/>
          <w:szCs w:val="16"/>
          <w:u w:val="single" w:color="auto"/>
          <w:color w:val="auto"/>
        </w:rPr>
        <w:t>Approved Supplier Financing Intermediary</w:t>
      </w:r>
      <w:r>
        <w:rPr>
          <w:rFonts w:ascii="Arial" w:cs="Arial" w:eastAsia="Arial" w:hAnsi="Arial"/>
          <w:sz w:val="16"/>
          <w:szCs w:val="16"/>
          <w:color w:val="auto"/>
        </w:rPr>
        <w:t>” and with each Existing Supplier Financing Intermediary, each a “</w:t>
      </w:r>
      <w:r>
        <w:rPr>
          <w:rFonts w:ascii="Arial" w:cs="Arial" w:eastAsia="Arial" w:hAnsi="Arial"/>
          <w:sz w:val="16"/>
          <w:szCs w:val="16"/>
          <w:u w:val="single" w:color="auto"/>
          <w:color w:val="auto"/>
        </w:rPr>
        <w:t>Supplier Financing Intermediary</w:t>
      </w:r>
      <w:r>
        <w:rPr>
          <w:rFonts w:ascii="Arial" w:cs="Arial" w:eastAsia="Arial" w:hAnsi="Arial"/>
          <w:sz w:val="16"/>
          <w:szCs w:val="16"/>
          <w:color w:val="auto"/>
        </w:rPr>
        <w:t>”) with respect to Accounts owing to a Loan Party by an Account Debtor that is satisfactory to the Administrative Agent in its Permitted Discretion, pursuant to which such Loan Party sells Accounts to a Supplier Financing Intermediary and which agreement or arrangement, as applicable, is reasonably satisfactory, in form and substance, to the Administrative Agent.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7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 Obligations</w:t>
      </w:r>
      <w:r>
        <w:rPr>
          <w:rFonts w:ascii="Arial" w:cs="Arial" w:eastAsia="Arial" w:hAnsi="Arial"/>
          <w:sz w:val="17"/>
          <w:szCs w:val="17"/>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71"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w:t>
      </w:r>
      <w:r>
        <w:rPr>
          <w:rFonts w:ascii="Arial" w:cs="Arial" w:eastAsia="Arial" w:hAnsi="Arial"/>
          <w:sz w:val="16"/>
          <w:szCs w:val="16"/>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amount set forth opposite JPMCB’s name on the Commitment Schedule as Swingline Commitment. 52</w:t>
      </w:r>
    </w:p>
    <w:p>
      <w:pPr>
        <w:sectPr>
          <w:pgSz w:w="11900" w:h="16838" w:orient="portrait"/>
          <w:cols w:equalWidth="0" w:num="1">
            <w:col w:w="10980"/>
          </w:cols>
          <w:pgMar w:left="440" w:top="274" w:right="479" w:bottom="1440" w:gutter="0" w:footer="0" w:header="0"/>
        </w:sectPr>
      </w:pPr>
    </w:p>
    <w:bookmarkStart w:id="259" w:name="page260"/>
    <w:bookmarkEnd w:id="25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w:t>
      </w:r>
    </w:p>
    <w:p>
      <w:pPr>
        <w:spacing w:after="0" w:line="17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Debt</w:t>
      </w:r>
      <w:r>
        <w:rPr>
          <w:rFonts w:ascii="Arial" w:cs="Arial" w:eastAsia="Arial" w:hAnsi="Arial"/>
          <w:sz w:val="18"/>
          <w:szCs w:val="18"/>
          <w:color w:val="auto"/>
        </w:rPr>
        <w:t>” means any Indebtedness arising under the Term Loan Documents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Agent</w:t>
      </w:r>
      <w:r>
        <w:rPr>
          <w:rFonts w:ascii="Arial" w:cs="Arial" w:eastAsia="Arial" w:hAnsi="Arial"/>
          <w:sz w:val="18"/>
          <w:szCs w:val="18"/>
          <w:color w:val="auto"/>
        </w:rPr>
        <w:t>” means Oaktree Fund Administration, LLC or any successor thereof as permitted by the Term Loan Credit Agreement and the Intercreditor Agreement.</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Credit Agreement</w:t>
      </w:r>
      <w:r>
        <w:rPr>
          <w:rFonts w:ascii="Arial" w:cs="Arial" w:eastAsia="Arial" w:hAnsi="Arial"/>
          <w:sz w:val="18"/>
          <w:szCs w:val="18"/>
          <w:color w:val="auto"/>
        </w:rPr>
        <w:t>” means that certain Term Loan Credit Agreement, dated as of the date hereof, by and among the Loan Parties party thereto, the lenders party thereto from time to time and the Term Loan Agent, as such agreement may be amended, restated, supplemented or otherwise modified from time to time as permitted by the Intercreditor Agreement.</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Documents</w:t>
      </w:r>
      <w:r>
        <w:rPr>
          <w:rFonts w:ascii="Arial" w:cs="Arial" w:eastAsia="Arial" w:hAnsi="Arial"/>
          <w:sz w:val="18"/>
          <w:szCs w:val="18"/>
          <w:color w:val="auto"/>
        </w:rPr>
        <w:t>” means the Term Loan Credit Agreement and the other “Loan Documents” as defined in the Term Loan Credit Agreement together with any other instruments or agreement entered into, now or in the future, by any Loan Party evidencing or in connection with the Term Debt, in each case in form and substance reasonably acceptable to the Administrative Agent and as amended, restated, supplemented or otherwise modified pursuant to the terms of the Intercreditor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Lenders</w:t>
      </w:r>
      <w:r>
        <w:rPr>
          <w:rFonts w:ascii="Arial" w:cs="Arial" w:eastAsia="Arial" w:hAnsi="Arial"/>
          <w:sz w:val="18"/>
          <w:szCs w:val="18"/>
          <w:color w:val="auto"/>
        </w:rPr>
        <w:t>” means the lender or group of lenders identified in the Term Loan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means the “Maturity Date” as defined in the Term Loan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Priority Collateral</w:t>
      </w:r>
      <w:r>
        <w:rPr>
          <w:rFonts w:ascii="Arial" w:cs="Arial" w:eastAsia="Arial" w:hAnsi="Arial"/>
          <w:sz w:val="18"/>
          <w:szCs w:val="18"/>
          <w:color w:val="auto"/>
        </w:rPr>
        <w:t>” is as defined in the Intercreditor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60" w:name="page261"/>
    <w:bookmarkEnd w:id="26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means all customary and reasonable transaction fees, charges and other similar amounts related to the Transactions or any Acquisitions completed during the term of this Agreement in accordance with Section 6.04 (including, without limitation, any financing fees, merger and acquisition fees, legal fees and expenses, due diligence fees or any other fees and expenses in connection therewith), in each case to the extent paid within six (6) months of the Effective Date or the closing date of such Acquisition, as applicable.</w:t>
      </w:r>
    </w:p>
    <w:p>
      <w:pPr>
        <w:spacing w:after="0" w:line="1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Accounts</w:t>
      </w:r>
      <w:r>
        <w:rPr>
          <w:rFonts w:ascii="Arial" w:cs="Arial" w:eastAsia="Arial" w:hAnsi="Arial"/>
          <w:sz w:val="18"/>
          <w:szCs w:val="18"/>
          <w:color w:val="auto"/>
        </w:rPr>
        <w:t>” means, with respect to any Account Debtor participating in an Early Pay Program pursuant to a Supplier Financing Agreement, 100% of the Accounts of such Account Debtor owing to the Loan Parties.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means any accounts or trusts used solely to hold Trust Funds.</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Funds</w:t>
      </w:r>
      <w:r>
        <w:rPr>
          <w:rFonts w:ascii="Arial" w:cs="Arial" w:eastAsia="Arial" w:hAnsi="Arial"/>
          <w:sz w:val="18"/>
          <w:szCs w:val="18"/>
          <w:color w:val="auto"/>
        </w:rPr>
        <w:t>” means, to the extent segregated from other assets of the Loan Parties in a segregated account that contains amounts comprised solely of:</w:t>
      </w:r>
    </w:p>
    <w:p>
      <w:pPr>
        <w:spacing w:after="0" w:line="62" w:lineRule="exact"/>
        <w:rPr>
          <w:sz w:val="20"/>
          <w:szCs w:val="20"/>
          <w:color w:val="auto"/>
        </w:rPr>
      </w:pPr>
    </w:p>
    <w:p>
      <w:pPr>
        <w:ind w:right="20" w:firstLine="987"/>
        <w:spacing w:after="0" w:line="308" w:lineRule="auto"/>
        <w:tabs>
          <w:tab w:leader="none" w:pos="124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funds used for payroll and payroll taxes and other employee benefit payments to or for the benefit of such Loan Party’s employees not to exceed an amount equal to the amount needed to satisfy such obligations for the next upcoming payroll / benefit period; and</w:t>
      </w:r>
    </w:p>
    <w:p>
      <w:pPr>
        <w:spacing w:after="0" w:line="146" w:lineRule="exact"/>
        <w:rPr>
          <w:rFonts w:ascii="Arial" w:cs="Arial" w:eastAsia="Arial" w:hAnsi="Arial"/>
          <w:sz w:val="17"/>
          <w:szCs w:val="17"/>
          <w:color w:val="auto"/>
        </w:rPr>
      </w:pPr>
    </w:p>
    <w:p>
      <w:pPr>
        <w:ind w:right="80" w:firstLine="987"/>
        <w:spacing w:after="0" w:line="277" w:lineRule="auto"/>
        <w:tabs>
          <w:tab w:leader="none" w:pos="124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other funds that the Borrower or any of the Subsidiaries holds in trust or as an escrow or fiduciary for another person that is not a Subsidiary or an Affiliate of the Borrower pursuant to a transaction otherwise permitted hereunder.</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ABR.</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20"/>
          </w:cols>
          <w:pgMar w:left="440" w:top="274" w:right="539" w:bottom="1440" w:gutter="0" w:footer="0" w:header="0"/>
        </w:sectPr>
      </w:pPr>
    </w:p>
    <w:bookmarkStart w:id="261" w:name="page262"/>
    <w:bookmarkEnd w:id="261"/>
    <w:p>
      <w:pPr>
        <w:ind w:left="4"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Unfinanced Capital Expenditures</w:t>
      </w:r>
      <w:r>
        <w:rPr>
          <w:rFonts w:ascii="Arial" w:cs="Arial" w:eastAsia="Arial" w:hAnsi="Arial"/>
          <w:sz w:val="17"/>
          <w:szCs w:val="17"/>
          <w:color w:val="auto"/>
        </w:rPr>
        <w:t>” means, for any period, Capital Expenditures made during such period that were paid in cash during such period and that were not financed from the proceeds of any Indebtedness (it being understood and agreed that, to the extent any Capital Expenditures are financed with Revolving Loans, such Capital Expenditures shall be deemed Unfinanced Capital Expenditures).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Commitment</w:t>
      </w:r>
      <w:r>
        <w:rPr>
          <w:rFonts w:ascii="Arial" w:cs="Arial" w:eastAsia="Arial" w:hAnsi="Arial"/>
          <w:sz w:val="17"/>
          <w:szCs w:val="17"/>
          <w:color w:val="auto"/>
        </w:rPr>
        <w:t xml:space="preserve">” means, with respect to each Lender, the Revolving Commitment of such Lender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its Revolving Exposure.</w:t>
      </w:r>
    </w:p>
    <w:p>
      <w:pPr>
        <w:spacing w:after="0" w:line="237"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Unliquidated Obligations</w:t>
      </w:r>
      <w:r>
        <w:rPr>
          <w:rFonts w:ascii="Arial" w:cs="Arial" w:eastAsia="Arial" w:hAnsi="Arial"/>
          <w:sz w:val="16"/>
          <w:szCs w:val="16"/>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w:t>
      </w:r>
    </w:p>
    <w:p>
      <w:pPr>
        <w:ind w:left="4" w:right="80" w:hanging="4"/>
        <w:spacing w:after="0" w:line="260" w:lineRule="auto"/>
        <w:tabs>
          <w:tab w:leader="none" w:pos="25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 (c) an obligation to provide collateral to secure any of the foregoing types of obligations.</w:t>
      </w:r>
    </w:p>
    <w:p>
      <w:pPr>
        <w:spacing w:after="0" w:line="185"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 and Cash Equivalents</w:t>
      </w:r>
      <w:r>
        <w:rPr>
          <w:rFonts w:ascii="Arial" w:cs="Arial" w:eastAsia="Arial" w:hAnsi="Arial"/>
          <w:sz w:val="17"/>
          <w:szCs w:val="17"/>
          <w:color w:val="auto"/>
        </w:rPr>
        <w:t>” means, with respect to the Borrower and its Subsidiaries, cash or Permitted Investments of the Borrower and its Subsidiaries that do not appear, or would not be required to appear, as “restricted” on the financial statements of the Borrower and its Subsidiaries (unless related to the Loan Documents, the Term Loan Documents or the Liens created thereunder).</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4"/>
          </w:cols>
          <w:pgMar w:left="436" w:top="274" w:right="479" w:bottom="1440" w:gutter="0" w:footer="0" w:header="0"/>
        </w:sectPr>
      </w:pPr>
    </w:p>
    <w:bookmarkStart w:id="262" w:name="page263"/>
    <w:bookmarkEnd w:id="262"/>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(e.g., a “Eurodollar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Revolving Borrowing”).</w:t>
      </w:r>
    </w:p>
    <w:p>
      <w:pPr>
        <w:spacing w:after="0" w:line="1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63" w:name="page264"/>
    <w:bookmarkEnd w:id="263"/>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 that</w:t>
      </w:r>
      <w:r>
        <w:rPr>
          <w:rFonts w:ascii="Arial" w:cs="Arial" w:eastAsia="Arial" w:hAnsi="Arial"/>
          <w:sz w:val="16"/>
          <w:szCs w:val="16"/>
          <w:color w:val="auto"/>
        </w:rPr>
        <w:t>, if after the date hereof there occurs any change in GAAP or in the application thereof on the operation of any provision hereof and the Borrower notifies the Administrative Agent that it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the Company or any Subsidiary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1" w:lineRule="exact"/>
        <w:rPr>
          <w:sz w:val="20"/>
          <w:szCs w:val="20"/>
          <w:color w:val="auto"/>
        </w:rPr>
      </w:pPr>
    </w:p>
    <w:p>
      <w:pPr>
        <w:ind w:right="320" w:firstLine="436"/>
        <w:spacing w:after="0" w:line="291" w:lineRule="auto"/>
        <w:tabs>
          <w:tab w:leader="none" w:pos="69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1.04(a) or in the definition of “Financing Lease Obligations,” any change in accounting for leases pursuant to GAAP resulting from the adoption of Financial Accounting Standards Board Accounting Standards Update</w:t>
      </w: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176" w:lineRule="exact"/>
        <w:rPr>
          <w:rFonts w:ascii="Arial" w:cs="Arial" w:eastAsia="Arial" w:hAnsi="Arial"/>
          <w:sz w:val="16"/>
          <w:szCs w:val="16"/>
          <w:color w:val="auto"/>
        </w:rPr>
      </w:pPr>
    </w:p>
    <w:p>
      <w:pPr>
        <w:ind w:right="60" w:firstLine="436"/>
        <w:spacing w:after="0" w:line="296" w:lineRule="auto"/>
        <w:tabs>
          <w:tab w:leader="none" w:pos="68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Notwithstanding the above, the parties hereto acknowledge and agree that, for purposes of all financial calculations, if the Borrower or any Subsidiary has made any Acquisition permitted by Section 6.04 or any Disposition outside the ordinary course of business permitted by Section 6.05 during the relevant period for determining compliance with such covenants, such calculations shall be made after giving pro forma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64" w:name="page265"/>
    <w:bookmarkEnd w:id="264"/>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1.05 </w:t>
      </w:r>
      <w:r>
        <w:rPr>
          <w:rFonts w:ascii="Arial" w:cs="Arial" w:eastAsia="Arial" w:hAnsi="Arial"/>
          <w:sz w:val="16"/>
          <w:szCs w:val="16"/>
          <w:u w:val="single" w:color="auto"/>
          <w:color w:val="auto"/>
        </w:rPr>
        <w:t>Interest Rates; LIBOR Notifications</w:t>
      </w:r>
      <w:r>
        <w:rPr>
          <w:rFonts w:ascii="Arial" w:cs="Arial" w:eastAsia="Arial" w:hAnsi="Arial"/>
          <w:sz w:val="16"/>
          <w:szCs w:val="16"/>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Section 2.14(c) and (d) provide the mechanism for determining an alternative rate of interest. The Administrative Agent will promptly notify the Borrower, pursuant to Section 2.14(f),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w:t>
      </w:r>
    </w:p>
    <w:p>
      <w:pPr>
        <w:spacing w:after="0" w:line="2" w:lineRule="exact"/>
        <w:rPr>
          <w:sz w:val="20"/>
          <w:szCs w:val="20"/>
          <w:color w:val="auto"/>
        </w:rPr>
      </w:pPr>
    </w:p>
    <w:p>
      <w:pPr>
        <w:ind w:left="4" w:right="120" w:hanging="4"/>
        <w:spacing w:after="0" w:line="271" w:lineRule="auto"/>
        <w:tabs>
          <w:tab w:leader="none" w:pos="24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any such alternative, successor or replacement rate implemented pursuant to Section 2.14(c) or (d), whether upon the occurrence of a Benchmark Transition Event, a Term SOFR Transition Event or an Early Opt-in Election, and (b) the implementation of any Benchmark Replacement Conforming Changes pursuant to Section 2.14(e)),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178"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Status of Obligations</w:t>
      </w:r>
      <w:r>
        <w:rPr>
          <w:rFonts w:ascii="Arial" w:cs="Arial" w:eastAsia="Arial" w:hAnsi="Arial"/>
          <w:sz w:val="16"/>
          <w:szCs w:val="16"/>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66"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Unless otherwise specified herein, the amount of a Letter of Credit at any time shall be deemed to be the amount of such Letter of Credit available to be drawn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4"/>
          </w:cols>
          <w:pgMar w:left="436" w:top="274" w:right="479" w:bottom="1440" w:gutter="0" w:footer="0" w:header="0"/>
        </w:sectPr>
      </w:pPr>
    </w:p>
    <w:bookmarkStart w:id="265" w:name="page266"/>
    <w:bookmarkEnd w:id="265"/>
    <w:p>
      <w:pPr>
        <w:ind w:right="2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225" w:lineRule="exact"/>
        <w:rPr>
          <w:sz w:val="20"/>
          <w:szCs w:val="20"/>
          <w:color w:val="auto"/>
        </w:rPr>
      </w:pPr>
    </w:p>
    <w:p>
      <w:pPr>
        <w:ind w:right="580" w:firstLine="436"/>
        <w:spacing w:after="0" w:line="277" w:lineRule="auto"/>
        <w:tabs>
          <w:tab w:leader="none" w:pos="6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Loan Document to the contrary, in connection with the consummation of a Limited Condition Acquisition, when:</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that requires the calculation of the Consolidated Net Leverage Ratio;</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determining compliance with representations, warranties, Defaults or Events of Default;</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7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determining compliance with the Payment Conditions (subject to the last sentence of clause (2) below) for an Acquisition for similar Investment;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testing availability under baskets set forth in this agreement (including baskets measured as a percentage of Consolidated EBITDA);</w:t>
      </w:r>
    </w:p>
    <w:p>
      <w:pPr>
        <w:spacing w:after="0" w:line="248" w:lineRule="exact"/>
        <w:rPr>
          <w:rFonts w:ascii="Arial" w:cs="Arial" w:eastAsia="Arial" w:hAnsi="Arial"/>
          <w:sz w:val="16"/>
          <w:szCs w:val="16"/>
          <w:color w:val="auto"/>
        </w:rPr>
      </w:pPr>
    </w:p>
    <w:p>
      <w:pPr>
        <w:ind w:firstLine="436"/>
        <w:spacing w:after="0" w:line="272" w:lineRule="auto"/>
        <w:tabs>
          <w:tab w:leader="none" w:pos="69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date of determination of whether any such action is permitted hereunder shall, at the option of the Borrower (the Borrower’s election to exercise such option in connection with any Limited Condition Acquisition, an “</w:t>
      </w:r>
      <w:r>
        <w:rPr>
          <w:rFonts w:ascii="Arial" w:cs="Arial" w:eastAsia="Arial" w:hAnsi="Arial"/>
          <w:sz w:val="17"/>
          <w:szCs w:val="17"/>
          <w:u w:val="single" w:color="auto"/>
          <w:color w:val="auto"/>
        </w:rPr>
        <w:t>LCA Election</w:t>
      </w:r>
      <w:r>
        <w:rPr>
          <w:rFonts w:ascii="Arial" w:cs="Arial" w:eastAsia="Arial" w:hAnsi="Arial"/>
          <w:sz w:val="17"/>
          <w:szCs w:val="17"/>
          <w:color w:val="auto"/>
        </w:rPr>
        <w:t>”), be deemed to be the date the definitive agreements for such Limited Condition Acquisition are entered into (the “</w:t>
      </w:r>
      <w:r>
        <w:rPr>
          <w:rFonts w:ascii="Arial" w:cs="Arial" w:eastAsia="Arial" w:hAnsi="Arial"/>
          <w:sz w:val="17"/>
          <w:szCs w:val="17"/>
          <w:u w:val="single" w:color="auto"/>
          <w:color w:val="auto"/>
        </w:rPr>
        <w:t>LCA Test Date</w:t>
      </w:r>
      <w:r>
        <w:rPr>
          <w:rFonts w:ascii="Arial" w:cs="Arial" w:eastAsia="Arial" w:hAnsi="Arial"/>
          <w:sz w:val="17"/>
          <w:szCs w:val="17"/>
          <w:color w:val="auto"/>
        </w:rPr>
        <w:t>”) and if, after such ratios and other provisions are measured on a pro forma basis after giving effect to such Limited Condition Acquisition and the other Specified Transactions to be entered into in connection therewith as if they occurred at the beginning of the four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66" w:name="page267"/>
    <w:bookmarkEnd w:id="266"/>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doubt, (x) if any of such ratios are exceeded as a result of fluctuations in such ratio (including due to fluctuations in Consolidated EBITDA of the Borrower) at or prior to the consummation of the relevant Limited Condition Acquisition, such ratios and other provisions will not be deemed to have been exceeded or unsatisfied as a result of such fluctuations solely for purposes of determining whether the Limited Condition Acquisition is permitted hereunder and (y) 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that both that such Limited Condition Acquisition and other transactions in connection therewith (including any incurrence of Indebtedness and the use of proceeds thereof) (x) have been consummated and (y) have not been consummated. For the avoidance of doubt, notwithstanding the foregoing, (i) the conditions for the making of any extension of credit under the Revolving Facility in Section 4.01(4) shall not be subject to the LCA Election and shall be tested at the times otherwise set forth herein without regard to the LCA Election, (ii) determinations based on the Borrowing Base and/or Availability shall not be subject to the LCA Election and shall be tested at the times otherwise set forth herein without regard to the LCA Election and (iii) no Specified Event of Default shall be continuing on the date any Limited Condition Acquisition is consummated or would result therefrom.</w:t>
      </w:r>
    </w:p>
    <w:p>
      <w:pPr>
        <w:spacing w:after="0" w:line="398"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ind w:left="5084"/>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lesser of (x) the Aggregate Revolving Commitment and</w:t>
      </w:r>
    </w:p>
    <w:p>
      <w:pPr>
        <w:spacing w:after="0" w:line="1" w:lineRule="exact"/>
        <w:rPr>
          <w:sz w:val="20"/>
          <w:szCs w:val="20"/>
          <w:color w:val="auto"/>
        </w:rPr>
      </w:pPr>
    </w:p>
    <w:p>
      <w:pPr>
        <w:ind w:left="4" w:right="60" w:hanging="4"/>
        <w:spacing w:after="0" w:line="255" w:lineRule="auto"/>
        <w:tabs>
          <w:tab w:leader="none" w:pos="25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Borrowing Base, subject to the Administrative Agent’s authority, in its sole discretion, to make Protective Advances and Overadvances pursuant to the terms of Sections 2.04 and 2.05. Within the foregoing limits and subject to the terms and conditions set forth herein, the Borrower may borrow, prepay and reborrow Revolving Loans.</w:t>
      </w:r>
    </w:p>
    <w:p>
      <w:pPr>
        <w:spacing w:after="0" w:line="190"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Sections 2.04 and 2.05.</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267" w:name="page268"/>
    <w:bookmarkEnd w:id="267"/>
    <w:p>
      <w:pPr>
        <w:ind w:right="20" w:firstLine="436"/>
        <w:spacing w:after="0" w:line="257" w:lineRule="auto"/>
        <w:tabs>
          <w:tab w:leader="none" w:pos="695"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Section 2.14, each Revolving Borrowing shall be comprised entirely of ABR Loans or Eurodollar Loans as the Borrower may request in accordance herewith. Each Swingline Loan shall be an ABR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Arial" w:cs="Arial" w:eastAsia="Arial" w:hAnsi="Arial"/>
          <w:sz w:val="18"/>
          <w:szCs w:val="18"/>
          <w:color w:val="auto"/>
        </w:rPr>
      </w:pPr>
    </w:p>
    <w:p>
      <w:pPr>
        <w:ind w:right="260" w:firstLine="436"/>
        <w:spacing w:after="0" w:line="296" w:lineRule="auto"/>
        <w:tabs>
          <w:tab w:leader="none" w:pos="68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At the time that each ABR Borrowing is made, such Borrowing shall be in an aggregate amount that is an integral multiple of $250,000 and not less than $250,000;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Borrowing may be in an aggregate amount that is equal to the entire unused balance of the Aggregate Revolving Commitment or that is required to finance the reimbursement of an LC Disbursement as contemplated by Section 2.06(e). Each Swingline Loan shall be in an amount that is an integral multiple of $100,000 and not less than $100,000. Borrowings of more than one Type and Class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more than a total of 5 Eurodollar Borrowings outstanding.</w:t>
      </w:r>
    </w:p>
    <w:p>
      <w:pPr>
        <w:spacing w:after="0" w:line="161"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Borrower shall notify the Administrative Agent of such request either in writing (delivered by hand or fax) by delivering a Borrowing Request signed by a Responsible Officer of the Borrower or through Electronic System if arrangements for doing so have been approved by the Administrative Agent (or if an Extenuating Circumstance shall exist, by telephone) not later than (a) in the case of a Eurodollar Borrowing, 11:00 a.m., New York City time, three (3) Business Days before the date of the proposed Borrowing or (b) in the case of an ABR Borrowing, 2:00 p.m., New York City time, on the date of the proposed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an ABR Revolving Borrowing to finance the reimbursement of an LC Disbursement as contemplated by Section 2.06(e) may be given not later than 10:00 a.m., New York City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Each such written (or if permitted, telephonic) Borrowing Request shall specify the following information in compliance with Section 2.02:</w:t>
      </w:r>
    </w:p>
    <w:p>
      <w:pPr>
        <w:spacing w:after="0" w:line="74" w:lineRule="exact"/>
        <w:rPr>
          <w:sz w:val="20"/>
          <w:szCs w:val="20"/>
          <w:color w:val="auto"/>
        </w:rPr>
      </w:pPr>
    </w:p>
    <w:p>
      <w:pPr>
        <w:ind w:left="1080" w:hanging="221"/>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name of the Borrower;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aggregate amount of the requested Revolving Borrowing and a breakdown of the separate wires comprising such Borrowing;</w:t>
      </w:r>
    </w:p>
    <w:p>
      <w:pPr>
        <w:spacing w:after="0" w:line="128" w:lineRule="exact"/>
        <w:rPr>
          <w:rFonts w:ascii="Arial" w:cs="Arial" w:eastAsia="Arial" w:hAnsi="Arial"/>
          <w:sz w:val="17"/>
          <w:szCs w:val="17"/>
          <w:color w:val="auto"/>
        </w:rPr>
      </w:pPr>
    </w:p>
    <w:p>
      <w:pPr>
        <w:ind w:left="1180" w:hanging="321"/>
        <w:spacing w:after="0"/>
        <w:tabs>
          <w:tab w:leader="none" w:pos="11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date of such Revolving Borrowing, which shall be a Business Day;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68" w:name="page269"/>
    <w:bookmarkEnd w:id="268"/>
    <w:p>
      <w:pPr>
        <w:ind w:left="1160" w:hanging="301"/>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whether such Revolving Borrowing is to be an ABR Borrowing or a Eurodollar Borrowing; and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w:t>
      </w:r>
    </w:p>
    <w:p>
      <w:pPr>
        <w:spacing w:after="0" w:line="17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an ABR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(a) Upon the occurrence and during the continuance of an Event of Default and subject to the limitations set forth below, the Administrative Agent is authorized by the Borrower and the Lenders, from time to time in the Administrative Agent’s Permitted Discretion (but shall have absolutely no obligation to), to make Loans to the Borrower,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 pursuant to the terms of this Agreement, including payments of reimbursable expenses (including costs, fees, and expenses as described in Section 9.03) and other sums payable under the Loan Documents (any of such Loans are herein referred to as “Protective Advances”); provided further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ABR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76" w:lineRule="exact"/>
        <w:rPr>
          <w:sz w:val="20"/>
          <w:szCs w:val="20"/>
          <w:color w:val="auto"/>
        </w:rPr>
      </w:pPr>
    </w:p>
    <w:p>
      <w:pPr>
        <w:ind w:firstLine="436"/>
        <w:spacing w:after="0" w:line="273" w:lineRule="auto"/>
        <w:tabs>
          <w:tab w:leader="none" w:pos="69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69" w:name="page270"/>
    <w:bookmarkEnd w:id="2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Swingline Loans and Overadvances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2" w:lineRule="auto"/>
        <w:tabs>
          <w:tab w:leader="none" w:pos="68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from time to time during the Availability Period, the Swingline Lender shall make Swingline Loans to the Borrower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 exceeding the lesser of the Aggregate Revolving Commitment and the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notify the Administrative Agent of such request in writing (delivered by hand or fax) or through Electronic System if arrangements for doing so have been approved by the Administrative Agent (or if an Extenuating Circumstance shall exist, by telephone) not later than 1:00 p.m., New York City time, on the day of a proposed Swingline Loan. Each such notice shall be irrevocable and shall specify the requested date (which shall be a Business Day) and amount of the requested Swingline Loan.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The Administrative Agent will promptly advise the Swingline Lender of any such notice received from the Borrower. The Swingline Lender shall make each Swingline Loan available to the Borrower by means of a credit to the Funding Account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w:t>
      </w:r>
    </w:p>
    <w:p>
      <w:pPr>
        <w:spacing w:after="0" w:line="11"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3:00 p.m., New York City time, on the requested date of such Swingline Loan. All Swingline Loans shall be ABR Borrowings. In addition, the Borrower hereby authorizes the Swingline Lender to, and the Swingline Lender shall, subject to the terms and conditions set forth herein (but without any further written notice required), not later than 4:00 p.m., New York City time, on each Business Day, make available to the Borrower by means of a credit to the Funding Account, the proceeds of a Swingline Loan to the extent necessary to pay items to be drawn on any Controlled Disbursement Account that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any Business Day there is insufficient borrowing capacity to permit the Swingline Lender to make available to the Borrower a Swingline Loan in the amount necessary to pay all items to be so drawn on any such Controlled Disbursement Account on such Business Day, then the Borrower shall be deemed to have requested an ABR Borrowing pursuant to Section 2.03 in the amount of such deficiency to be made on such Business Day.</w:t>
      </w:r>
    </w:p>
    <w:p>
      <w:pPr>
        <w:spacing w:after="0" w:line="197" w:lineRule="exact"/>
        <w:rPr>
          <w:rFonts w:ascii="Arial" w:cs="Arial" w:eastAsia="Arial" w:hAnsi="Arial"/>
          <w:sz w:val="16"/>
          <w:szCs w:val="16"/>
          <w:color w:val="auto"/>
        </w:rPr>
      </w:pPr>
    </w:p>
    <w:p>
      <w:pPr>
        <w:ind w:right="140" w:firstLine="436"/>
        <w:spacing w:after="0" w:line="263" w:lineRule="auto"/>
        <w:tabs>
          <w:tab w:leader="none" w:pos="69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70" w:name="page271"/>
    <w:bookmarkEnd w:id="2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noon, New York City time, on a Business Day no later than 4:00 p.m., New York City time on such Business Day and if received after noon, New York City time, “on a Business Day” shall mean no later than 10:00 a.m. New York City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Revolving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385" w:lineRule="exact"/>
        <w:rPr>
          <w:sz w:val="20"/>
          <w:szCs w:val="20"/>
          <w:color w:val="auto"/>
        </w:rPr>
      </w:pPr>
    </w:p>
    <w:p>
      <w:pPr>
        <w:ind w:firstLine="436"/>
        <w:spacing w:after="0" w:line="284" w:lineRule="auto"/>
        <w:tabs>
          <w:tab w:leader="none" w:pos="68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provision of this Agreement to the contrary notwithstanding, at the request of the Borrower, the Administrative Agent may in its sole discretion (but with absolutely no obligation), on behalf of the Revolving Lenders, (x) make Revolving Loans to the Borrower in amounts that exceed Availability (any such excess Revolving Loans are herein referred to collectively as “</w:t>
      </w:r>
      <w:r>
        <w:rPr>
          <w:rFonts w:ascii="Arial" w:cs="Arial" w:eastAsia="Arial" w:hAnsi="Arial"/>
          <w:sz w:val="16"/>
          <w:szCs w:val="16"/>
          <w:u w:val="single" w:color="auto"/>
          <w:color w:val="auto"/>
        </w:rPr>
        <w:t>Overadvances</w:t>
      </w:r>
      <w:r>
        <w:rPr>
          <w:rFonts w:ascii="Arial" w:cs="Arial" w:eastAsia="Arial" w:hAnsi="Arial"/>
          <w:sz w:val="16"/>
          <w:szCs w:val="16"/>
          <w:color w:val="auto"/>
        </w:rPr>
        <w:t xml:space="preserve">”) or (y) deem the amount of Revolving Loans outstanding to the Borrower that are in excess of Availability to be Overadvances;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Overadvance shall result in a Default due to the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w:t>
      </w:r>
    </w:p>
    <w:p>
      <w:pPr>
        <w:spacing w:after="0" w:line="4" w:lineRule="exact"/>
        <w:rPr>
          <w:rFonts w:ascii="Arial" w:cs="Arial" w:eastAsia="Arial" w:hAnsi="Arial"/>
          <w:sz w:val="16"/>
          <w:szCs w:val="16"/>
          <w:color w:val="auto"/>
        </w:rPr>
      </w:pPr>
    </w:p>
    <w:p>
      <w:pPr>
        <w:ind w:right="240"/>
        <w:spacing w:after="0" w:line="273" w:lineRule="auto"/>
        <w:rPr>
          <w:rFonts w:ascii="Arial" w:cs="Arial" w:eastAsia="Arial" w:hAnsi="Arial"/>
          <w:sz w:val="16"/>
          <w:szCs w:val="16"/>
          <w:color w:val="auto"/>
        </w:rPr>
      </w:pPr>
      <w:r>
        <w:rPr>
          <w:rFonts w:ascii="Arial" w:cs="Arial" w:eastAsia="Arial" w:hAnsi="Arial"/>
          <w:sz w:val="17"/>
          <w:szCs w:val="17"/>
          <w:color w:val="auto"/>
        </w:rPr>
        <w:t>Section 4.02(c)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not to exceed $5,000,000 at any time, no Overadvance may remain outstanding for more than thirty days without the consent of all Revolving Lenders and no Overadvance shall cause any Revolving Lender’s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271" w:name="page272"/>
    <w:bookmarkEnd w:id="27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Revolving Exposure to exceed its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184" w:lineRule="exact"/>
        <w:rPr>
          <w:sz w:val="20"/>
          <w:szCs w:val="20"/>
          <w:color w:val="auto"/>
        </w:rPr>
      </w:pPr>
    </w:p>
    <w:p>
      <w:pPr>
        <w:ind w:right="40" w:firstLine="436"/>
        <w:spacing w:after="0" w:line="293" w:lineRule="auto"/>
        <w:tabs>
          <w:tab w:leader="none" w:pos="69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Upon the making of an Overadvance by the Administrative Agent, each Revolving Lender shall be deemed, without further action by any party hereto, to have unconditionally and irrevocably purchased from the Administrative Agent, without recourse or warranty, an undivided interest and participation in such Overadvance in proportion to its Applicable Percentage of the Revolving Commitment. The Administrative Agent may, at any time, require the Revolving Lenders to fund their participations. From and after the date, if any, on which any Revolving Lender is required to fund its participation in any Overadvance purchased hereunder, the Administrative Agent shall promptly distribute to such Lender, such Lender’s Applicable Percentage of all payments of principal and interest and all proceeds of Collateral received by the Administrative Agent in respect of such Loan.</w:t>
      </w:r>
    </w:p>
    <w:p>
      <w:pPr>
        <w:spacing w:after="0" w:line="164"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(a) General. Subject to the terms and conditions set forth herein, the Borrower may request any Issuing Bank to issue Letters of Credit for its own account or for the account of another Loan Party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the terms of this Agreement.</w:t>
      </w:r>
    </w:p>
    <w:p>
      <w:pPr>
        <w:spacing w:after="0" w:line="157" w:lineRule="exact"/>
        <w:rPr>
          <w:sz w:val="20"/>
          <w:szCs w:val="20"/>
          <w:color w:val="auto"/>
        </w:rPr>
      </w:pPr>
    </w:p>
    <w:p>
      <w:pPr>
        <w:ind w:firstLine="436"/>
        <w:spacing w:after="0" w:line="286" w:lineRule="auto"/>
        <w:tabs>
          <w:tab w:leader="none" w:pos="695"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Extension; Certain Conditions.</w:t>
      </w:r>
      <w:r>
        <w:rPr>
          <w:rFonts w:ascii="Arial" w:cs="Arial" w:eastAsia="Arial" w:hAnsi="Arial"/>
          <w:sz w:val="16"/>
          <w:szCs w:val="16"/>
          <w:color w:val="auto"/>
        </w:rPr>
        <w:t xml:space="preserve"> To request the issuance of a Letter of Credit (or the amendment or extension of an outstanding Letter of Credit), the Borrower shall deliver by hand or facsimile (or transmit through Electronic System, if arrangements for doing so have been approved by the respective Issuing Bank) to an Issuing Bank selected by it and to the Administrative Agent (prior to 10:00 am, New York City time, at least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$30,000,000, (ii) no Revolving Lender’s Revolving Exposure shall exceed its Revolving Commitment and (iii) the Aggregate Revolving Exposure shall not exceed the lesser of (x) the Aggregate Revolving Commitment and (y) the Borrowing</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4" w:right="499" w:bottom="1440" w:gutter="0" w:footer="0" w:header="0"/>
        </w:sectPr>
      </w:pPr>
    </w:p>
    <w:bookmarkStart w:id="272" w:name="page273"/>
    <w:bookmarkEnd w:id="272"/>
    <w:p>
      <w:pPr>
        <w:ind w:left="4"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Issuing Bank shall not be under any obligation to issue any Letter of Credit if:</w:t>
      </w:r>
    </w:p>
    <w:p>
      <w:pPr>
        <w:spacing w:after="0" w:line="117" w:lineRule="exact"/>
        <w:rPr>
          <w:sz w:val="20"/>
          <w:szCs w:val="20"/>
          <w:color w:val="auto"/>
        </w:rPr>
      </w:pPr>
    </w:p>
    <w:p>
      <w:pPr>
        <w:ind w:left="444" w:right="280" w:firstLine="419"/>
        <w:spacing w:after="0" w:line="291" w:lineRule="auto"/>
        <w:tabs>
          <w:tab w:leader="none" w:pos="1082" w:val="left"/>
        </w:tabs>
        <w:numPr>
          <w:ilvl w:val="2"/>
          <w:numId w:val="313"/>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58" w:lineRule="exact"/>
        <w:rPr>
          <w:rFonts w:ascii="Arial" w:cs="Arial" w:eastAsia="Arial" w:hAnsi="Arial"/>
          <w:sz w:val="16"/>
          <w:szCs w:val="16"/>
          <w:color w:val="auto"/>
        </w:rPr>
      </w:pPr>
    </w:p>
    <w:p>
      <w:pPr>
        <w:ind w:left="1124" w:hanging="261"/>
        <w:spacing w:after="0"/>
        <w:tabs>
          <w:tab w:leader="none" w:pos="1124" w:val="left"/>
        </w:tabs>
        <w:numPr>
          <w:ilvl w:val="2"/>
          <w:numId w:val="313"/>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 credit generally.</w:t>
      </w:r>
    </w:p>
    <w:p>
      <w:pPr>
        <w:spacing w:after="0" w:line="248" w:lineRule="exact"/>
        <w:rPr>
          <w:rFonts w:ascii="Arial" w:cs="Arial" w:eastAsia="Arial" w:hAnsi="Arial"/>
          <w:sz w:val="16"/>
          <w:szCs w:val="16"/>
          <w:color w:val="auto"/>
        </w:rPr>
      </w:pPr>
    </w:p>
    <w:p>
      <w:pPr>
        <w:ind w:left="4" w:right="20" w:firstLine="436"/>
        <w:spacing w:after="0" w:line="287" w:lineRule="auto"/>
        <w:tabs>
          <w:tab w:leader="none" w:pos="689"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date that is five Business Days prior to the Maturity Date.</w:t>
      </w:r>
    </w:p>
    <w:p>
      <w:pPr>
        <w:spacing w:after="0" w:line="210" w:lineRule="exact"/>
        <w:rPr>
          <w:rFonts w:ascii="Arial" w:cs="Arial" w:eastAsia="Arial" w:hAnsi="Arial"/>
          <w:sz w:val="18"/>
          <w:szCs w:val="18"/>
          <w:color w:val="auto"/>
        </w:rPr>
      </w:pPr>
    </w:p>
    <w:p>
      <w:pPr>
        <w:ind w:left="4" w:firstLine="436"/>
        <w:spacing w:after="0" w:line="254" w:lineRule="auto"/>
        <w:tabs>
          <w:tab w:leader="none" w:pos="699"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 on the date due as provided in paragraph (e) of this Section, or of any reimbursement</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273" w:name="page274"/>
    <w:bookmarkEnd w:id="27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required to be refunded to the Borrower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57" w:lineRule="exact"/>
        <w:rPr>
          <w:sz w:val="20"/>
          <w:szCs w:val="20"/>
          <w:color w:val="auto"/>
        </w:rPr>
      </w:pPr>
    </w:p>
    <w:p>
      <w:pPr>
        <w:ind w:firstLine="436"/>
        <w:spacing w:after="0" w:line="267" w:lineRule="auto"/>
        <w:tabs>
          <w:tab w:leader="none" w:pos="68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 shall reimburse such LC Disbursement by paying to the Administrative Agent an amount equal to such LC Disbursement not later than noon, New York City time, on (a) (i) the Business Day that the Borrower receives notice of such LC Disbursement, if such notice is received prior to 10:00 a.m., New York City time, on the day of receipt, or (ii) the Business Day immediately following the day that the Borrower receives such notice, if such notice is received after 10:00 a.m. New York City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subject to the conditions to borrowing set forth herein, request in accordance with Section 2.03 or 2.05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w:t>
      </w:r>
    </w:p>
    <w:p>
      <w:pPr>
        <w:spacing w:after="0" w:line="189" w:lineRule="exact"/>
        <w:rPr>
          <w:rFonts w:ascii="Arial" w:cs="Arial" w:eastAsia="Arial" w:hAnsi="Arial"/>
          <w:sz w:val="17"/>
          <w:szCs w:val="17"/>
          <w:color w:val="auto"/>
        </w:rPr>
      </w:pPr>
    </w:p>
    <w:p>
      <w:pPr>
        <w:ind w:firstLine="436"/>
        <w:spacing w:after="0" w:line="291" w:lineRule="auto"/>
        <w:tabs>
          <w:tab w:leader="none" w:pos="66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74" w:name="page275"/>
    <w:bookmarkEnd w:id="27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7" w:lineRule="exact"/>
        <w:rPr>
          <w:sz w:val="20"/>
          <w:szCs w:val="20"/>
          <w:color w:val="auto"/>
        </w:rPr>
      </w:pPr>
    </w:p>
    <w:p>
      <w:pPr>
        <w:ind w:firstLine="436"/>
        <w:spacing w:after="0" w:line="255"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fax or through Electronic Systems) of such demand for payment if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their obligation to reimburse such Issuing Bank and the Revolving Lenders with respect to any such LC Disbursement.</w:t>
      </w:r>
    </w:p>
    <w:p>
      <w:pPr>
        <w:spacing w:after="0" w:line="192" w:lineRule="exact"/>
        <w:rPr>
          <w:rFonts w:ascii="Arial" w:cs="Arial" w:eastAsia="Arial" w:hAnsi="Arial"/>
          <w:sz w:val="18"/>
          <w:szCs w:val="18"/>
          <w:color w:val="auto"/>
        </w:rPr>
      </w:pPr>
    </w:p>
    <w:p>
      <w:pPr>
        <w:ind w:right="40" w:firstLine="436"/>
        <w:spacing w:after="0" w:line="271" w:lineRule="auto"/>
        <w:tabs>
          <w:tab w:leader="none" w:pos="695"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 such LC Disbursement, at the rate per annum then applicable to ABR Revolving Loans and such interest shall be due and payable on the date when such reimbursement is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275" w:name="page276"/>
    <w:bookmarkEnd w:id="275"/>
    <w:p>
      <w:pPr>
        <w:ind w:left="660" w:hanging="224"/>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Replacement and Resignation of an Issuing Bank.</w:t>
      </w:r>
    </w:p>
    <w:p>
      <w:pPr>
        <w:spacing w:after="0" w:line="117" w:lineRule="exact"/>
        <w:rPr>
          <w:rFonts w:ascii="Arial" w:cs="Arial" w:eastAsia="Arial" w:hAnsi="Arial"/>
          <w:sz w:val="18"/>
          <w:szCs w:val="18"/>
          <w:color w:val="auto"/>
        </w:rPr>
      </w:pPr>
    </w:p>
    <w:p>
      <w:pPr>
        <w:ind w:left="440" w:right="40" w:firstLine="419"/>
        <w:spacing w:after="0" w:line="269" w:lineRule="auto"/>
        <w:tabs>
          <w:tab w:leader="none" w:pos="1078"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An Issuing Bank may be replaced at any time by written agreement among the Borrower, the Administrative Agent, the 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(A) the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77" w:lineRule="exact"/>
        <w:rPr>
          <w:rFonts w:ascii="Arial" w:cs="Arial" w:eastAsia="Arial" w:hAnsi="Arial"/>
          <w:sz w:val="17"/>
          <w:szCs w:val="17"/>
          <w:color w:val="auto"/>
        </w:rPr>
      </w:pPr>
    </w:p>
    <w:p>
      <w:pPr>
        <w:ind w:left="440" w:firstLine="419"/>
        <w:spacing w:after="0" w:line="263" w:lineRule="auto"/>
        <w:tabs>
          <w:tab w:leader="none" w:pos="112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84" w:lineRule="exact"/>
        <w:rPr>
          <w:sz w:val="20"/>
          <w:szCs w:val="20"/>
          <w:color w:val="auto"/>
        </w:rPr>
      </w:pPr>
    </w:p>
    <w:p>
      <w:pPr>
        <w:ind w:right="40" w:firstLine="436"/>
        <w:spacing w:after="0" w:line="284" w:lineRule="auto"/>
        <w:tabs>
          <w:tab w:leader="none" w:pos="655"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Arial" w:cs="Arial" w:eastAsia="Arial" w:hAnsi="Arial"/>
          <w:sz w:val="16"/>
          <w:szCs w:val="16"/>
          <w:u w:val="single" w:color="auto"/>
          <w:color w:val="auto"/>
        </w:rPr>
        <w:t>LC 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an amount in cash equal to 105% of the amount of the LC Exposure as of such date plus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w:t>
      </w:r>
    </w:p>
    <w:p>
      <w:pPr>
        <w:spacing w:after="0" w:line="2"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Article VII. The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276" w:name="page277"/>
    <w:bookmarkEnd w:id="27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aggregate LC Exposure), be applied to satisfy other Secured Obligations. If the Borrower is required to provide an amount of cash collateral hereunder as a result of the occurrence of a Default, such amount (to the extent not applied as aforesaid) shall be returned to the Borrower within three (3) Business Days after all such Defaults have been cured or waived as confirmed in writing by the Administrative Agent.</w:t>
      </w:r>
    </w:p>
    <w:p>
      <w:pPr>
        <w:spacing w:after="0" w:line="177" w:lineRule="exact"/>
        <w:rPr>
          <w:sz w:val="20"/>
          <w:szCs w:val="20"/>
          <w:color w:val="auto"/>
        </w:rPr>
      </w:pPr>
    </w:p>
    <w:p>
      <w:pPr>
        <w:ind w:left="700" w:hanging="264"/>
        <w:spacing w:after="0"/>
        <w:tabs>
          <w:tab w:leader="none" w:pos="7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436"/>
        <w:spacing w:after="0" w:line="253" w:lineRule="auto"/>
        <w:tabs>
          <w:tab w:leader="none" w:pos="655"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 (i) shall reimburse, indemnify and compensate the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such Lender hereunder on the proposed date thereof solely by wire transfer of immediately available funds by 1:00 p.m., New York City time, to the account of the Administrative Agent most recently designated by it for such purpose by notice to the Lenders in an amount equal to such Lender’s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The Administrative Agent will make such Loans available to the Borrower by promptly crediting the funds so received in the aforesaid account of the Administrative Agent to an account of the Borrower as specified in the applicable Borrowing Request, or if none is specified, into the Funding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78" w:lineRule="exact"/>
        <w:rPr>
          <w:sz w:val="20"/>
          <w:szCs w:val="20"/>
          <w:color w:val="auto"/>
        </w:rPr>
      </w:pPr>
    </w:p>
    <w:p>
      <w:pPr>
        <w:ind w:right="180" w:firstLine="436"/>
        <w:spacing w:after="0" w:line="301" w:lineRule="auto"/>
        <w:tabs>
          <w:tab w:leader="none" w:pos="69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77" w:name="page278"/>
    <w:bookmarkEnd w:id="2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 the interest rate applicable to ABR Loans. If such Lender pays such amount to the Administrative Agent, then such amount shall constitute such Lender’s Loan included in such Borrowing,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16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95" w:lineRule="exact"/>
        <w:rPr>
          <w:sz w:val="20"/>
          <w:szCs w:val="20"/>
          <w:color w:val="auto"/>
        </w:rPr>
      </w:pPr>
    </w:p>
    <w:p>
      <w:pPr>
        <w:ind w:right="80" w:firstLine="436"/>
        <w:spacing w:after="0" w:line="254" w:lineRule="auto"/>
        <w:tabs>
          <w:tab w:leader="none" w:pos="69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Electronic System if arrangements for doing so have been approved by the Administrative Agent (or if an Extenuating Circumstance shall exist, by telephone) by the time that a Borrowing Request would be required under Section 2.03 if the Borrower was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w:t>
      </w:r>
    </w:p>
    <w:p>
      <w:pPr>
        <w:spacing w:after="0" w:line="191"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written (or if permitted, telephonic) Interest Election Request (including requests submitted through Electronic System) shall specify the following information in compliance with Section 2.02:</w:t>
      </w:r>
    </w:p>
    <w:p>
      <w:pPr>
        <w:spacing w:after="0" w:line="62" w:lineRule="exact"/>
        <w:rPr>
          <w:rFonts w:ascii="Arial" w:cs="Arial" w:eastAsia="Arial" w:hAnsi="Arial"/>
          <w:sz w:val="18"/>
          <w:szCs w:val="18"/>
          <w:color w:val="auto"/>
        </w:rPr>
      </w:pPr>
    </w:p>
    <w:p>
      <w:pPr>
        <w:ind w:left="440" w:right="220" w:firstLine="419"/>
        <w:spacing w:after="0" w:line="263" w:lineRule="auto"/>
        <w:tabs>
          <w:tab w:leader="none" w:pos="107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name of the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78" w:name="page279"/>
    <w:bookmarkEnd w:id="278"/>
    <w:p>
      <w:pPr>
        <w:ind w:left="1120" w:hanging="261"/>
        <w:spacing w:after="0"/>
        <w:tabs>
          <w:tab w:leader="none" w:pos="11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6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70" w:lineRule="exact"/>
        <w:rPr>
          <w:sz w:val="20"/>
          <w:szCs w:val="20"/>
          <w:color w:val="auto"/>
        </w:rPr>
      </w:pPr>
    </w:p>
    <w:p>
      <w:pPr>
        <w:ind w:right="280" w:firstLine="436"/>
        <w:spacing w:after="0" w:line="277" w:lineRule="auto"/>
        <w:tabs>
          <w:tab w:leader="none" w:pos="69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436"/>
        <w:spacing w:after="0" w:line="255" w:lineRule="auto"/>
        <w:tabs>
          <w:tab w:leader="none" w:pos="68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 Default has occurred and is continuing and the Administrative Agent, at the request of the Required Lenders, so notifies the Borrower, then, so long as a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9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 Increase in Revolving Commitments</w:t>
      </w:r>
      <w:r>
        <w:rPr>
          <w:rFonts w:ascii="Arial" w:cs="Arial" w:eastAsia="Arial" w:hAnsi="Arial"/>
          <w:sz w:val="18"/>
          <w:szCs w:val="18"/>
          <w:color w:val="auto"/>
        </w:rPr>
        <w:t>. (a) Unless previously terminated, the Revolving Commitments shall terminate on the Maturity Date.</w:t>
      </w:r>
    </w:p>
    <w:p>
      <w:pPr>
        <w:spacing w:after="0" w:line="170" w:lineRule="exact"/>
        <w:rPr>
          <w:sz w:val="20"/>
          <w:szCs w:val="20"/>
          <w:color w:val="auto"/>
        </w:rPr>
      </w:pPr>
    </w:p>
    <w:p>
      <w:pPr>
        <w:ind w:left="700" w:hanging="264"/>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Borrower may at any time terminate the Revolving Commitments upon the Payment in Full of the Secured Obligations.</w:t>
      </w:r>
    </w:p>
    <w:p>
      <w:pPr>
        <w:spacing w:after="0" w:line="225" w:lineRule="exact"/>
        <w:rPr>
          <w:rFonts w:ascii="Arial" w:cs="Arial" w:eastAsia="Arial" w:hAnsi="Arial"/>
          <w:sz w:val="18"/>
          <w:szCs w:val="18"/>
          <w:color w:val="auto"/>
        </w:rPr>
      </w:pPr>
    </w:p>
    <w:p>
      <w:pPr>
        <w:ind w:firstLine="436"/>
        <w:spacing w:after="0" w:line="254" w:lineRule="auto"/>
        <w:tabs>
          <w:tab w:leader="none" w:pos="68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any Class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$1,000,000 and not less than $5,000,000 (or, if less, the remaining amount of the applicable Revolving Commitments), (ii) the Borrower may not reduce the Aggregate Revolving Commitment below $15,000,000 without the written consent of the Required Lenders and the Administrative Agent and (iii) the Borrower shall not terminate or reduce the Revolving Commitments if, after giving effect to any concurrent prepayment of the Revolving Loans in accordance with Section 2.11, (A) any Lender’s Revolving Exposure would exceed such Lender’s Revolving Commitment or (B) the Aggregate Revolving Exposure would exceed the lesser of the Aggregate Revolving Commitment and the Borrowing Base.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40" w:top="274" w:right="519" w:bottom="1440" w:gutter="0" w:footer="0" w:header="0"/>
        </w:sectPr>
      </w:pPr>
    </w:p>
    <w:bookmarkStart w:id="279" w:name="page280"/>
    <w:bookmarkEnd w:id="279"/>
    <w:p>
      <w:pPr>
        <w:ind w:left="4" w:right="20" w:firstLine="436"/>
        <w:spacing w:after="0" w:line="254" w:lineRule="auto"/>
        <w:tabs>
          <w:tab w:leader="none" w:pos="699" w:val="left"/>
        </w:tabs>
        <w:numPr>
          <w:ilvl w:val="1"/>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shall notify the Administrative Agent of any election to terminate or reduce any Class of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1" w:lineRule="exact"/>
        <w:rPr>
          <w:rFonts w:ascii="Arial" w:cs="Arial" w:eastAsia="Arial" w:hAnsi="Arial"/>
          <w:sz w:val="18"/>
          <w:szCs w:val="18"/>
          <w:color w:val="auto"/>
        </w:rPr>
      </w:pPr>
    </w:p>
    <w:p>
      <w:pPr>
        <w:ind w:left="4" w:right="160" w:firstLine="436"/>
        <w:spacing w:after="0" w:line="287" w:lineRule="auto"/>
        <w:tabs>
          <w:tab w:leader="none" w:pos="689"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on one or more occasions, Borrower shall have the right to increase the Revolving Commitments by obtaining additional Revolving Commitments, either from one or more of the Lenders or another lending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increase shall be in a minimum amount of $2,000,000, (ii) the Borrower may make a maximum of 3 such requests after the Effective Date,</w:t>
      </w:r>
    </w:p>
    <w:p>
      <w:pPr>
        <w:spacing w:after="0" w:line="2" w:lineRule="exact"/>
        <w:rPr>
          <w:rFonts w:ascii="Arial" w:cs="Arial" w:eastAsia="Arial" w:hAnsi="Arial"/>
          <w:sz w:val="16"/>
          <w:szCs w:val="16"/>
          <w:color w:val="auto"/>
        </w:rPr>
      </w:pPr>
    </w:p>
    <w:p>
      <w:pPr>
        <w:jc w:val="both"/>
        <w:ind w:left="4" w:right="40" w:hanging="4"/>
        <w:spacing w:after="0" w:line="295" w:lineRule="auto"/>
        <w:tabs>
          <w:tab w:leader="none" w:pos="31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after giving effect thereto, the sum of the total of the additional Commitments does not exceed $15,000,000, (iv) the Administrative Agent and the Issuing Bank have approved the identity of any such new Lender, such approval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61" w:lineRule="exact"/>
        <w:rPr>
          <w:rFonts w:ascii="Arial" w:cs="Arial" w:eastAsia="Arial" w:hAnsi="Arial"/>
          <w:sz w:val="16"/>
          <w:szCs w:val="16"/>
          <w:color w:val="auto"/>
        </w:rPr>
      </w:pPr>
    </w:p>
    <w:p>
      <w:pPr>
        <w:ind w:left="4" w:firstLine="436"/>
        <w:spacing w:after="0" w:line="287" w:lineRule="auto"/>
        <w:tabs>
          <w:tab w:leader="none" w:pos="66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Any amendment hereto for such an increase or addition shall be in form and substance reasonably satisfactory to the Administrative Agent and shall only require the written signatures of the Administrative Agent, the Borrower and each Lender being added or increasing its Commitment. As a condition precedent to such an increase or addition, the Borrower shall deliver to the Administrative Agent (i) a certificate of each Loan Party signed by an authorized officer of such Loan Party (A) certifying and attaching the resolutions adopted by such Loan Party approving or consenting to such increase, and (B) in the case of the Borrower, certifying that, before and after giving effect to such increase or addition, (1) the representations and warranties contained in Article III and the other Loan Documents are true and correct in all material respects (except for representations and warranties that are already qualified by materiality, which representations and warranties will be accurate in all respects), except to the extent that such representations and warranties specifically refer to an earlier date, in which case they are true and correct as of such earlier date, (2) no Default exists and (3) immediately after giving effect to and at all times during the 30-day period immediately prior to such increase, the Loan Parties shall have Availability calculated on a pro forma basis after giving effect to such increase of not less than $15,000,000 and (ii) legal opinions and documents consistent with those delivered on the Effective Date, to the extent requested by the Administrative Agent.</w:t>
      </w:r>
    </w:p>
    <w:p>
      <w:pPr>
        <w:spacing w:after="0" w:line="171" w:lineRule="exact"/>
        <w:rPr>
          <w:rFonts w:ascii="Arial" w:cs="Arial" w:eastAsia="Arial" w:hAnsi="Arial"/>
          <w:sz w:val="16"/>
          <w:szCs w:val="16"/>
          <w:color w:val="auto"/>
        </w:rPr>
      </w:pPr>
    </w:p>
    <w:p>
      <w:pPr>
        <w:ind w:left="4" w:right="220" w:firstLine="436"/>
        <w:spacing w:after="0" w:line="301" w:lineRule="auto"/>
        <w:tabs>
          <w:tab w:leader="none" w:pos="69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4"/>
          </w:cols>
          <w:pgMar w:left="436" w:top="274" w:right="519" w:bottom="1440" w:gutter="0" w:footer="0" w:header="0"/>
        </w:sectPr>
      </w:pPr>
    </w:p>
    <w:bookmarkStart w:id="280" w:name="page281"/>
    <w:bookmarkEnd w:id="280"/>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Eurodollar Loan, shall be subject to indemnification by the Borrower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whereupon such revised Commitment Schedule shall replace the old Commitment Schedule and become part of this Agreement.</w:t>
      </w:r>
    </w:p>
    <w:p>
      <w:pPr>
        <w:spacing w:after="0" w:line="179"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Repayment and Amortization of Loans; Evidence of Debt</w:t>
      </w:r>
      <w:r>
        <w:rPr>
          <w:rFonts w:ascii="Arial" w:cs="Arial" w:eastAsia="Arial" w:hAnsi="Arial"/>
          <w:sz w:val="16"/>
          <w:szCs w:val="16"/>
          <w:color w:val="auto"/>
        </w:rPr>
        <w:t xml:space="preserve">. (a) The Borrower hereby unconditionally promises to pay (i) to the Administrative Agent for the account of each Revolving Lender the then unpaid principal amount of each Revolving Loan on the Maturity Date, (ii) to the Administrative Agent the then unpaid amount of each Protective Advance on the earlier of the Maturity Date and demand by the Administrative Agent, (iii) to the Swingline Lender the then unpaid principal amount of each Swingline Loan on the earlier of the Maturity Date and the fifth Business Day after such Swingline Loan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 and</w:t>
      </w:r>
    </w:p>
    <w:p>
      <w:pPr>
        <w:spacing w:after="0" w:line="3" w:lineRule="exact"/>
        <w:rPr>
          <w:sz w:val="20"/>
          <w:szCs w:val="20"/>
          <w:color w:val="auto"/>
        </w:rPr>
      </w:pPr>
    </w:p>
    <w:p>
      <w:pPr>
        <w:ind w:left="4" w:right="200" w:hanging="4"/>
        <w:spacing w:after="0" w:line="262" w:lineRule="auto"/>
        <w:tabs>
          <w:tab w:leader="none" w:pos="30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to the Administrative Agent the then unpaid principal amount of each Overadvance on the earlier of the Maturity Date and the 30</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after such Overadvance is made.</w:t>
      </w:r>
    </w:p>
    <w:p>
      <w:pPr>
        <w:spacing w:after="0" w:line="183" w:lineRule="exact"/>
        <w:rPr>
          <w:rFonts w:ascii="Arial" w:cs="Arial" w:eastAsia="Arial" w:hAnsi="Arial"/>
          <w:sz w:val="18"/>
          <w:szCs w:val="18"/>
          <w:color w:val="auto"/>
        </w:rPr>
      </w:pPr>
    </w:p>
    <w:p>
      <w:pPr>
        <w:ind w:left="4" w:right="300" w:firstLine="436"/>
        <w:spacing w:after="0" w:line="296" w:lineRule="auto"/>
        <w:tabs>
          <w:tab w:leader="none" w:pos="699" w:val="left"/>
        </w:tabs>
        <w:numPr>
          <w:ilvl w:val="1"/>
          <w:numId w:val="328"/>
        </w:numPr>
        <w:rPr>
          <w:rFonts w:ascii="Arial" w:cs="Arial" w:eastAsia="Arial" w:hAnsi="Arial"/>
          <w:sz w:val="16"/>
          <w:szCs w:val="16"/>
          <w:color w:val="auto"/>
        </w:rPr>
      </w:pPr>
      <w:r>
        <w:rPr>
          <w:rFonts w:ascii="Arial" w:cs="Arial" w:eastAsia="Arial" w:hAnsi="Arial"/>
          <w:sz w:val="16"/>
          <w:szCs w:val="16"/>
          <w:color w:val="auto"/>
        </w:rPr>
        <w:t xml:space="preserve">At all times that full Cash Dominion is in effect, on each Business Day, the Administrative Agent shall apply all funds credited to the Collection Account on such Business Day or the immediately preceding Business Day (at the discretion of the Administrative Agent, whether or not immediately available),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prepay any Protective Advances and Overadvances that may be outstanding, pro rata,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prepay the Revolving Loans (including Swingline Loans) and to cash collateralize outstanding LC Exposure. Notwithstanding the foregoing, to the extent any funds credited to the Collection Account constitute Net Proceeds, the application of such Net Proceeds shall be subject to Section 2.11(c).</w:t>
      </w:r>
    </w:p>
    <w:p>
      <w:pPr>
        <w:spacing w:after="0" w:line="161" w:lineRule="exact"/>
        <w:rPr>
          <w:rFonts w:ascii="Arial" w:cs="Arial" w:eastAsia="Arial" w:hAnsi="Arial"/>
          <w:sz w:val="16"/>
          <w:szCs w:val="16"/>
          <w:color w:val="auto"/>
        </w:rPr>
      </w:pPr>
    </w:p>
    <w:p>
      <w:pPr>
        <w:ind w:left="4" w:right="140" w:firstLine="436"/>
        <w:spacing w:after="0" w:line="263" w:lineRule="auto"/>
        <w:tabs>
          <w:tab w:leader="none" w:pos="689"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4" w:right="479" w:bottom="1440" w:gutter="0" w:footer="0" w:header="0"/>
        </w:sectPr>
      </w:pPr>
    </w:p>
    <w:bookmarkStart w:id="281" w:name="page282"/>
    <w:bookmarkEnd w:id="281"/>
    <w:p>
      <w:pPr>
        <w:jc w:val="both"/>
        <w:ind w:right="80" w:firstLine="436"/>
        <w:spacing w:after="0" w:line="259" w:lineRule="auto"/>
        <w:tabs>
          <w:tab w:leader="none" w:pos="695"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right="80" w:firstLine="436"/>
        <w:spacing w:after="0" w:line="311" w:lineRule="auto"/>
        <w:tabs>
          <w:tab w:leader="none" w:pos="68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(c) or (d)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48" w:lineRule="exact"/>
        <w:rPr>
          <w:rFonts w:ascii="Arial" w:cs="Arial" w:eastAsia="Arial" w:hAnsi="Arial"/>
          <w:sz w:val="16"/>
          <w:szCs w:val="16"/>
          <w:color w:val="auto"/>
        </w:rPr>
      </w:pPr>
    </w:p>
    <w:p>
      <w:pPr>
        <w:jc w:val="both"/>
        <w:ind w:right="160" w:firstLine="436"/>
        <w:spacing w:after="0" w:line="279" w:lineRule="auto"/>
        <w:tabs>
          <w:tab w:leader="none" w:pos="66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7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(a) The Borrower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84" w:lineRule="exact"/>
        <w:rPr>
          <w:sz w:val="20"/>
          <w:szCs w:val="20"/>
          <w:color w:val="auto"/>
        </w:rPr>
      </w:pPr>
    </w:p>
    <w:p>
      <w:pPr>
        <w:ind w:right="60" w:firstLine="436"/>
        <w:spacing w:after="0" w:line="259" w:lineRule="auto"/>
        <w:tabs>
          <w:tab w:leader="none" w:pos="69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Except for Overadvances permitted under Section 2.05, in the event and on such occasion that the Aggregate Revolving Exposure exceeds the lesser of (i) the Aggregate Revolving Commitment and (ii) the Borrowing Base, the Borrower shall prepay the Revolving Loans, LC Exposure and/or Swingline Loans or cash collateralize the LC Exposure in an account with the Administrative Agent pursuant to Section 2.06(j), as applicable, in an aggregate amount equal to such excess.</w:t>
      </w:r>
    </w:p>
    <w:p>
      <w:pPr>
        <w:spacing w:after="0" w:line="186" w:lineRule="exact"/>
        <w:rPr>
          <w:rFonts w:ascii="Arial" w:cs="Arial" w:eastAsia="Arial" w:hAnsi="Arial"/>
          <w:sz w:val="18"/>
          <w:szCs w:val="18"/>
          <w:color w:val="auto"/>
        </w:rPr>
      </w:pPr>
    </w:p>
    <w:p>
      <w:pPr>
        <w:ind w:firstLine="436"/>
        <w:spacing w:after="0" w:line="269" w:lineRule="auto"/>
        <w:tabs>
          <w:tab w:leader="none" w:pos="68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are received by or on behalf of any Loan Party or any Subsidiary in respect of any Prepayment Event, the Borrower shall, within ten (10) Business Days after such Net Proceeds are received by any Loan Party or any Subsidiary, prepay the Obligations and cash collateralize the LC Exposure as set forth in Section 2.11(e) below in an aggregate amount equal to 100% of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event described in clause (a) of the definition of the term “Prepayment Event”, if the Borrower shall deliver to the Administrative Agent a certificate of a Responsible Officer to the effect that the Loan Parties intend to apply the Net Proceeds from such event (or a portion thereof specified in such certificate), within 12 months after receipt of such Net Proceeds, to acquire (or replace or rebuild) real property, equipment or other tangible assets (excluding inventory) or to enter into definitive agreement(s) to acquire (or replace or rebuild) such assets to be used in the business of the Loan Parties (such assets, “</w:t>
      </w:r>
      <w:r>
        <w:rPr>
          <w:rFonts w:ascii="Arial" w:cs="Arial" w:eastAsia="Arial" w:hAnsi="Arial"/>
          <w:sz w:val="17"/>
          <w:szCs w:val="17"/>
          <w:u w:val="single" w:color="auto"/>
          <w:color w:val="auto"/>
        </w:rPr>
        <w:t>Additional Assets</w:t>
      </w:r>
      <w:r>
        <w:rPr>
          <w:rFonts w:ascii="Arial" w:cs="Arial" w:eastAsia="Arial" w:hAnsi="Arial"/>
          <w:sz w:val="17"/>
          <w:szCs w:val="17"/>
          <w:color w:val="auto"/>
        </w:rPr>
        <w:t>”), and certifying that no Default has occurred and is continuing or would result therefrom, then either (i) so long as full Cash Dominion is not in effect, no prepayment shall be required pursuant to this paragraph in respect of the Net Proceeds specified in such certificate or (ii) if full Cash Dominion is in effect, then such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4" w:right="479" w:bottom="1440" w:gutter="0" w:footer="0" w:header="0"/>
        </w:sectPr>
      </w:pPr>
    </w:p>
    <w:bookmarkStart w:id="282" w:name="page283"/>
    <w:bookmarkEnd w:id="282"/>
    <w:p>
      <w:pPr>
        <w:ind w:left="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thereafter, such funds shall be made available to the applicable Loan Party as follows:</w:t>
      </w:r>
    </w:p>
    <w:p>
      <w:pPr>
        <w:spacing w:after="0" w:line="41" w:lineRule="exact"/>
        <w:rPr>
          <w:sz w:val="20"/>
          <w:szCs w:val="20"/>
          <w:color w:val="auto"/>
        </w:rPr>
      </w:pPr>
    </w:p>
    <w:p>
      <w:pPr>
        <w:ind w:left="444" w:right="340" w:firstLine="419"/>
        <w:spacing w:after="0" w:line="277" w:lineRule="auto"/>
        <w:tabs>
          <w:tab w:leader="none" w:pos="112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shall request a Revolving Borrowing (specifying that the request is to use Net Proceeds pursuant to this Section) or the applicable Loan Party shall request a release from the cash collateral account be made in the amount needed;</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so long as the conditions set forth in Section 4.02 have been met, the Revolving Lenders shall make such Revolving Borrowing; and</w:t>
      </w:r>
    </w:p>
    <w:p>
      <w:pPr>
        <w:spacing w:after="0" w:line="140" w:lineRule="exact"/>
        <w:rPr>
          <w:rFonts w:ascii="Arial" w:cs="Arial" w:eastAsia="Arial" w:hAnsi="Arial"/>
          <w:sz w:val="16"/>
          <w:szCs w:val="16"/>
          <w:color w:val="auto"/>
        </w:rPr>
      </w:pPr>
    </w:p>
    <w:p>
      <w:pPr>
        <w:ind w:left="444" w:right="380" w:firstLine="419"/>
        <w:spacing w:after="0" w:line="277" w:lineRule="auto"/>
        <w:tabs>
          <w:tab w:leader="none" w:pos="112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the case of Net Proceeds applied against the Revolving Borrowing, the Reserve established with respect to such proceeds shall be reduced by the amount of such Revolving Borrowing;</w:t>
      </w:r>
    </w:p>
    <w:p>
      <w:pPr>
        <w:spacing w:after="0" w:line="170"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of any such Net Proceeds therefrom that have not been so applied, or such definitive agreement(s) have not been entered into, by the end of such 12-month period or any such Net Proceeds that are subject to such definitive agreement(s) have not been so applied by the end of an additional six months following the end of such 12-month period, a prepayment shall be required at such time in an amount equal to such Net Proceeds that have not been so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event described in clause (a) of the definition of the term “Prepayment Event”, to the extent that (A) the assets that were subject to such Prepayment Event constituted ABL Priority Collateral or Term Loan Priority Collateral, such Additional Assets shall also constitute ABL Priority Collateral or Term Loan Priority Collateral, respectively (and Borrower or its Subsidiaries, as the case may be, shall promptly take such action (if any) as may be required to cause that portion of such reinvestment constituting ABL Priority Collateral or Term Loan Priority Collateral, as applicable, to be added to the ABL Priority Collateral or Term Loan Priority Collateral securing the Obligations or the Term Debt, as applicable), (B) any such Prepayment Event that consisted of or constituted any portion of ABL Priority Collateral, such Net Proceeds shall be applied to the Obligations, and (C) any such Prepayment Event is of assets solely constituting Term Loan Priority Collateral that are required to be applied to the Term Debt pursuant to the terms of the Term Loan Credit Agreement, then the Net Proceeds of such Prepayment Event shall first be applied to the Term Debt as required under the Term Loan Documents until the Term Loan Obligations Payment Date (as defined in the Intercreditor Agreement) and then to the Obligations as required hereunder. To the extent the Net Proceeds of any Prepayment Event are required to be applied to the Term Debt under this Section 2.11(c) or the Intercreditor Agreement, upon the occurrence of the Term Loan Obligations Payment Date (as defined in the Intercreditor Agreement), such Net Proceeds shall be applied to the Obligations as set forth in this Section 2.11(c).</w:t>
      </w:r>
    </w:p>
    <w:p>
      <w:pPr>
        <w:spacing w:after="0" w:line="167" w:lineRule="exact"/>
        <w:rPr>
          <w:sz w:val="20"/>
          <w:szCs w:val="20"/>
          <w:color w:val="auto"/>
        </w:rPr>
      </w:pPr>
    </w:p>
    <w:p>
      <w:pPr>
        <w:ind w:left="4" w:firstLine="436"/>
        <w:spacing w:after="0" w:line="287" w:lineRule="auto"/>
        <w:tabs>
          <w:tab w:leader="none" w:pos="69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Upon any Extraordinary Receipt received by or paid to or for the account of the Borrower or any of its Subsidiaries, and not otherwise included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the Borrower shall prepay an aggregate principal amount of Loans equal to 100% of all Net Proceeds received therefrom within ten (10) Business Days of receipt thereof by the Borrower or such Subsidiary (such prepayments to be applied as set forth in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333"/>
        </w:numPr>
        <w:rPr>
          <w:rFonts w:ascii="Arial" w:cs="Arial" w:eastAsia="Arial" w:hAnsi="Arial"/>
          <w:sz w:val="18"/>
          <w:szCs w:val="18"/>
          <w:u w:val="single" w:color="auto"/>
          <w:color w:val="auto"/>
        </w:rPr>
      </w:pPr>
      <w:r>
        <w:rPr>
          <w:rFonts w:ascii="Arial" w:cs="Arial" w:eastAsia="Arial" w:hAnsi="Arial"/>
          <w:sz w:val="18"/>
          <w:szCs w:val="18"/>
          <w:color w:val="auto"/>
        </w:rPr>
        <w:t xml:space="preserve">below);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283" w:name="page284"/>
    <w:bookmarkEnd w:id="283"/>
    <w:p>
      <w:pPr>
        <w:ind w:right="20"/>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w:t>
      </w:r>
      <w:r>
        <w:rPr>
          <w:rFonts w:ascii="Arial" w:cs="Arial" w:eastAsia="Arial" w:hAnsi="Arial"/>
          <w:sz w:val="17"/>
          <w:szCs w:val="17"/>
          <w:color w:val="auto"/>
        </w:rPr>
        <w:t>, that if the Borrower shall deliver to the Administrative Agent a certificate of a Responsible Officer to the effect that the Loan Parties intend to apply the Net Proceeds from such event (or a portion thereof specified in such certificate), within 180 days after receipt of such Net Proceeds, to acquire or to enter into definitive agreement(s) to acquire Additional Assets, and certifying that no Default has occurred and is continuing or would result therefrom, then either (i) so long as full Cash Dominion is not in effect, no prepayment shall be required pursuant to this paragraph in respect of the Net Proceeds specified in such certificate or (ii) if full Cash Dominion is in effect, then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thereafter, such funds shall be made available to the applicable Loan Party as follows:</w:t>
      </w:r>
    </w:p>
    <w:p>
      <w:pPr>
        <w:spacing w:after="0" w:line="70" w:lineRule="exact"/>
        <w:rPr>
          <w:sz w:val="20"/>
          <w:szCs w:val="20"/>
          <w:color w:val="auto"/>
        </w:rPr>
      </w:pPr>
    </w:p>
    <w:p>
      <w:pPr>
        <w:ind w:left="440" w:right="320" w:firstLine="419"/>
        <w:spacing w:after="0" w:line="277" w:lineRule="auto"/>
        <w:tabs>
          <w:tab w:leader="none" w:pos="111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Borrower shall request a Revolving Borrowing (specifying that the request is to use Net Proceeds pursuant to this Section) or the applicable Loan Party shall request a release from the cash collateral account be made in the amount needed;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so long as the conditions set forth in Section 4.02 have been met, the Revolving Lenders shall make such Revolving Borrowing; and</w:t>
      </w:r>
    </w:p>
    <w:p>
      <w:pPr>
        <w:spacing w:after="0" w:line="140" w:lineRule="exact"/>
        <w:rPr>
          <w:rFonts w:ascii="Arial" w:cs="Arial" w:eastAsia="Arial" w:hAnsi="Arial"/>
          <w:sz w:val="16"/>
          <w:szCs w:val="16"/>
          <w:color w:val="auto"/>
        </w:rPr>
      </w:pPr>
    </w:p>
    <w:p>
      <w:pPr>
        <w:ind w:left="440" w:right="360" w:firstLine="419"/>
        <w:spacing w:after="0" w:line="277" w:lineRule="auto"/>
        <w:tabs>
          <w:tab w:leader="none" w:pos="111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case of Net Proceeds applied against the Revolving Borrowing, the Reserve established with respect to such proceeds shall be reduced by the amount of such Revolving Borrowing;</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of any such Net Proceeds therefrom that have not been so applied, or such definitive agreement(s) have not been entered into, by the end of such 180-day period or any such Net Proceeds that are subject to such definitive agreement(s) have not been so applied by the end of an additional 180 days following the end of such 180-day period, a prepayment shall be required at such time in an amount equal to such Net Proceeds that have not been so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event described in this Section 2.11(d), to the extent that (A) the assets that were subject to such event constituted ABL Priority Collateral or Term Loan Priority Collateral, such Additional Assets shall also constitute ABL Priority Collateral or Term Loan Priority Collateral, respectively (and Borrower or its Subsidiaries, as the case may be, shall promptly take such action (if any) as may be required to cause that portion of such reinvestment constituting ABL Priority Collateral or Term Loan Priority Collateral, as applicable, to be added to the ABL Priority Collateral or Term Loan Priority Collateral securing the Obligations or the Term Debt, as applicable), (B) any such event that consisted of or constituted any portion of ABL Priority Collateral, such Net Proceeds shall be applied to the Obligations, and (C) any such event is of assets solely constituting Term Loan Priority Collateral that are required to be applied to the Term Debt pursuant to the terms of the Term Loan Credit Agreement, then the Net Proceeds of such event shall first be applied to the Term Debt as required under the Term Loan Documents until the Term Loan Obligations Payment Date (as defined in the Intercreditor Agreement) and then to the Obligations as required hereunder. To the extent the Net Proceeds of any such event described in this Section 2.11(d) are required to be applied to the Term Debt under this Section 2.11(d) or the Intercreditor Agreement, upon the occurrence of the Term Loan Obligations Payment Date (as defined in the Intercreditor Agreement), such Net Proceeds shall be applied to the Obligations as set forth in this Section 2.11(d).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284" w:name="page285"/>
    <w:bookmarkEnd w:id="284"/>
    <w:p>
      <w:pPr>
        <w:ind w:right="180" w:firstLine="436"/>
        <w:spacing w:after="0" w:line="263"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All prepayments made pursuant to Section 2.11(a) shall be applied to prepay Revolving Loans or the Swingline Loans in accordance with the Lenders’ respective Applicable Percentages without a corresponding reduction in the Revolving Commitments or the Swingline Commitment, as applicable and to cash collateralize outstanding LC Exposure.</w:t>
      </w:r>
    </w:p>
    <w:p>
      <w:pPr>
        <w:spacing w:after="0" w:line="75" w:lineRule="exact"/>
        <w:rPr>
          <w:rFonts w:ascii="Arial" w:cs="Arial" w:eastAsia="Arial" w:hAnsi="Arial"/>
          <w:sz w:val="18"/>
          <w:szCs w:val="18"/>
          <w:color w:val="auto"/>
        </w:rPr>
      </w:pPr>
    </w:p>
    <w:p>
      <w:pPr>
        <w:ind w:left="440" w:firstLine="419"/>
        <w:spacing w:after="0" w:line="275" w:lineRule="auto"/>
        <w:tabs>
          <w:tab w:leader="none" w:pos="1128"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All such amounts pursuant to Sections 2.11(c) and (d)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prepay any Protective Advances and Overadvances that may be outstanding, pro rata,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prepay the Revolving Loans (including Swingline Loans) without a corresponding reduction in the Revolving Commitments or the Swingline Commitment, as applicable and to cash collateralize outstanding LC Exposure. If the precise amount of insurance or condemnation proceeds allocable to Inventory as compared to equipment, fixtures and real property is not otherwise determined, the allocation and application of those proceeds shall be determined by the Administrative Agent, in its Permitted Discretion.</w:t>
      </w:r>
    </w:p>
    <w:p>
      <w:pPr>
        <w:spacing w:after="0" w:line="176" w:lineRule="exact"/>
        <w:rPr>
          <w:rFonts w:ascii="Arial" w:cs="Arial" w:eastAsia="Arial" w:hAnsi="Arial"/>
          <w:sz w:val="17"/>
          <w:szCs w:val="17"/>
          <w:color w:val="auto"/>
        </w:rPr>
      </w:pPr>
    </w:p>
    <w:p>
      <w:pPr>
        <w:ind w:right="20" w:firstLine="436"/>
        <w:spacing w:after="0" w:line="268" w:lineRule="auto"/>
        <w:tabs>
          <w:tab w:leader="none" w:pos="66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(i) in the case of prepayment of a Eurodollar Revolving Borrowing, 11:00 a.m., New York City time three (3) Business Days before the date of prepayment, (ii) in the case of prepayment of an ABR Revolving Borrowing, noon, New York City time one (1) Business Day before the date of prepayment or (iii) in the case of prepayment of a Swingline Loan,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86"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The Borrower agrees to pay to the Administrative Agent for the account of each Lender a commitment fee, which shall accrue at 0.375%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on the average daily amount of the Available Revolving Commitment of such Lender during the period from and including the Effective Date to but excluding the date on which the Revolving Commitments terminate. Accrued commitment fees shall be payable in arrears on the first Business Day of each of January, April, July and October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this Section 2.12(a), Available Revolving Commitment of each Lender shall be calculated based on the Swingline Exposure of such Lender calculated assuming that all of the Lenders have funded their participations in all Swingline Loans outstanding at such time.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285" w:name="page286"/>
    <w:bookmarkEnd w:id="285"/>
    <w:p>
      <w:pPr>
        <w:ind w:firstLine="436"/>
        <w:spacing w:after="0" w:line="285" w:lineRule="auto"/>
        <w:tabs>
          <w:tab w:leader="none" w:pos="6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agrees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same Applicable Rate used to determine the interest rate applicable to Eurodollar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(or such higher rate or rates per annum separately agreed upon between the Borrower and such Issuing Bank) on the daily maximum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quarter shall be payable on the first Business Day of each of January, April, July and October,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76" w:lineRule="exact"/>
        <w:rPr>
          <w:rFonts w:ascii="Arial" w:cs="Arial" w:eastAsia="Arial" w:hAnsi="Arial"/>
          <w:sz w:val="16"/>
          <w:szCs w:val="16"/>
          <w:color w:val="auto"/>
        </w:rPr>
      </w:pPr>
    </w:p>
    <w:p>
      <w:pPr>
        <w:ind w:right="140" w:firstLine="436"/>
        <w:spacing w:after="0" w:line="277" w:lineRule="auto"/>
        <w:tabs>
          <w:tab w:leader="none" w:pos="68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firstLine="436"/>
        <w:spacing w:after="0" w:line="263" w:lineRule="auto"/>
        <w:tabs>
          <w:tab w:leader="none" w:pos="69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ABR Borrowings (including all Swingline Loans) shall bear interest at the ABR plus the Applicable Rate.</w:t>
      </w:r>
    </w:p>
    <w:p>
      <w:pPr>
        <w:spacing w:after="0" w:line="170" w:lineRule="exact"/>
        <w:rPr>
          <w:sz w:val="20"/>
          <w:szCs w:val="20"/>
          <w:color w:val="auto"/>
        </w:rPr>
      </w:pPr>
    </w:p>
    <w:p>
      <w:pPr>
        <w:ind w:right="420" w:firstLine="436"/>
        <w:spacing w:after="0" w:line="277" w:lineRule="auto"/>
        <w:tabs>
          <w:tab w:leader="none" w:pos="69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the Adjusted LIBO Rate for the Interest Period in effect for such Borrowing plus the Applicable Rate.</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Each Protective Advance and each Overadvance shall bear interest at the ABR plus the Applicable Rate for Revolving Loans plus 2%.</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79</w:t>
      </w:r>
    </w:p>
    <w:p>
      <w:pPr>
        <w:sectPr>
          <w:pgSz w:w="11900" w:h="16838" w:orient="portrait"/>
          <w:cols w:equalWidth="0" w:num="1">
            <w:col w:w="10920"/>
          </w:cols>
          <w:pgMar w:left="440" w:top="274" w:right="539" w:bottom="1440" w:gutter="0" w:footer="0" w:header="0"/>
        </w:sectPr>
      </w:pPr>
    </w:p>
    <w:bookmarkStart w:id="286" w:name="page287"/>
    <w:bookmarkEnd w:id="286"/>
    <w:p>
      <w:pPr>
        <w:ind w:left="4" w:right="100" w:firstLine="436"/>
        <w:spacing w:after="0" w:line="284" w:lineRule="auto"/>
        <w:tabs>
          <w:tab w:leader="none" w:pos="699" w:val="left"/>
        </w:tabs>
        <w:numPr>
          <w:ilvl w:val="1"/>
          <w:numId w:val="3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provided, that, the increased rates described in the foregoing subclauses (i) and (ii) shall automatically take effect (without any such notice to the Borrower from Administrative Agent or the Required Lenders) upon the occurrence and during the continuance of an Event of Default under clauses (a), (b), (h), (i) or</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of Article VII.</w:t>
      </w:r>
    </w:p>
    <w:p>
      <w:pPr>
        <w:spacing w:after="0" w:line="210" w:lineRule="exact"/>
        <w:rPr>
          <w:rFonts w:ascii="Arial" w:cs="Arial" w:eastAsia="Arial" w:hAnsi="Arial"/>
          <w:sz w:val="18"/>
          <w:szCs w:val="18"/>
          <w:color w:val="auto"/>
        </w:rPr>
      </w:pPr>
    </w:p>
    <w:p>
      <w:pPr>
        <w:ind w:left="4" w:right="20" w:firstLine="436"/>
        <w:spacing w:after="0" w:line="273" w:lineRule="auto"/>
        <w:tabs>
          <w:tab w:leader="none" w:pos="689" w:val="left"/>
        </w:tabs>
        <w:numPr>
          <w:ilvl w:val="1"/>
          <w:numId w:val="339"/>
        </w:numPr>
        <w:rPr>
          <w:rFonts w:ascii="Arial" w:cs="Arial" w:eastAsia="Arial" w:hAnsi="Arial"/>
          <w:sz w:val="17"/>
          <w:szCs w:val="17"/>
          <w:color w:val="auto"/>
        </w:rPr>
      </w:pPr>
      <w:r>
        <w:rPr>
          <w:rFonts w:ascii="Arial" w:cs="Arial" w:eastAsia="Arial" w:hAnsi="Arial"/>
          <w:sz w:val="17"/>
          <w:szCs w:val="17"/>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jc w:val="both"/>
        <w:ind w:left="4" w:right="100" w:firstLine="436"/>
        <w:spacing w:after="0" w:line="279" w:lineRule="auto"/>
        <w:tabs>
          <w:tab w:leader="none" w:pos="669" w:val="left"/>
        </w:tabs>
        <w:numPr>
          <w:ilvl w:val="1"/>
          <w:numId w:val="339"/>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 Illegality</w:t>
      </w:r>
      <w:r>
        <w:rPr>
          <w:rFonts w:ascii="Arial" w:cs="Arial" w:eastAsia="Arial" w:hAnsi="Arial"/>
          <w:sz w:val="18"/>
          <w:szCs w:val="18"/>
          <w:color w:val="auto"/>
        </w:rPr>
        <w:t>.</w:t>
      </w:r>
    </w:p>
    <w:p>
      <w:pPr>
        <w:spacing w:after="0" w:line="225" w:lineRule="exact"/>
        <w:rPr>
          <w:sz w:val="20"/>
          <w:szCs w:val="20"/>
          <w:color w:val="auto"/>
        </w:rPr>
      </w:pPr>
    </w:p>
    <w:p>
      <w:pPr>
        <w:ind w:left="4" w:right="580" w:firstLine="436"/>
        <w:spacing w:after="0" w:line="277" w:lineRule="auto"/>
        <w:tabs>
          <w:tab w:leader="none" w:pos="68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clauses (c), (d), (e), (f), (g) and (h) of this Section 2.14, if prior to the commencement of any Interest Period for a Eurodollar Borrowing:</w:t>
      </w:r>
    </w:p>
    <w:p>
      <w:pPr>
        <w:spacing w:after="0" w:line="62" w:lineRule="exact"/>
        <w:rPr>
          <w:rFonts w:ascii="Arial" w:cs="Arial" w:eastAsia="Arial" w:hAnsi="Arial"/>
          <w:sz w:val="18"/>
          <w:szCs w:val="18"/>
          <w:color w:val="auto"/>
        </w:rPr>
      </w:pPr>
    </w:p>
    <w:p>
      <w:pPr>
        <w:ind w:left="444" w:firstLine="419"/>
        <w:spacing w:after="0" w:line="259" w:lineRule="auto"/>
        <w:tabs>
          <w:tab w:leader="none" w:pos="108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Benchmark Transition Event shall have occurred at such time; or</w:t>
      </w:r>
    </w:p>
    <w:p>
      <w:pPr>
        <w:spacing w:after="0" w:line="78" w:lineRule="exact"/>
        <w:rPr>
          <w:rFonts w:ascii="Arial" w:cs="Arial" w:eastAsia="Arial" w:hAnsi="Arial"/>
          <w:sz w:val="18"/>
          <w:szCs w:val="18"/>
          <w:color w:val="auto"/>
        </w:rPr>
      </w:pPr>
    </w:p>
    <w:p>
      <w:pPr>
        <w:ind w:left="444" w:right="340" w:firstLine="419"/>
        <w:spacing w:after="0" w:line="263" w:lineRule="auto"/>
        <w:tabs>
          <w:tab w:leader="none" w:pos="113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4"/>
          </w:cols>
          <w:pgMar w:left="436" w:top="274" w:right="479" w:bottom="1440" w:gutter="0" w:footer="0" w:header="0"/>
        </w:sectPr>
      </w:pPr>
    </w:p>
    <w:bookmarkStart w:id="287" w:name="page288"/>
    <w:bookmarkEnd w:id="28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the Administrative Agent shall give notice thereof to the Borrower and the Lenders through Electronic System as provided in Section 9.01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(B) if any Borrowing Request requests a Eurodollar Borrowing, such Borrowing shall be made as an ABR Borrowing.</w:t>
      </w:r>
    </w:p>
    <w:p>
      <w:pPr>
        <w:spacing w:after="0" w:line="192" w:lineRule="exact"/>
        <w:rPr>
          <w:sz w:val="20"/>
          <w:szCs w:val="20"/>
          <w:color w:val="auto"/>
        </w:rPr>
      </w:pPr>
    </w:p>
    <w:p>
      <w:pPr>
        <w:ind w:right="20" w:firstLine="436"/>
        <w:spacing w:after="0" w:line="269" w:lineRule="auto"/>
        <w:tabs>
          <w:tab w:leader="none" w:pos="695"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obligations of such Lender to make, maintain, fund or continue Eurodollar Loans or to convert ABR Borrowings to Eurodollar Borrowings will be suspended until such Lender notifies the Administrative Agent and the Borrower that the circumstances giving rise to such determination no longer exist. Upon receipt of such notice, the Borrower will upon demand from such Lender (with a copy to the Administrative Agent), either convert or prepay all Eurodollar Borrowings of such Lender to ABR Borrowings, either on the last day of the Interest Period therefor, if such Lender may lawfully continue to maintain such Eurodollar Borrowings to such day, or immediately, if such Lender may not lawfully continue to maintain such Loans. Upon any such conversion or prepayment, the Borrower will also pay accrued interest on the amount so converted or prepaid.</w:t>
      </w:r>
    </w:p>
    <w:p>
      <w:pPr>
        <w:spacing w:after="0" w:line="185" w:lineRule="exact"/>
        <w:rPr>
          <w:rFonts w:ascii="Arial" w:cs="Arial" w:eastAsia="Arial" w:hAnsi="Arial"/>
          <w:sz w:val="17"/>
          <w:szCs w:val="17"/>
          <w:color w:val="auto"/>
        </w:rPr>
      </w:pPr>
    </w:p>
    <w:p>
      <w:pPr>
        <w:ind w:firstLine="436"/>
        <w:spacing w:after="0" w:line="269" w:lineRule="auto"/>
        <w:tabs>
          <w:tab w:leader="none" w:pos="685"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rFonts w:ascii="Arial" w:cs="Arial" w:eastAsia="Arial" w:hAnsi="Arial"/>
          <w:sz w:val="17"/>
          <w:szCs w:val="17"/>
          <w:color w:val="auto"/>
        </w:rPr>
      </w:pPr>
    </w:p>
    <w:p>
      <w:pPr>
        <w:ind w:right="160" w:firstLine="436"/>
        <w:spacing w:after="0" w:line="263" w:lineRule="auto"/>
        <w:tabs>
          <w:tab w:leader="none" w:pos="69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288" w:name="page289"/>
    <w:bookmarkEnd w:id="288"/>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w:t>
      </w:r>
    </w:p>
    <w:p>
      <w:pPr>
        <w:jc w:val="both"/>
        <w:ind w:left="4" w:right="380" w:hanging="4"/>
        <w:spacing w:after="0" w:line="255" w:lineRule="auto"/>
        <w:tabs>
          <w:tab w:leader="none" w:pos="24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189"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ind w:left="4" w:right="80" w:firstLine="436"/>
        <w:spacing w:after="0" w:line="270" w:lineRule="auto"/>
        <w:tabs>
          <w:tab w:leader="none" w:pos="669" w:val="left"/>
        </w:tabs>
        <w:numPr>
          <w:ilvl w:val="1"/>
          <w:numId w:val="342"/>
        </w:numPr>
        <w:rPr>
          <w:rFonts w:ascii="Arial" w:cs="Arial" w:eastAsia="Arial" w:hAnsi="Arial"/>
          <w:sz w:val="17"/>
          <w:szCs w:val="17"/>
          <w:color w:val="auto"/>
        </w:rPr>
      </w:pPr>
      <w:r>
        <w:rPr>
          <w:rFonts w:ascii="Arial" w:cs="Arial" w:eastAsia="Arial" w:hAnsi="Arial"/>
          <w:sz w:val="17"/>
          <w:szCs w:val="17"/>
          <w:color w:val="auto"/>
        </w:rPr>
        <w:t>The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0" w:lineRule="exact"/>
        <w:rPr>
          <w:rFonts w:ascii="Arial" w:cs="Arial" w:eastAsia="Arial" w:hAnsi="Arial"/>
          <w:sz w:val="17"/>
          <w:szCs w:val="17"/>
          <w:color w:val="auto"/>
        </w:rPr>
      </w:pPr>
    </w:p>
    <w:p>
      <w:pPr>
        <w:ind w:left="4" w:right="40" w:firstLine="436"/>
        <w:spacing w:after="0" w:line="269" w:lineRule="auto"/>
        <w:tabs>
          <w:tab w:leader="none" w:pos="699" w:val="left"/>
        </w:tabs>
        <w:numPr>
          <w:ilvl w:val="1"/>
          <w:numId w:val="342"/>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289" w:name="page290"/>
    <w:bookmarkEnd w:id="289"/>
    <w:p>
      <w:pPr>
        <w:ind w:right="20" w:firstLine="436"/>
        <w:spacing w:after="0" w:line="296" w:lineRule="auto"/>
        <w:tabs>
          <w:tab w:leader="none" w:pos="695"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1080" w:hanging="221"/>
        <w:spacing w:after="0"/>
        <w:tabs>
          <w:tab w:leader="none" w:pos="10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w:t>
      </w:r>
    </w:p>
    <w:p>
      <w:pPr>
        <w:spacing w:after="0" w:line="34" w:lineRule="exact"/>
        <w:rPr>
          <w:rFonts w:ascii="Arial" w:cs="Arial" w:eastAsia="Arial" w:hAnsi="Arial"/>
          <w:sz w:val="17"/>
          <w:szCs w:val="17"/>
          <w:color w:val="auto"/>
        </w:rPr>
      </w:pPr>
    </w:p>
    <w:p>
      <w:pPr>
        <w:ind w:left="440" w:right="20"/>
        <w:spacing w:after="0" w:line="260" w:lineRule="auto"/>
        <w:rPr>
          <w:rFonts w:ascii="Arial" w:cs="Arial" w:eastAsia="Arial" w:hAnsi="Arial"/>
          <w:sz w:val="17"/>
          <w:szCs w:val="17"/>
          <w:color w:val="auto"/>
        </w:rPr>
      </w:pPr>
      <w:r>
        <w:rPr>
          <w:rFonts w:ascii="Arial" w:cs="Arial" w:eastAsia="Arial" w:hAnsi="Arial"/>
          <w:sz w:val="18"/>
          <w:szCs w:val="18"/>
          <w:color w:val="auto"/>
        </w:rPr>
        <w:t>requirement, insurance charge or other assessment) against assets of, deposits with or for the account of, or credit extended by, any Lender (except any such reserve requirement reflected in the Adjusted LIBO Rate) or the Issuing Bank;</w:t>
      </w:r>
    </w:p>
    <w:p>
      <w:pPr>
        <w:spacing w:after="0" w:line="77" w:lineRule="exact"/>
        <w:rPr>
          <w:rFonts w:ascii="Arial" w:cs="Arial" w:eastAsia="Arial" w:hAnsi="Arial"/>
          <w:sz w:val="17"/>
          <w:szCs w:val="17"/>
          <w:color w:val="auto"/>
        </w:rPr>
      </w:pPr>
    </w:p>
    <w:p>
      <w:pPr>
        <w:ind w:left="440" w:right="500" w:firstLine="419"/>
        <w:spacing w:after="0" w:line="277" w:lineRule="auto"/>
        <w:tabs>
          <w:tab w:leader="none" w:pos="112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62" w:lineRule="exact"/>
        <w:rPr>
          <w:rFonts w:ascii="Arial" w:cs="Arial" w:eastAsia="Arial" w:hAnsi="Arial"/>
          <w:sz w:val="18"/>
          <w:szCs w:val="18"/>
          <w:color w:val="auto"/>
        </w:rPr>
      </w:pPr>
    </w:p>
    <w:p>
      <w:pPr>
        <w:jc w:val="both"/>
        <w:ind w:left="440" w:right="20" w:firstLine="419"/>
        <w:spacing w:after="0" w:line="263" w:lineRule="auto"/>
        <w:tabs>
          <w:tab w:leader="none" w:pos="117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78" w:lineRule="exact"/>
        <w:rPr>
          <w:sz w:val="20"/>
          <w:szCs w:val="20"/>
          <w:color w:val="auto"/>
        </w:rPr>
      </w:pPr>
    </w:p>
    <w:p>
      <w:pPr>
        <w:ind w:firstLine="436"/>
        <w:spacing w:after="0" w:line="290" w:lineRule="auto"/>
        <w:tabs>
          <w:tab w:leader="none" w:pos="69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290" w:name="page291"/>
    <w:bookmarkEnd w:id="290"/>
    <w:p>
      <w:pPr>
        <w:ind w:left="4" w:right="80" w:firstLine="436"/>
        <w:spacing w:after="0" w:line="259" w:lineRule="auto"/>
        <w:tabs>
          <w:tab w:leader="none" w:pos="689"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ind w:left="4" w:right="20" w:firstLine="436"/>
        <w:spacing w:after="0" w:line="293" w:lineRule="auto"/>
        <w:tabs>
          <w:tab w:leader="none" w:pos="69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4"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Except as otherwise set forth herein, the Borrower will compensate each Lender for the actual out-of-pocket loss, cost and expense (excluding loss of anticipated profits) attributable to the following events: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w:t>
      </w:r>
    </w:p>
    <w:p>
      <w:pPr>
        <w:spacing w:after="0" w:line="1" w:lineRule="exact"/>
        <w:rPr>
          <w:sz w:val="20"/>
          <w:szCs w:val="20"/>
          <w:color w:val="auto"/>
        </w:rPr>
      </w:pPr>
    </w:p>
    <w:p>
      <w:pPr>
        <w:ind w:left="4" w:hanging="4"/>
        <w:spacing w:after="0" w:line="253" w:lineRule="auto"/>
        <w:tabs>
          <w:tab w:leader="none" w:pos="24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failure to borrow, convert, continue or prepay any Eurodollar Loan on the date specified in any notice delivered pursuant hereto, or (d) the assignment of any Eurodollar Loan other than on the last day of the Interest Period applicable thereto as a result of a request by the Borrower pursuant to Section 2.19 or 9.02(d).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9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Withholding of Taxes; Gross-Up</w:t>
      </w:r>
      <w:r>
        <w:rPr>
          <w:rFonts w:ascii="Arial" w:cs="Arial" w:eastAsia="Arial" w:hAnsi="Arial"/>
          <w:sz w:val="17"/>
          <w:szCs w:val="17"/>
          <w:color w:val="auto"/>
        </w:rPr>
        <w:t xml:space="preserve">. (a) </w:t>
      </w: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291" w:name="page292"/>
    <w:bookmarkEnd w:id="291"/>
    <w:p>
      <w:pPr>
        <w:ind w:left="-40" w:right="300" w:firstLine="436"/>
        <w:spacing w:after="0" w:line="277" w:lineRule="auto"/>
        <w:tabs>
          <w:tab w:leader="none" w:pos="65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Other Taxes by the Loan Parties.</w:t>
      </w:r>
      <w:r>
        <w:rPr>
          <w:rFonts w:ascii="Arial" w:cs="Arial" w:eastAsia="Arial" w:hAnsi="Arial"/>
          <w:sz w:val="18"/>
          <w:szCs w:val="18"/>
          <w:color w:val="auto"/>
        </w:rPr>
        <w:t xml:space="preserve"> The Loan Parties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ind w:left="-40" w:right="40" w:firstLine="436"/>
        <w:spacing w:after="0" w:line="259" w:lineRule="auto"/>
        <w:tabs>
          <w:tab w:leader="none" w:pos="645"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Evidence of Payment.</w:t>
      </w:r>
      <w:r>
        <w:rPr>
          <w:rFonts w:ascii="Arial" w:cs="Arial" w:eastAsia="Arial" w:hAnsi="Arial"/>
          <w:sz w:val="18"/>
          <w:szCs w:val="18"/>
          <w:color w:val="auto"/>
        </w:rPr>
        <w:t xml:space="preserve"> Upon the request of the Administrative Agent,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40" w:right="60" w:firstLine="436"/>
        <w:spacing w:after="0" w:line="293" w:lineRule="auto"/>
        <w:tabs>
          <w:tab w:leader="none" w:pos="655"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64" w:lineRule="exact"/>
        <w:rPr>
          <w:rFonts w:ascii="Arial" w:cs="Arial" w:eastAsia="Arial" w:hAnsi="Arial"/>
          <w:sz w:val="16"/>
          <w:szCs w:val="16"/>
          <w:color w:val="auto"/>
        </w:rPr>
      </w:pPr>
    </w:p>
    <w:p>
      <w:pPr>
        <w:ind w:left="-40" w:firstLine="436"/>
        <w:spacing w:after="0" w:line="269" w:lineRule="auto"/>
        <w:tabs>
          <w:tab w:leader="none" w:pos="645"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5" w:lineRule="exact"/>
        <w:rPr>
          <w:rFonts w:ascii="Arial" w:cs="Arial" w:eastAsia="Arial" w:hAnsi="Arial"/>
          <w:sz w:val="17"/>
          <w:szCs w:val="17"/>
          <w:color w:val="auto"/>
        </w:rPr>
      </w:pPr>
    </w:p>
    <w:p>
      <w:pPr>
        <w:ind w:left="-40" w:right="60" w:firstLine="436"/>
        <w:spacing w:after="0" w:line="293" w:lineRule="auto"/>
        <w:tabs>
          <w:tab w:leader="none" w:pos="625"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40"/>
          </w:cols>
          <w:pgMar w:left="480" w:top="274" w:right="479" w:bottom="1440" w:gutter="0" w:footer="0" w:header="0"/>
        </w:sectPr>
      </w:pPr>
    </w:p>
    <w:bookmarkStart w:id="292" w:name="page293"/>
    <w:bookmarkEnd w:id="29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sz w:val="20"/>
          <w:szCs w:val="20"/>
          <w:color w:val="auto"/>
        </w:rPr>
      </w:pPr>
    </w:p>
    <w:p>
      <w:pPr>
        <w:ind w:left="1120" w:hanging="261"/>
        <w:spacing w:after="0"/>
        <w:tabs>
          <w:tab w:leader="none" w:pos="11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676"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140" w:firstLine="408"/>
        <w:spacing w:after="0" w:line="259" w:lineRule="auto"/>
        <w:tabs>
          <w:tab w:leader="none" w:pos="1666"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whichever of the following is applicable:</w:t>
      </w:r>
    </w:p>
    <w:p>
      <w:pPr>
        <w:spacing w:after="0" w:line="78" w:lineRule="exact"/>
        <w:rPr>
          <w:rFonts w:ascii="Arial" w:cs="Arial" w:eastAsia="Arial" w:hAnsi="Arial"/>
          <w:sz w:val="18"/>
          <w:szCs w:val="18"/>
          <w:color w:val="auto"/>
        </w:rPr>
      </w:pPr>
    </w:p>
    <w:p>
      <w:pPr>
        <w:ind w:left="1420" w:right="180" w:firstLine="391"/>
        <w:spacing w:after="0" w:line="255" w:lineRule="auto"/>
        <w:tabs>
          <w:tab w:leader="none" w:pos="2058" w:val="left"/>
        </w:tabs>
        <w:numPr>
          <w:ilvl w:val="3"/>
          <w:numId w:val="34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1420" w:right="360" w:firstLine="391"/>
        <w:spacing w:after="0" w:line="277" w:lineRule="auto"/>
        <w:tabs>
          <w:tab w:leader="none" w:pos="2058" w:val="left"/>
        </w:tabs>
        <w:numPr>
          <w:ilvl w:val="3"/>
          <w:numId w:val="349"/>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an executed copy of IRS Form W-8ECI;</w:t>
      </w:r>
    </w:p>
    <w:p>
      <w:pPr>
        <w:spacing w:after="0" w:line="62" w:lineRule="exact"/>
        <w:rPr>
          <w:rFonts w:ascii="Arial" w:cs="Arial" w:eastAsia="Arial" w:hAnsi="Arial"/>
          <w:sz w:val="18"/>
          <w:szCs w:val="18"/>
          <w:color w:val="auto"/>
        </w:rPr>
      </w:pPr>
    </w:p>
    <w:p>
      <w:pPr>
        <w:ind w:left="1420" w:right="180" w:firstLine="391"/>
        <w:spacing w:after="0" w:line="287" w:lineRule="auto"/>
        <w:tabs>
          <w:tab w:leader="none" w:pos="2058" w:val="left"/>
        </w:tabs>
        <w:numPr>
          <w:ilvl w:val="3"/>
          <w:numId w:val="349"/>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w:t>
      </w:r>
    </w:p>
    <w:p>
      <w:pPr>
        <w:spacing w:after="0" w:line="2" w:lineRule="exact"/>
        <w:rPr>
          <w:rFonts w:ascii="Arial" w:cs="Arial" w:eastAsia="Arial" w:hAnsi="Arial"/>
          <w:sz w:val="16"/>
          <w:szCs w:val="16"/>
          <w:color w:val="auto"/>
        </w:rPr>
      </w:pPr>
    </w:p>
    <w:p>
      <w:pPr>
        <w:ind w:left="1420" w:right="520" w:firstLine="8"/>
        <w:spacing w:after="0" w:line="290" w:lineRule="auto"/>
        <w:tabs>
          <w:tab w:leader="none" w:pos="1705" w:val="left"/>
        </w:tabs>
        <w:numPr>
          <w:ilvl w:val="2"/>
          <w:numId w:val="349"/>
        </w:numPr>
        <w:rPr>
          <w:rFonts w:ascii="Arial" w:cs="Arial" w:eastAsia="Arial" w:hAnsi="Arial"/>
          <w:sz w:val="17"/>
          <w:szCs w:val="17"/>
          <w:color w:val="auto"/>
        </w:rPr>
      </w:pPr>
      <w:r>
        <w:rPr>
          <w:rFonts w:ascii="Arial" w:cs="Arial" w:eastAsia="Arial" w:hAnsi="Arial"/>
          <w:sz w:val="17"/>
          <w:szCs w:val="17"/>
          <w:color w:val="auto"/>
        </w:rPr>
        <w:t>of the Code, or a “controlled foreign corporation” described in Section 881(c)(3)(C) of the Code (a “</w:t>
      </w:r>
      <w:r>
        <w:rPr>
          <w:rFonts w:ascii="Arial" w:cs="Arial" w:eastAsia="Arial" w:hAnsi="Arial"/>
          <w:sz w:val="17"/>
          <w:szCs w:val="17"/>
          <w:u w:val="single" w:color="auto"/>
          <w:color w:val="auto"/>
        </w:rPr>
        <w:t>U.S.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and (y) an executed copy of IRS Form W-8BEN or IRS Form W-8BEN-E, as applicable;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4" w:right="439" w:bottom="1440" w:gutter="0" w:footer="0" w:header="0"/>
        </w:sectPr>
      </w:pPr>
    </w:p>
    <w:bookmarkStart w:id="293" w:name="page294"/>
    <w:bookmarkEnd w:id="293"/>
    <w:p>
      <w:pPr>
        <w:ind w:left="1420" w:right="120" w:firstLine="391"/>
        <w:spacing w:after="0" w:line="273" w:lineRule="auto"/>
        <w:tabs>
          <w:tab w:leader="none" w:pos="2058" w:val="left"/>
        </w:tabs>
        <w:numPr>
          <w:ilvl w:val="1"/>
          <w:numId w:val="3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a Foreign Lender is not the beneficial owner, an executed copy of IRS Form W-8IMY, accompanied by IRS Form W-8ECI, IRS Form W-8BEN or IRS Form W-8BEN-E, as applicable, a U.S. Tax Compliance Certificate substantially in the form of Exhibit E-2 or Exhibit E-3,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69" w:lineRule="exact"/>
        <w:rPr>
          <w:rFonts w:ascii="Arial" w:cs="Arial" w:eastAsia="Arial" w:hAnsi="Arial"/>
          <w:sz w:val="17"/>
          <w:szCs w:val="17"/>
          <w:color w:val="auto"/>
        </w:rPr>
      </w:pPr>
    </w:p>
    <w:p>
      <w:pPr>
        <w:ind w:left="980" w:right="160" w:firstLine="408"/>
        <w:spacing w:after="0" w:line="293" w:lineRule="auto"/>
        <w:tabs>
          <w:tab w:leader="none" w:pos="166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80" w:right="20" w:firstLine="408"/>
        <w:spacing w:after="0" w:line="270" w:lineRule="auto"/>
        <w:tabs>
          <w:tab w:leader="none" w:pos="1676"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294" w:name="page295"/>
    <w:bookmarkEnd w:id="294"/>
    <w:p>
      <w:pPr>
        <w:ind w:firstLine="436"/>
        <w:spacing w:after="0" w:line="268" w:lineRule="auto"/>
        <w:tabs>
          <w:tab w:leader="none" w:pos="695"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auto"/>
        </w:rPr>
      </w:pPr>
    </w:p>
    <w:p>
      <w:pPr>
        <w:ind w:right="680" w:firstLine="436"/>
        <w:spacing w:after="0" w:line="263" w:lineRule="auto"/>
        <w:tabs>
          <w:tab w:leader="none" w:pos="695"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Section 2.17, the term “Lender” includes any Issuing Bank and the term “applicable law” includes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211"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Payments Generally; Allocation of Proceeds; Sharing of Setoffs</w:t>
      </w:r>
      <w:r>
        <w:rPr>
          <w:rFonts w:ascii="Arial" w:cs="Arial" w:eastAsia="Arial" w:hAnsi="Arial"/>
          <w:sz w:val="17"/>
          <w:szCs w:val="17"/>
          <w:color w:val="auto"/>
        </w:rPr>
        <w:t>. Unless otherwise expressly specified herein, (a) the Borrower shall make each payment or prepayment required to be made by them hereunder (whether of principal, interest, fees or reimbursement of LC Disbursements, or of amounts payable under Section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295" w:name="page296"/>
    <w:bookmarkEnd w:id="295"/>
    <w:p>
      <w:pPr>
        <w:ind w:left="-20" w:firstLine="436"/>
        <w:spacing w:after="0" w:line="267" w:lineRule="auto"/>
        <w:tabs>
          <w:tab w:leader="none" w:pos="675" w:val="left"/>
        </w:tabs>
        <w:numPr>
          <w:ilvl w:val="0"/>
          <w:numId w:val="3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payments and any proceeds of Collateral received by the Administrative Agent (i) not constituting either (A) a specific payment of principal, interest, fees or other sum payable under the Loan Documents (which shall be applied as specified by the Borrower),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 any fees, indemnities, or expense reimbursements then due to the Administrative Agent and the Issuing Bank from the Borrower (other than in connection with Banking Services Obligations or Swap Agreement Obligations),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 any fees, indemnities, or expense reimbursements then due to the Lenders from the Borrower (other than in connection with Banking Services Obligations or Swap Agreement Obligations),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 interest due in respect of the Overadvances and Protective Advances,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 the principal of the Overadvances and Protective Advances,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pay interest then due and payable on the Loans (other than the Overadvances and Protective Advances) ratably,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prepay principal on the Loans (other than the Overadvances and Protective Advances) and unreimbursed LC Disbursements, to pay an amount to the Administrative Agent equal to one hundred five percent (105%) of the aggregate LC Exposure, to be held as cash collateral for such Obligations, and to pay any amounts owing in respect of Swap Agreement Obligations up to and including the amount most recently provided to the Administrative Agent pursuant to Section 2.22, for which Reserves have been established, ratably,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payment of any amounts owing in respect of Banking Services Obligations up to and including the amount most recently provided to the Administrative Agent pursuant to Section 2.22, and </w:t>
      </w:r>
      <w:r>
        <w:rPr>
          <w:rFonts w:ascii="Arial" w:cs="Arial" w:eastAsia="Arial" w:hAnsi="Arial"/>
          <w:sz w:val="17"/>
          <w:szCs w:val="17"/>
          <w:u w:val="single" w:color="auto"/>
          <w:color w:val="auto"/>
        </w:rPr>
        <w:t>eighth</w:t>
      </w:r>
      <w:r>
        <w:rPr>
          <w:rFonts w:ascii="Arial" w:cs="Arial" w:eastAsia="Arial" w:hAnsi="Arial"/>
          <w:sz w:val="17"/>
          <w:szCs w:val="17"/>
          <w:color w:val="auto"/>
        </w:rPr>
        <w:t>, to the payment of any other Secured Obligation due to the Administrative Agent or any Lender by the Borrower</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that it receives to any Eurodollar Loan of a Class, except (a) on the expiration date of the Interest Period applicable thereto or (b) in the event, and only to the extent, that there are no outstanding ABR Loans of the same Class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83" w:lineRule="exact"/>
        <w:rPr>
          <w:rFonts w:ascii="Arial" w:cs="Arial" w:eastAsia="Arial" w:hAnsi="Arial"/>
          <w:sz w:val="17"/>
          <w:szCs w:val="17"/>
          <w:color w:val="auto"/>
        </w:rPr>
      </w:pPr>
    </w:p>
    <w:p>
      <w:pPr>
        <w:ind w:left="-20" w:right="80" w:firstLine="436"/>
        <w:spacing w:after="0" w:line="288" w:lineRule="auto"/>
        <w:tabs>
          <w:tab w:leader="none" w:pos="66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60" w:top="274" w:right="459" w:bottom="1440" w:gutter="0" w:footer="0" w:header="0"/>
        </w:sectPr>
      </w:pPr>
    </w:p>
    <w:bookmarkStart w:id="296" w:name="page297"/>
    <w:bookmarkEnd w:id="296"/>
    <w:p>
      <w:pPr>
        <w:ind w:left="-20" w:firstLine="436"/>
        <w:spacing w:after="0" w:line="268" w:lineRule="auto"/>
        <w:tabs>
          <w:tab w:leader="none" w:pos="675" w:val="left"/>
        </w:tabs>
        <w:numPr>
          <w:ilvl w:val="0"/>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rFonts w:ascii="Arial" w:cs="Arial" w:eastAsia="Arial" w:hAnsi="Arial"/>
          <w:sz w:val="17"/>
          <w:szCs w:val="17"/>
          <w:color w:val="auto"/>
        </w:rPr>
      </w:pPr>
    </w:p>
    <w:p>
      <w:pPr>
        <w:ind w:left="-20" w:firstLine="436"/>
        <w:spacing w:after="0" w:line="289" w:lineRule="auto"/>
        <w:tabs>
          <w:tab w:leader="none" w:pos="66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to the Administrative Agent pursuant to Section 2.11(e)), notice from the Borrower that the Borrower will not make such payment or prepayment, the Administrative Agent may assume that the Borrower have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6" w:lineRule="exact"/>
        <w:rPr>
          <w:rFonts w:ascii="Arial" w:cs="Arial" w:eastAsia="Arial" w:hAnsi="Arial"/>
          <w:sz w:val="16"/>
          <w:szCs w:val="16"/>
          <w:color w:val="auto"/>
        </w:rPr>
      </w:pPr>
    </w:p>
    <w:p>
      <w:pPr>
        <w:ind w:left="-20" w:firstLine="436"/>
        <w:spacing w:after="0" w:line="263" w:lineRule="auto"/>
        <w:tabs>
          <w:tab w:leader="none" w:pos="64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Administrative Agent may from time to time provide the Borrower with account statements or invoices with respect to any of the Secured Obligations (the “</w:t>
      </w:r>
      <w:r>
        <w:rPr>
          <w:rFonts w:ascii="Arial" w:cs="Arial" w:eastAsia="Arial" w:hAnsi="Arial"/>
          <w:sz w:val="18"/>
          <w:szCs w:val="18"/>
          <w:u w:val="single" w:color="auto"/>
          <w:color w:val="auto"/>
        </w:rPr>
        <w:t>Statements</w:t>
      </w:r>
      <w:r>
        <w:rPr>
          <w:rFonts w:ascii="Arial" w:cs="Arial" w:eastAsia="Arial" w:hAnsi="Arial"/>
          <w:sz w:val="18"/>
          <w:szCs w:val="18"/>
          <w:color w:val="auto"/>
        </w:rPr>
        <w:t>”). The Administrative Agent is under no duty or obligation to provide Statements, which, if provided, will be solely for the Borrower’s convenience. Statements may contain estimates of the amounts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60" w:top="274" w:right="479" w:bottom="1440" w:gutter="0" w:footer="0" w:header="0"/>
        </w:sectPr>
      </w:pPr>
    </w:p>
    <w:bookmarkStart w:id="297" w:name="page298"/>
    <w:bookmarkEnd w:id="29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72" w:lineRule="auto"/>
        <w:tabs>
          <w:tab w:leader="none" w:pos="68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ind w:firstLine="436"/>
        <w:spacing w:after="0" w:line="285" w:lineRule="auto"/>
        <w:tabs>
          <w:tab w:leader="none" w:pos="69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298" w:name="page299"/>
    <w:bookmarkEnd w:id="29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assignment need not be a party thereto in order for such assignment to be effective and shall be deemed to have consented to an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680" w:hanging="244"/>
        <w:spacing w:after="0"/>
        <w:tabs>
          <w:tab w:leader="none" w:pos="68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Revolving Commitment of such Defaulting Lender pursuant to Section 2.12(a);</w:t>
      </w:r>
    </w:p>
    <w:p>
      <w:pPr>
        <w:spacing w:after="0" w:line="236" w:lineRule="exact"/>
        <w:rPr>
          <w:rFonts w:ascii="Arial" w:cs="Arial" w:eastAsia="Arial" w:hAnsi="Arial"/>
          <w:sz w:val="17"/>
          <w:szCs w:val="17"/>
          <w:color w:val="auto"/>
        </w:rPr>
      </w:pPr>
    </w:p>
    <w:p>
      <w:pPr>
        <w:ind w:right="20" w:firstLine="436"/>
        <w:spacing w:after="0" w:line="284" w:lineRule="auto"/>
        <w:tabs>
          <w:tab w:leader="none" w:pos="69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Issuing Bank 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LC Exposure with respect to such Defaulting Lender in accordance with this Section;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299" w:name="page300"/>
    <w:bookmarkEnd w:id="299"/>
    <w:p>
      <w:pPr>
        <w:jc w:val="both"/>
        <w:ind w:left="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65" w:lineRule="exact"/>
        <w:rPr>
          <w:sz w:val="20"/>
          <w:szCs w:val="20"/>
          <w:color w:val="auto"/>
        </w:rPr>
      </w:pPr>
    </w:p>
    <w:p>
      <w:pPr>
        <w:ind w:left="4" w:right="60" w:firstLine="436"/>
        <w:spacing w:after="0" w:line="286" w:lineRule="auto"/>
        <w:tabs>
          <w:tab w:leader="none" w:pos="689" w:val="left"/>
        </w:tabs>
        <w:numPr>
          <w:ilvl w:val="1"/>
          <w:numId w:val="357"/>
        </w:numPr>
        <w:rPr>
          <w:rFonts w:ascii="Arial" w:cs="Arial" w:eastAsia="Arial" w:hAnsi="Arial"/>
          <w:sz w:val="16"/>
          <w:szCs w:val="16"/>
          <w:color w:val="auto"/>
        </w:rPr>
      </w:pPr>
      <w:r>
        <w:rPr>
          <w:rFonts w:ascii="Arial" w:cs="Arial" w:eastAsia="Arial" w:hAnsi="Arial"/>
          <w:sz w:val="16"/>
          <w:szCs w:val="16"/>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or the Supermajority Lenders have taken or may take any action hereunder (including any consent to any amendment, waiver or other modification pursuant to Section 9.02) or under any other Loan Document; provided, that, except as otherwise provided in Section 9.02, this clause</w:t>
      </w:r>
    </w:p>
    <w:p>
      <w:pPr>
        <w:spacing w:after="0" w:line="1"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shall not apply to the vote of a Defaulting Lender in the case of an amendment, waiver or other modification requiring the consent of such Lender or each Lender directly affected thereby;</w:t>
      </w:r>
    </w:p>
    <w:p>
      <w:pPr>
        <w:spacing w:after="0" w:line="185" w:lineRule="exact"/>
        <w:rPr>
          <w:rFonts w:ascii="Arial" w:cs="Arial" w:eastAsia="Arial" w:hAnsi="Arial"/>
          <w:sz w:val="18"/>
          <w:szCs w:val="18"/>
          <w:color w:val="auto"/>
        </w:rPr>
      </w:pPr>
    </w:p>
    <w:p>
      <w:pPr>
        <w:ind w:left="704" w:hanging="264"/>
        <w:spacing w:after="0"/>
        <w:tabs>
          <w:tab w:leader="none" w:pos="704"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117" w:lineRule="exact"/>
        <w:rPr>
          <w:rFonts w:ascii="Arial" w:cs="Arial" w:eastAsia="Arial" w:hAnsi="Arial"/>
          <w:sz w:val="18"/>
          <w:szCs w:val="18"/>
          <w:color w:val="auto"/>
        </w:rPr>
      </w:pPr>
    </w:p>
    <w:p>
      <w:pPr>
        <w:ind w:left="444" w:firstLine="419"/>
        <w:spacing w:after="0" w:line="263" w:lineRule="auto"/>
        <w:tabs>
          <w:tab w:leader="none" w:pos="1082" w:val="left"/>
        </w:tabs>
        <w:numPr>
          <w:ilvl w:val="2"/>
          <w:numId w:val="358"/>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75" w:lineRule="exact"/>
        <w:rPr>
          <w:rFonts w:ascii="Arial" w:cs="Arial" w:eastAsia="Arial" w:hAnsi="Arial"/>
          <w:sz w:val="18"/>
          <w:szCs w:val="18"/>
          <w:color w:val="auto"/>
        </w:rPr>
      </w:pPr>
    </w:p>
    <w:p>
      <w:pPr>
        <w:ind w:left="444" w:right="20" w:firstLine="419"/>
        <w:spacing w:after="0" w:line="301" w:lineRule="auto"/>
        <w:tabs>
          <w:tab w:leader="none" w:pos="1132" w:val="left"/>
        </w:tabs>
        <w:numPr>
          <w:ilvl w:val="2"/>
          <w:numId w:val="358"/>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(i) above cannot, or can only partially, be effected, the Borrower shall within one (1) Business Day following notice by the Administrative Agent (x)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prepay such Swingline Exposure and (y) </w:t>
      </w:r>
      <w:r>
        <w:rPr>
          <w:rFonts w:ascii="Arial" w:cs="Arial" w:eastAsia="Arial" w:hAnsi="Arial"/>
          <w:sz w:val="16"/>
          <w:szCs w:val="16"/>
          <w:u w:val="single" w:color="auto"/>
          <w:color w:val="auto"/>
        </w:rPr>
        <w:t>second</w:t>
      </w:r>
      <w:r>
        <w:rPr>
          <w:rFonts w:ascii="Arial" w:cs="Arial" w:eastAsia="Arial" w:hAnsi="Arial"/>
          <w:sz w:val="16"/>
          <w:szCs w:val="16"/>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49" w:lineRule="exact"/>
        <w:rPr>
          <w:rFonts w:ascii="Arial" w:cs="Arial" w:eastAsia="Arial" w:hAnsi="Arial"/>
          <w:sz w:val="16"/>
          <w:szCs w:val="16"/>
          <w:color w:val="auto"/>
        </w:rPr>
      </w:pPr>
    </w:p>
    <w:p>
      <w:pPr>
        <w:ind w:left="444" w:right="40" w:firstLine="419"/>
        <w:spacing w:after="0" w:line="263" w:lineRule="auto"/>
        <w:tabs>
          <w:tab w:leader="none" w:pos="1182" w:val="left"/>
        </w:tabs>
        <w:numPr>
          <w:ilvl w:val="2"/>
          <w:numId w:val="358"/>
        </w:numPr>
        <w:rPr>
          <w:rFonts w:ascii="Arial" w:cs="Arial" w:eastAsia="Arial" w:hAnsi="Arial"/>
          <w:sz w:val="18"/>
          <w:szCs w:val="18"/>
          <w:color w:val="auto"/>
        </w:rPr>
      </w:pPr>
      <w:r>
        <w:rPr>
          <w:rFonts w:ascii="Arial" w:cs="Arial" w:eastAsia="Arial" w:hAnsi="Arial"/>
          <w:sz w:val="18"/>
          <w:szCs w:val="18"/>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75" w:lineRule="exact"/>
        <w:rPr>
          <w:rFonts w:ascii="Arial" w:cs="Arial" w:eastAsia="Arial" w:hAnsi="Arial"/>
          <w:sz w:val="18"/>
          <w:szCs w:val="18"/>
          <w:color w:val="auto"/>
        </w:rPr>
      </w:pPr>
    </w:p>
    <w:p>
      <w:pPr>
        <w:ind w:left="444" w:right="500" w:firstLine="419"/>
        <w:spacing w:after="0" w:line="342" w:lineRule="auto"/>
        <w:tabs>
          <w:tab w:leader="none" w:pos="1172" w:val="left"/>
        </w:tabs>
        <w:numPr>
          <w:ilvl w:val="2"/>
          <w:numId w:val="358"/>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5" w:lineRule="exact"/>
        <w:rPr>
          <w:rFonts w:ascii="Arial" w:cs="Arial" w:eastAsia="Arial" w:hAnsi="Arial"/>
          <w:sz w:val="16"/>
          <w:szCs w:val="16"/>
          <w:color w:val="auto"/>
        </w:rPr>
      </w:pPr>
    </w:p>
    <w:p>
      <w:pPr>
        <w:jc w:val="both"/>
        <w:ind w:left="444" w:right="140" w:firstLine="419"/>
        <w:spacing w:after="0" w:line="259" w:lineRule="auto"/>
        <w:tabs>
          <w:tab w:leader="none" w:pos="1122" w:val="left"/>
        </w:tabs>
        <w:numPr>
          <w:ilvl w:val="2"/>
          <w:numId w:val="358"/>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4"/>
          </w:cols>
          <w:pgMar w:left="436" w:top="274" w:right="479" w:bottom="1440" w:gutter="0" w:footer="0" w:header="0"/>
        </w:sectPr>
      </w:pPr>
    </w:p>
    <w:bookmarkStart w:id="300" w:name="page301"/>
    <w:bookmarkEnd w:id="300"/>
    <w:p>
      <w:pPr>
        <w:ind w:right="20" w:firstLine="436"/>
        <w:spacing w:after="0" w:line="255" w:lineRule="auto"/>
        <w:tabs>
          <w:tab w:leader="none" w:pos="685"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7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If after receipt of any payment that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that may have been taken by the Administrative Agent or any Lender in reliance upon such payment or application of proceeds. The provisions of this Section 2.21 shall survive the termination of this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301" w:name="page302"/>
    <w:bookmarkEnd w:id="301"/>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2.22 </w:t>
      </w:r>
      <w:r>
        <w:rPr>
          <w:rFonts w:ascii="Arial" w:cs="Arial" w:eastAsia="Arial" w:hAnsi="Arial"/>
          <w:sz w:val="16"/>
          <w:szCs w:val="16"/>
          <w:u w:val="single" w:color="auto"/>
          <w:color w:val="auto"/>
        </w:rPr>
        <w:t>Banking Services and Swap Agreements</w:t>
      </w:r>
      <w:r>
        <w:rPr>
          <w:rFonts w:ascii="Arial" w:cs="Arial" w:eastAsia="Arial" w:hAnsi="Arial"/>
          <w:sz w:val="16"/>
          <w:szCs w:val="16"/>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addition, each such Lender or Affiliate (other than any such Person that is an Affiliate of the Administrative Agent)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shall be required to provide any notice described in this Section 2.22 in respect of such Banking Services or Swap Agreements.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Loan Party and each Subsidiary (a) is duly organized or formed, validly existing and in good standing (or comparable concept in the applicable jurisdiction) under the laws of the jurisdiction of its organization, has all requisite power and authority to carry on its business as now conducted and is qualified to do business, and (b) is in good standing (or comparable concept in the applicable jurisdiction), in every material jurisdiction where such qualification is required where the failure of the requirements of this clause (b) to so qualify would, individually or in the aggregate, reasonably be expected to have a Material Adverse Effect.</w:t>
      </w:r>
    </w:p>
    <w:p>
      <w:pPr>
        <w:spacing w:after="0" w:line="176"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for (i) such as have been obtained or made and are in full force and effect, (ii) filings that are necessary to perfect Liens created pursuant to the Loan Documents,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302" w:name="page303"/>
    <w:bookmarkEnd w:id="302"/>
    <w:p>
      <w:pPr>
        <w:ind w:left="324" w:hanging="324"/>
        <w:spacing w:after="0"/>
        <w:tabs>
          <w:tab w:leader="none" w:pos="324" w:val="left"/>
        </w:tabs>
        <w:numPr>
          <w:ilvl w:val="0"/>
          <w:numId w:val="3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filings as may be required under the Securities Exchange Act of 1934, as amended, and applicable stock exchange rules in connection therewith, or</w:t>
      </w:r>
    </w:p>
    <w:p>
      <w:pPr>
        <w:spacing w:after="0" w:line="46" w:lineRule="exact"/>
        <w:rPr>
          <w:rFonts w:ascii="Arial" w:cs="Arial" w:eastAsia="Arial" w:hAnsi="Arial"/>
          <w:sz w:val="16"/>
          <w:szCs w:val="16"/>
          <w:color w:val="auto"/>
        </w:rPr>
      </w:pPr>
    </w:p>
    <w:p>
      <w:pPr>
        <w:ind w:left="4" w:hanging="4"/>
        <w:spacing w:after="0" w:line="268" w:lineRule="auto"/>
        <w:tabs>
          <w:tab w:leader="none" w:pos="30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such actions, consents and approvals the failure of which to be obtained or made would not, individually or in the aggregate, reasonably be expected to have a Material Adverse Effect; (b) will not violate any Requirement of Law applicable to any Loan Party or any Subsidiary; (c) will not violate or result in a default under any indenture, agreement or other instrument binding upon any Loan Party or any Subsidiary or the assets of any Loan Party or any Subsidiary; and (d) will not result in the creation or imposition of, or the requirement to create, any Lien on any asset of any Loan Party or any Subsidiary, except Liens created pursuant to or otherwise permitted under the Loan Documents; except with respect to any conflict, breach, default or violation referred to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solely to the extent that such conflicts, breaches, defaults or violations, either individually or in the aggregate, would not reasonably be expected to have a Material Adverse Effect. Each Loan Party is in material compliance with all applicable Bank Secrecy Act and anti-money laundering laws and regulations.</w:t>
      </w:r>
    </w:p>
    <w:p>
      <w:pPr>
        <w:spacing w:after="0" w:line="183"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Company has heretofore furnished to the Lenders its consolidated balance sheet and statements of income, stockholders equity and cash flows (i) as of and for the fiscal year ended December 31, 2018, reported on by PricewaterhouseCoopers LLP, independent public accountants (ii) as of and for the fiscal year ended December 31, 2019, reported on by PricewaterhouseCoopers LLP, independent public accountants, and (iii) as of and for the fiscal quarter and the portion of the fiscal year ended December 31, 2020,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normal year-end audit adjustments and the absence of footnotes in the case of the statements referred to in clause (ii) above.</w:t>
      </w:r>
    </w:p>
    <w:p>
      <w:pPr>
        <w:spacing w:after="0" w:line="166" w:lineRule="exact"/>
        <w:rPr>
          <w:sz w:val="20"/>
          <w:szCs w:val="20"/>
          <w:color w:val="auto"/>
        </w:rPr>
      </w:pPr>
    </w:p>
    <w:p>
      <w:pPr>
        <w:ind w:left="4" w:right="60" w:firstLine="436"/>
        <w:spacing w:after="0" w:line="277" w:lineRule="auto"/>
        <w:tabs>
          <w:tab w:leader="none" w:pos="69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event, change or condition has occurred that has had, or would reasonably be expected to have, individually or in the aggregate, a Material Adverse Effect, since December 31, 2020.</w:t>
      </w:r>
    </w:p>
    <w:p>
      <w:pPr>
        <w:spacing w:after="0" w:line="170"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Properties</w:t>
      </w:r>
      <w:r>
        <w:rPr>
          <w:rFonts w:ascii="Arial" w:cs="Arial" w:eastAsia="Arial" w:hAnsi="Arial"/>
          <w:sz w:val="17"/>
          <w:szCs w:val="17"/>
          <w:color w:val="auto"/>
        </w:rPr>
        <w:t xml:space="preserve"> . (a) As of the date of this Agreement, Schedule 3.05 sets forth the address of each parcel of real property that is owned or leased by any Loan Party. Each of the Loan Parties and each of its Subsidiaries has good and indefeasible title to, or valid leasehold interests in, real and personal property (subject to Liens permitted pursuant to Section 6.02), free of all Liens, in each case, except where the failure to have such title, interest, or right would not reasonably be expected to have, individually or in the aggregate, a Material Adverse Effect.</w:t>
      </w:r>
    </w:p>
    <w:p>
      <w:pPr>
        <w:spacing w:after="0" w:line="171" w:lineRule="exact"/>
        <w:rPr>
          <w:sz w:val="20"/>
          <w:szCs w:val="20"/>
          <w:color w:val="auto"/>
        </w:rPr>
      </w:pPr>
    </w:p>
    <w:p>
      <w:pPr>
        <w:ind w:left="4" w:right="60" w:firstLine="436"/>
        <w:spacing w:after="0" w:line="259" w:lineRule="auto"/>
        <w:tabs>
          <w:tab w:leader="none" w:pos="69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Each Loan Party and each Subsidiary owns, or has the right to use, all trademarks, tradenames, copyrights, patents and other intellectual property necessary to its business as currently conducted, a correct and complete list of which, as of the date of this Agreement, is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and to the knowledge of the Company, the use thereof by each Loan Party and each Subsidiary does not infringe in any material respect upon the rights of any other Person.</w:t>
      </w:r>
    </w:p>
    <w:p>
      <w:pPr>
        <w:spacing w:after="0" w:line="187" w:lineRule="exact"/>
        <w:rPr>
          <w:sz w:val="20"/>
          <w:szCs w:val="20"/>
          <w:color w:val="auto"/>
        </w:rPr>
      </w:pPr>
    </w:p>
    <w:p>
      <w:pPr>
        <w:jc w:val="both"/>
        <w:ind w:left="4" w:right="20" w:firstLine="440"/>
        <w:spacing w:after="0" w:line="301"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Disclosed Matters) or (ii) that involve any Loan Document or the Transactions.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4"/>
          </w:cols>
          <w:pgMar w:left="436" w:top="274" w:right="479" w:bottom="1440" w:gutter="0" w:footer="0" w:header="0"/>
        </w:sectPr>
      </w:pPr>
    </w:p>
    <w:bookmarkStart w:id="303" w:name="page304"/>
    <w:bookmarkEnd w:id="303"/>
    <w:p>
      <w:pPr>
        <w:ind w:right="180" w:firstLine="436"/>
        <w:spacing w:after="0" w:line="255" w:lineRule="auto"/>
        <w:tabs>
          <w:tab w:leader="none" w:pos="695"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for the Disclosed Matters (i) no Loan Party or any Subsidiary has received written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192" w:lineRule="exact"/>
        <w:rPr>
          <w:rFonts w:ascii="Arial" w:cs="Arial" w:eastAsia="Arial" w:hAnsi="Arial"/>
          <w:sz w:val="18"/>
          <w:szCs w:val="18"/>
          <w:color w:val="auto"/>
        </w:rPr>
      </w:pPr>
    </w:p>
    <w:p>
      <w:pPr>
        <w:ind w:right="360" w:firstLine="436"/>
        <w:spacing w:after="0" w:line="277" w:lineRule="auto"/>
        <w:tabs>
          <w:tab w:leader="none" w:pos="68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 No Default</w:t>
      </w:r>
      <w:r>
        <w:rPr>
          <w:rFonts w:ascii="Arial" w:cs="Arial" w:eastAsia="Arial" w:hAnsi="Arial"/>
          <w:sz w:val="18"/>
          <w:szCs w:val="18"/>
          <w:color w:val="auto"/>
        </w:rPr>
        <w:t>. Except where the failure to do so, individually or in the aggregate, would not reasonably be expected to result in a Material Adverse Effect, each Loan Party and each Subsidiary is in compliance with (a) all Requirement of Law applicable to it or its property and (b) all indentures, agreements and other instruments binding upon it or its property. No Default has occurred and is continuing.</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or any Subsidiary is an “investment company” as defined in, or subject to regulation under, the Investment Company Act of 1940.</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individually or in the aggregate, reasonably be expected to result in a Material Adverse Effect, each Loan Party has timely filed or caused to be filed all federal Tax returns and reports and all other material Tax returns and reports required to have been filed and has paid or caused to be paid all federal and state Taxes and all other material Taxes required to have been paid by it, except Taxes that are being contested in good faith by appropriate proceedings and for which such Loan Party has set aside on its books adequate reserves. To the Borrower’s knowledge, no tax liens have been filed and to the knowledge of Borrower, no claims are being asserted with respect to any such contested Taxes.</w:t>
      </w:r>
    </w:p>
    <w:p>
      <w:pPr>
        <w:spacing w:after="0" w:line="16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304" w:name="page305"/>
    <w:bookmarkEnd w:id="304"/>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 The Loan Parties have disclosed to the Lenders all agreements, instruments and corporate or other restrictions to which any Loan Party or any Subsidiary is subject, that if violated, breached, or terminated for any reason, individually or in the aggregate, would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(when taken as a whole),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representation is made with respect to general economic or industry information and (b) with respect to projected and pro forma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it being understood that such projections may vary from actual results and that such variances may be material.</w:t>
      </w:r>
    </w:p>
    <w:p>
      <w:pPr>
        <w:spacing w:after="0" w:line="168" w:lineRule="exact"/>
        <w:rPr>
          <w:sz w:val="20"/>
          <w:szCs w:val="20"/>
          <w:color w:val="auto"/>
        </w:rPr>
      </w:pPr>
    </w:p>
    <w:p>
      <w:pPr>
        <w:ind w:right="140" w:firstLine="436"/>
        <w:spacing w:after="0" w:line="277" w:lineRule="auto"/>
        <w:tabs>
          <w:tab w:leader="none" w:pos="69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Solvency</w:t>
      </w:r>
      <w:r>
        <w:rPr>
          <w:rFonts w:ascii="Arial" w:cs="Arial" w:eastAsia="Arial" w:hAnsi="Arial"/>
          <w:sz w:val="17"/>
          <w:szCs w:val="17"/>
          <w:color w:val="auto"/>
        </w:rPr>
        <w:t>. (a) Immediately after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not be less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in the ordinary course of business; and (iv) no Loan Party will have unreasonably small capital with which to conduct the business in which it is engaged as such business is now conducted and is proposed to be conducted after the Effective Date.</w:t>
      </w:r>
    </w:p>
    <w:p>
      <w:pPr>
        <w:spacing w:after="0" w:line="177" w:lineRule="exact"/>
        <w:rPr>
          <w:sz w:val="20"/>
          <w:szCs w:val="20"/>
          <w:color w:val="auto"/>
        </w:rPr>
      </w:pPr>
    </w:p>
    <w:p>
      <w:pPr>
        <w:ind w:firstLine="436"/>
        <w:spacing w:after="0" w:line="286" w:lineRule="auto"/>
        <w:tabs>
          <w:tab w:leader="none" w:pos="69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305" w:name="page306"/>
    <w:bookmarkEnd w:id="305"/>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3.14 </w:t>
      </w:r>
      <w:r>
        <w:rPr>
          <w:rFonts w:ascii="Arial" w:cs="Arial" w:eastAsia="Arial" w:hAnsi="Arial"/>
          <w:sz w:val="16"/>
          <w:szCs w:val="16"/>
          <w:u w:val="single" w:color="auto"/>
          <w:color w:val="auto"/>
        </w:rPr>
        <w:t>Insurance</w:t>
      </w:r>
      <w:r>
        <w:rPr>
          <w:rFonts w:ascii="Arial" w:cs="Arial" w:eastAsia="Arial" w:hAnsi="Arial"/>
          <w:sz w:val="16"/>
          <w:szCs w:val="16"/>
          <w:color w:val="auto"/>
        </w:rPr>
        <w:t>. Schedule 3.14 sets forth a description of all material insurance maintained by or on behalf of the Loan Parties and their Subsidiaries as of the Effective Date. As of the Effective Date, except where the failure to do so, individually or in the aggregate, would not reasonably be expected to result in a Material Adverse Effect, all premiums in respect of such insurance have been paid. The Borrower maintains, and has caused each Subsidiary to maintain, with financially sound and reputable insurance companies (or is self-insured),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 Schedule 3.15 sets forth, as of the Effective Date, (a) each Subsidiary of the Company (and whether such Subsidiary is an Immaterial Subsidiary, Foreign Subsidiary or Loan Party), (b) its state (or jurisdiction) of formation, and (c) its relationship to the Company, including the percentage of each class of stock or other Equity Interest owned, directly or indirectly, by a Loan Party or any other Subsidiary. All of the issued and outstanding Equity Interests owned by any Loan Party have been (to the extent such concepts are relevant with respect to such ownership interests) duly authorized and issued and are fully paid and non-assessable. There are no outstanding commitments or other obligations of any Loan Party to issue, and no options, warrants or other rights of any Person to acquire, any shares of any class of capital stock or other equity interests of any Loan Party.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The provisions of the Security Agreement and the other Collateral Documents create legal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valid Liens on all of the Collateral in favor of the Administrative Agent, for the benefit of the Secured Parties, and, with respect to the Loan Parties,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when financing statements in appropriate form are filed in the appropriate filing officer such Liens on the Collateral granted pursuant to the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constitute perfected and continuing Liens on the Collateral, securing the Secured Obligations, on all right, title and interest of the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in such Collateral in which (and to the extent) a security interest can be perfected under Article 9 of the Uniform Commercial Code by the filing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 financing statement, in each case prior to and superior in right of the Lien of any other Person (except for (a) Liens permitted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6.02 and (b) Liens perfected only by possession (including possession of any certificate of title) to the extent the Administrative Agent has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obtained or does not maintain possession of such Collateral), enforceable against the applicable Loan Party and all third parties.</w:t>
      </w:r>
    </w:p>
    <w:p>
      <w:pPr>
        <w:spacing w:after="0" w:line="21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Employment Matters</w:t>
      </w:r>
      <w:r>
        <w:rPr>
          <w:rFonts w:ascii="Arial" w:cs="Arial" w:eastAsia="Arial" w:hAnsi="Arial"/>
          <w:sz w:val="18"/>
          <w:szCs w:val="18"/>
          <w:color w:val="auto"/>
        </w:rPr>
        <w:t>. As of the Effective Date, there are no strikes, lockouts or slowdowns against any Loan Party or any Subsidiary pending or, to the knowledge of any Loan Party, threatened in writing.</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Margin Regulations</w:t>
      </w:r>
      <w:r>
        <w:rPr>
          <w:rFonts w:ascii="Arial" w:cs="Arial" w:eastAsia="Arial" w:hAnsi="Arial"/>
          <w:sz w:val="16"/>
          <w:szCs w:val="16"/>
          <w:color w:val="auto"/>
        </w:rPr>
        <w:t>. No Loan Party is engaged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 Neither the granting of the Loans (or any conversion thereof) nor the use of the proceeds of the Loans will violate, or be inconsistent with, the provisions of Regulation T, Regulation U or Regulation X or any other regulation of the Federal Reserve Board.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3.19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have been used and will be used, whether directly or indirectly as set forth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5.08.</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No Burdensome Restrictions</w:t>
      </w:r>
      <w:r>
        <w:rPr>
          <w:rFonts w:ascii="Arial" w:cs="Arial" w:eastAsia="Arial" w:hAnsi="Arial"/>
          <w:sz w:val="18"/>
          <w:szCs w:val="18"/>
          <w:color w:val="auto"/>
        </w:rPr>
        <w:t>. Except as set forth on Schedule 3.20, no Loan Party is subject to any Burdensome Restrictions except Burdensome Restrictions permitted under Section 6.10.</w:t>
      </w:r>
    </w:p>
    <w:p>
      <w:pPr>
        <w:spacing w:after="0" w:line="17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Each Loan Party and its Subsidiaries has implemented and maintains in effect policies and procedures designed to ensure compliance by such Loan Party, its Subsidiaries and their respective directors, officers, employees and agents with Anti-Corruption Laws and applicable Sanctions, and such Loan Party and its Subsidiaries and, to the knowledge of such Loan Party, its officers, directors, employees and agents, are in compliance with Anti-Corruption Laws and applicable Sanctions in all material respects. None of (a) any Loan Party or any Subsidiary or (b) to the knowledge of any such Loan Party or Subsidiary, any officer, director or agent of such Loan Party or any Subsidiary that will act in any capacity in connection with or benefit from the credit facility established hereby, is a Sanctioned Person.</w:t>
      </w:r>
    </w:p>
    <w:p>
      <w:pPr>
        <w:spacing w:after="0" w:line="16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Common Enterprise</w:t>
      </w:r>
      <w:r>
        <w:rPr>
          <w:rFonts w:ascii="Arial" w:cs="Arial" w:eastAsia="Arial" w:hAnsi="Arial"/>
          <w:sz w:val="16"/>
          <w:szCs w:val="16"/>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directly or indirectly, from (a) successful operations of each of the other Loan Parties and (b) the credit extended by the Lenders to the Borrower hereunder, both in their separate capacities and as members of the group of companies. The applicable governing body of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Term Loan Documents</w:t>
      </w:r>
      <w:r>
        <w:rPr>
          <w:rFonts w:ascii="Arial" w:cs="Arial" w:eastAsia="Arial" w:hAnsi="Arial"/>
          <w:sz w:val="16"/>
          <w:szCs w:val="16"/>
          <w:color w:val="auto"/>
        </w:rPr>
        <w:t>. As of the Effective Date, the Borrower has delivered to the Administrative Agent true and correct copies of the Term Loan Documents and the definitive documentation executed in connection with the issuance of the Series D Preferred Stock. Such documentation is in full force and effect as of the Effective Date and has not been terminated, rescinded or withdrawn as of such date. The execution, delivery and performance of such documentation on the Effective Date does not and will not require any registration with, consent, or approval of, or notice to, or other action with or by, any governmental authority, other than consents or approvals that have been obtained and that are still in full force and effect. This Agreement, the other Loan Documents and the Obligations incurred hereunder and thereunder are permitted to be incurred under such documentation. Each Person that is a guarantor or a borrower under the Term Loan Documents is a Loan Party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0"/>
          </w:cols>
          <w:pgMar w:left="440" w:top="274" w:right="499" w:bottom="1440" w:gutter="0" w:footer="0" w:header="0"/>
        </w:sectPr>
      </w:pPr>
    </w:p>
    <w:bookmarkStart w:id="307" w:name="page308"/>
    <w:bookmarkEnd w:id="30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38" w:lineRule="exact"/>
        <w:rPr>
          <w:sz w:val="20"/>
          <w:szCs w:val="20"/>
          <w:color w:val="auto"/>
        </w:rPr>
      </w:pPr>
    </w:p>
    <w:p>
      <w:pPr>
        <w:ind w:left="4" w:firstLine="436"/>
        <w:spacing w:after="0" w:line="285" w:lineRule="auto"/>
        <w:tabs>
          <w:tab w:leader="none" w:pos="689"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Credit Agreement and Other Loan Documents</w:t>
      </w:r>
      <w:r>
        <w:rPr>
          <w:rFonts w:ascii="Arial" w:cs="Arial" w:eastAsia="Arial" w:hAnsi="Arial"/>
          <w:sz w:val="16"/>
          <w:szCs w:val="16"/>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w:t>
      </w:r>
    </w:p>
    <w:p>
      <w:pPr>
        <w:spacing w:after="0" w:line="1" w:lineRule="exact"/>
        <w:rPr>
          <w:rFonts w:ascii="Arial" w:cs="Arial" w:eastAsia="Arial" w:hAnsi="Arial"/>
          <w:sz w:val="16"/>
          <w:szCs w:val="16"/>
          <w:color w:val="auto"/>
        </w:rPr>
      </w:pPr>
    </w:p>
    <w:p>
      <w:pPr>
        <w:ind w:left="4" w:hanging="4"/>
        <w:spacing w:after="0" w:line="252" w:lineRule="auto"/>
        <w:tabs>
          <w:tab w:leader="none" w:pos="31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from each party thereto a counterpart of the Intercreditor Agreement signed on behalf of such party, and (iv) subject to Section 5.15,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customary written opinion of the Loan Parties’ counsel, addressed to the Administrative Agent, the Issuing Bank and the Lenders and the other Secured Parties, all in form and substance reasonably satisfactory to the Administrative Agent and its counsel.</w:t>
      </w:r>
    </w:p>
    <w:p>
      <w:pPr>
        <w:spacing w:after="0" w:line="193" w:lineRule="exact"/>
        <w:rPr>
          <w:rFonts w:ascii="Arial" w:cs="Arial" w:eastAsia="Arial" w:hAnsi="Arial"/>
          <w:sz w:val="18"/>
          <w:szCs w:val="18"/>
          <w:color w:val="auto"/>
        </w:rPr>
      </w:pPr>
    </w:p>
    <w:p>
      <w:pPr>
        <w:ind w:left="4" w:right="60" w:firstLine="436"/>
        <w:spacing w:after="0" w:line="285" w:lineRule="auto"/>
        <w:tabs>
          <w:tab w:leader="none" w:pos="699"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Financial Statements and Projections</w:t>
      </w:r>
      <w:r>
        <w:rPr>
          <w:rFonts w:ascii="Arial" w:cs="Arial" w:eastAsia="Arial" w:hAnsi="Arial"/>
          <w:sz w:val="16"/>
          <w:szCs w:val="16"/>
          <w:color w:val="auto"/>
        </w:rPr>
        <w:t>. The Lenders shall have received (i) audited consolidated financial statements of the Company for the December 31, 2019 fiscal year, (ii) unaudited interim consolidated financial statements of the Company for the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Company and its Subsidiaries, as reflected in the audited, consolidated financial statements described in clause (i) of this paragraph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satisfactory projections through 2025.</w:t>
      </w:r>
    </w:p>
    <w:p>
      <w:pPr>
        <w:spacing w:after="0" w:line="210" w:lineRule="exact"/>
        <w:rPr>
          <w:rFonts w:ascii="Arial" w:cs="Arial" w:eastAsia="Arial" w:hAnsi="Arial"/>
          <w:sz w:val="18"/>
          <w:szCs w:val="18"/>
          <w:color w:val="auto"/>
        </w:rPr>
      </w:pPr>
    </w:p>
    <w:p>
      <w:pPr>
        <w:ind w:left="4" w:right="200" w:firstLine="436"/>
        <w:spacing w:after="0" w:line="291" w:lineRule="auto"/>
        <w:tabs>
          <w:tab w:leader="none" w:pos="689"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t>Closing Certificates; Certified Certificate of Incorporation; Good Standing Certificates</w:t>
      </w:r>
      <w:r>
        <w:rPr>
          <w:rFonts w:ascii="Arial" w:cs="Arial" w:eastAsia="Arial" w:hAnsi="Arial"/>
          <w:sz w:val="16"/>
          <w:szCs w:val="16"/>
          <w:color w:val="auto"/>
        </w:rPr>
        <w:t>. The Administrative Agent (or its counsel) shall have received (i) a certificate of each Loan Party, dated the Effective Date and executed by its Secretary or Assistant Secretary (which, subject to</w:t>
      </w:r>
    </w:p>
    <w:p>
      <w:pPr>
        <w:ind w:left="4" w:right="20"/>
        <w:spacing w:after="0" w:line="273" w:lineRule="auto"/>
        <w:rPr>
          <w:rFonts w:ascii="Arial" w:cs="Arial" w:eastAsia="Arial" w:hAnsi="Arial"/>
          <w:sz w:val="16"/>
          <w:szCs w:val="16"/>
          <w:color w:val="auto"/>
        </w:rPr>
      </w:pPr>
      <w:r>
        <w:rPr>
          <w:rFonts w:ascii="Arial" w:cs="Arial" w:eastAsia="Arial" w:hAnsi="Arial"/>
          <w:sz w:val="17"/>
          <w:szCs w:val="17"/>
          <w:color w:val="auto"/>
        </w:rPr>
        <w:t>Section 9.06(b), may include any Electronic Signatures transmitted by facsimile, emailed pdf. or any other electronic means that reproduces an image of an actual executed signature page) that shall (A) certify the resolutions of its Board of Directors, members or other body authorizing the execution, delivery and performance of the Loan Documents to which it is a party, (B) identify by name and title and bear the specimen signatures of the officers of such Loan Party authorized to sign the Loan Documents to which it is a party and, in the case of the Borrower,</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308" w:name="page309"/>
    <w:bookmarkEnd w:id="308"/>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Financial Officers (which, subject to Section 9.06(b), may include any Electronic Signatures transmitted by facsimile, emailed pdf. or any other electronic means that reproduces an image of an actual executed signature page),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or other Organization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178" w:lineRule="exact"/>
        <w:rPr>
          <w:sz w:val="20"/>
          <w:szCs w:val="20"/>
          <w:color w:val="auto"/>
        </w:rPr>
      </w:pPr>
    </w:p>
    <w:p>
      <w:pPr>
        <w:ind w:right="20" w:firstLine="436"/>
        <w:spacing w:after="0" w:line="272" w:lineRule="auto"/>
        <w:tabs>
          <w:tab w:leader="none" w:pos="695"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The Administrative Agent (or its counsel) shall have received a certificate, signed by a Financial Officer of the Borrower and each other Loan Party (which, subject to Section 9.06(b), may include any Electronic Signatures transmitted by facsimile, emailed pdf. or any other electronic means that reproduces an image of an actual executed signature page), dated as of the Effective Date (i) stating that no Default has occurred and is continuing at the time of an immediately after the Effective Date and the effectiveness of the Transactions, (ii) stating that the representations and warranties contained in the Loan Documents are true and correct as of such date and (iii) attaching the final executed copy of the Term Loan Credit Agreement, the Securities Purchase Agreement and Certificate of Designation relating to the Series D Preferred Stock and any other material documents related thereto that is requested by the Administrative Agent.</w:t>
      </w:r>
    </w:p>
    <w:p>
      <w:pPr>
        <w:spacing w:after="0" w:line="177"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86" w:lineRule="exact"/>
        <w:rPr>
          <w:rFonts w:ascii="Arial" w:cs="Arial" w:eastAsia="Arial" w:hAnsi="Arial"/>
          <w:sz w:val="18"/>
          <w:szCs w:val="18"/>
          <w:color w:val="auto"/>
        </w:rPr>
      </w:pPr>
    </w:p>
    <w:p>
      <w:pPr>
        <w:ind w:right="20" w:firstLine="436"/>
        <w:spacing w:after="0" w:line="259" w:lineRule="auto"/>
        <w:tabs>
          <w:tab w:leader="none" w:pos="66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(or its counsel) shall have received the results of a recent lien search in each jurisdiction where the Loan Parties are organized and where the material assets of the Loan Parties are located, and such search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186" w:lineRule="exact"/>
        <w:rPr>
          <w:rFonts w:ascii="Arial" w:cs="Arial" w:eastAsia="Arial" w:hAnsi="Arial"/>
          <w:sz w:val="18"/>
          <w:szCs w:val="18"/>
          <w:color w:val="auto"/>
        </w:rPr>
      </w:pPr>
    </w:p>
    <w:p>
      <w:pPr>
        <w:ind w:firstLine="436"/>
        <w:spacing w:after="0" w:line="296" w:lineRule="auto"/>
        <w:tabs>
          <w:tab w:leader="none" w:pos="695"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Pay Off Letter; Termination of Certain Obligations</w:t>
      </w:r>
      <w:r>
        <w:rPr>
          <w:rFonts w:ascii="Arial" w:cs="Arial" w:eastAsia="Arial" w:hAnsi="Arial"/>
          <w:sz w:val="16"/>
          <w:szCs w:val="16"/>
          <w:color w:val="auto"/>
        </w:rPr>
        <w:t>. The Administrative Agent shall have received (i) satisfactory pay-off letters for all existing Indebtedness (including Indebtedness and obligations under the Existing Credit Agreement),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 and (ii) evidence reasonably satisfactory to the Administrative Agent that all Secured Hedge Agreements (as defined in the Existing Credit Agreement) and all obligations thereunder have been terminated.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309" w:name="page310"/>
    <w:bookmarkEnd w:id="309"/>
    <w:p>
      <w:pPr>
        <w:ind w:firstLine="436"/>
        <w:spacing w:after="0" w:line="263" w:lineRule="auto"/>
        <w:tabs>
          <w:tab w:leader="none" w:pos="69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Funding Account</w:t>
      </w:r>
      <w:r>
        <w:rPr>
          <w:rFonts w:ascii="Arial" w:cs="Arial" w:eastAsia="Arial" w:hAnsi="Arial"/>
          <w:sz w:val="18"/>
          <w:szCs w:val="18"/>
          <w:color w:val="auto"/>
        </w:rPr>
        <w:t>. The Administrative Agent shall have received a notice setting forth the deposit account of the Borrower (the “</w:t>
      </w:r>
      <w:r>
        <w:rPr>
          <w:rFonts w:ascii="Arial" w:cs="Arial" w:eastAsia="Arial" w:hAnsi="Arial"/>
          <w:sz w:val="18"/>
          <w:szCs w:val="18"/>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to which the Administrative Agent is authorized by the Borrower to transfer the proceeds of any Borrowings requested or authorized pursuant to this Agreement unless otherwise requested by Borrower.</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Mortgages</w:t>
      </w:r>
      <w:r>
        <w:rPr>
          <w:rFonts w:ascii="Arial" w:cs="Arial" w:eastAsia="Arial" w:hAnsi="Arial"/>
          <w:sz w:val="18"/>
          <w:szCs w:val="18"/>
          <w:color w:val="auto"/>
        </w:rPr>
        <w:t>. Subject to Section 5.15, a Mortgage in respect of each Mortgaged Property described on Schedule 1.02.</w:t>
      </w:r>
    </w:p>
    <w:p>
      <w:pPr>
        <w:spacing w:after="0" w:line="225" w:lineRule="exact"/>
        <w:rPr>
          <w:rFonts w:ascii="Arial" w:cs="Arial" w:eastAsia="Arial" w:hAnsi="Arial"/>
          <w:sz w:val="18"/>
          <w:szCs w:val="18"/>
          <w:color w:val="auto"/>
        </w:rPr>
      </w:pPr>
    </w:p>
    <w:p>
      <w:pPr>
        <w:ind w:right="280" w:firstLine="436"/>
        <w:spacing w:after="0" w:line="342" w:lineRule="auto"/>
        <w:tabs>
          <w:tab w:leader="none" w:pos="655"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Collateral Access and Control Agreements</w:t>
      </w:r>
      <w:r>
        <w:rPr>
          <w:rFonts w:ascii="Arial" w:cs="Arial" w:eastAsia="Arial" w:hAnsi="Arial"/>
          <w:sz w:val="16"/>
          <w:szCs w:val="16"/>
          <w:color w:val="auto"/>
        </w:rPr>
        <w:t>. Subject to Section 5.15, the Administrative Agent shall have received (i) each Collateral Access Agreement required to be provided pursuant to Section 5.14 and (ii) each Control Agreement required to be provided pursuant to Section 5.13.</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The Administrative Agent shall have received a satisfactory solvency certificate signed by a Financial Officer dated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80" w:firstLine="436"/>
        <w:spacing w:after="0" w:line="277" w:lineRule="auto"/>
        <w:tabs>
          <w:tab w:leader="none" w:pos="65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The Administrative Agent shall have received a Borrowing Base Certificate that calculates the Borrowing Base as of the end of the calendar month immediately preceding the Effective Date.</w:t>
      </w:r>
    </w:p>
    <w:p>
      <w:pPr>
        <w:spacing w:after="0" w:line="170" w:lineRule="exact"/>
        <w:rPr>
          <w:rFonts w:ascii="Arial" w:cs="Arial" w:eastAsia="Arial" w:hAnsi="Arial"/>
          <w:sz w:val="18"/>
          <w:szCs w:val="18"/>
          <w:color w:val="auto"/>
        </w:rPr>
      </w:pPr>
    </w:p>
    <w:p>
      <w:pPr>
        <w:ind w:right="500" w:firstLine="436"/>
        <w:spacing w:after="0" w:line="263" w:lineRule="auto"/>
        <w:tabs>
          <w:tab w:leader="none" w:pos="74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Closing Availability</w:t>
      </w:r>
      <w:r>
        <w:rPr>
          <w:rFonts w:ascii="Arial" w:cs="Arial" w:eastAsia="Arial" w:hAnsi="Arial"/>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Availability shall not be less than $25,000,000.</w:t>
      </w:r>
    </w:p>
    <w:p>
      <w:pPr>
        <w:spacing w:after="0" w:line="183"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Term Debt</w:t>
      </w:r>
      <w:r>
        <w:rPr>
          <w:rFonts w:ascii="Arial" w:cs="Arial" w:eastAsia="Arial" w:hAnsi="Arial"/>
          <w:sz w:val="18"/>
          <w:szCs w:val="18"/>
          <w:color w:val="auto"/>
        </w:rPr>
        <w:t>. The Borrower shall have received proceeds of at least $150,000,000 in consideration of the issuance of term loans under the Term Loan Credit Agreement, subject to the terms of the Intercreditor Agreement.</w:t>
      </w:r>
    </w:p>
    <w:p>
      <w:pPr>
        <w:spacing w:after="0" w:line="170"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Pledged Equity Interests; Stock Powers; Pledged Notes</w:t>
      </w:r>
      <w:r>
        <w:rPr>
          <w:rFonts w:ascii="Arial" w:cs="Arial" w:eastAsia="Arial" w:hAnsi="Arial"/>
          <w:sz w:val="18"/>
          <w:szCs w:val="18"/>
          <w:color w:val="auto"/>
        </w:rPr>
        <w:t>. Subject to Section 5.15 and the Intercreditor Agreement or as otherwise agreed by the Administrative Agent, the Administrative Agent (or its counsel) shall have received (i) the certificates representing the Equity Interests (if such Equity Interests are (or are required to be pursuant to applicable law) certificated)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92" w:lineRule="exact"/>
        <w:rPr>
          <w:rFonts w:ascii="Arial" w:cs="Arial" w:eastAsia="Arial" w:hAnsi="Arial"/>
          <w:sz w:val="18"/>
          <w:szCs w:val="18"/>
          <w:color w:val="auto"/>
        </w:rPr>
      </w:pPr>
    </w:p>
    <w:p>
      <w:pPr>
        <w:ind w:left="700" w:hanging="264"/>
        <w:spacing w:after="0"/>
        <w:tabs>
          <w:tab w:leader="none" w:pos="700"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Subject to Section 5.15, each document (including any Uniform Commercial Code financing</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statement) required by the Collateral Documents or under law or reasonably requested by the Administrative Agent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93" w:lineRule="exact"/>
        <w:rPr>
          <w:sz w:val="20"/>
          <w:szCs w:val="20"/>
          <w:color w:val="auto"/>
        </w:rPr>
      </w:pPr>
    </w:p>
    <w:p>
      <w:pPr>
        <w:ind w:right="460" w:firstLine="436"/>
        <w:spacing w:after="0" w:line="342" w:lineRule="auto"/>
        <w:tabs>
          <w:tab w:leader="none" w:pos="695"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Subject to Section 5.15, the Administrative Agent (or its counsel) shall have received evidence of insurance coverage in form, scope, and substance reasonably satisfactory to the Administrative Agent and otherwise in compliance with the terms of Section 5.10 hereof.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310" w:name="page311"/>
    <w:bookmarkEnd w:id="310"/>
    <w:p>
      <w:pPr>
        <w:ind w:left="4" w:firstLine="436"/>
        <w:spacing w:after="0" w:line="263" w:lineRule="auto"/>
        <w:tabs>
          <w:tab w:leader="none" w:pos="669"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Letter of Credit Application</w:t>
      </w:r>
      <w:r>
        <w:rPr>
          <w:rFonts w:ascii="Arial" w:cs="Arial" w:eastAsia="Arial" w:hAnsi="Arial"/>
          <w:sz w:val="18"/>
          <w:szCs w:val="18"/>
          <w:color w:val="auto"/>
        </w:rPr>
        <w:t>. If a Letter of Credit is requested to be issued on the Effective Date, the Administrative Agent shall have received a properly completed letter of credit application (whether standalone or pursuant to a master agreement, as applicable). The Borrower shall have executed the Issuing Bank’s master agreement for the issuance of commercial Letters of Credit.</w:t>
      </w:r>
    </w:p>
    <w:p>
      <w:pPr>
        <w:spacing w:after="0" w:line="183" w:lineRule="exact"/>
        <w:rPr>
          <w:rFonts w:ascii="Arial" w:cs="Arial" w:eastAsia="Arial" w:hAnsi="Arial"/>
          <w:sz w:val="18"/>
          <w:szCs w:val="18"/>
          <w:color w:val="auto"/>
        </w:rPr>
      </w:pPr>
    </w:p>
    <w:p>
      <w:pPr>
        <w:ind w:left="4" w:right="320" w:firstLine="436"/>
        <w:spacing w:after="0" w:line="277" w:lineRule="auto"/>
        <w:tabs>
          <w:tab w:leader="none" w:pos="679"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Administrative Agent (or its counsel) shall have received a properly completed and signed IRS Form W-8 or W-9, as applicable, for each Loan Party.</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436"/>
        <w:spacing w:after="0" w:line="263" w:lineRule="auto"/>
        <w:tabs>
          <w:tab w:leader="none" w:pos="699"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Field Examination</w:t>
      </w:r>
      <w:r>
        <w:rPr>
          <w:rFonts w:ascii="Arial" w:cs="Arial" w:eastAsia="Arial" w:hAnsi="Arial"/>
          <w:sz w:val="18"/>
          <w:szCs w:val="18"/>
          <w:color w:val="auto"/>
        </w:rPr>
        <w:t>. The Administrative Agent or its designee shall have conducted a field examination of the Loan Parties’ Accounts, Inventory and related working capital matters and of the Borrower’s related data processing and other systems, the results of which shall be satisfactory to the Administrative Agent in its sole discretion.</w:t>
      </w:r>
    </w:p>
    <w:p>
      <w:pPr>
        <w:spacing w:after="0" w:line="183"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Legal Due Diligence</w:t>
      </w:r>
      <w:r>
        <w:rPr>
          <w:rFonts w:ascii="Arial" w:cs="Arial" w:eastAsia="Arial" w:hAnsi="Arial"/>
          <w:sz w:val="18"/>
          <w:szCs w:val="18"/>
          <w:color w:val="auto"/>
        </w:rPr>
        <w:t>. The Administrative Agent and its counsel shall have completed all legal due diligence, the results of which shall be satisfactory to Administrative Agent in its sole but reasonable discretion (provided that, upon the execution and delivery by the Administration Agent of its signature page to this Agreement, the condition set forth in this clause (v) shall be deemed to be satisfied).</w:t>
      </w:r>
    </w:p>
    <w:p>
      <w:pPr>
        <w:spacing w:after="0" w:line="183" w:lineRule="exact"/>
        <w:rPr>
          <w:rFonts w:ascii="Arial" w:cs="Arial" w:eastAsia="Arial" w:hAnsi="Arial"/>
          <w:sz w:val="18"/>
          <w:szCs w:val="18"/>
          <w:color w:val="auto"/>
        </w:rPr>
      </w:pPr>
    </w:p>
    <w:p>
      <w:pPr>
        <w:ind w:left="4" w:right="360" w:firstLine="436"/>
        <w:spacing w:after="0" w:line="308" w:lineRule="auto"/>
        <w:tabs>
          <w:tab w:leader="none" w:pos="739"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Appraisal(s)</w:t>
      </w:r>
      <w:r>
        <w:rPr>
          <w:rFonts w:ascii="Arial" w:cs="Arial" w:eastAsia="Arial" w:hAnsi="Arial"/>
          <w:sz w:val="17"/>
          <w:szCs w:val="17"/>
          <w:color w:val="auto"/>
        </w:rPr>
        <w:t>. The Administrative Agent shall have received an appraisal of the applicable Loan Parties’ Inventory from one or more firms satisfactory to the Administrative Agent, which appraisal shall be satisfactory to the Administrative Agent in its Permitted Discretion.</w:t>
      </w:r>
    </w:p>
    <w:p>
      <w:pPr>
        <w:spacing w:after="0" w:line="146" w:lineRule="exact"/>
        <w:rPr>
          <w:rFonts w:ascii="Arial" w:cs="Arial" w:eastAsia="Arial" w:hAnsi="Arial"/>
          <w:sz w:val="17"/>
          <w:szCs w:val="17"/>
          <w:color w:val="auto"/>
        </w:rPr>
      </w:pPr>
    </w:p>
    <w:p>
      <w:pPr>
        <w:ind w:left="4" w:right="80" w:firstLine="436"/>
        <w:spacing w:after="0" w:line="287" w:lineRule="auto"/>
        <w:tabs>
          <w:tab w:leader="none" w:pos="699"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USA PATRIOT Act, Etc</w:t>
      </w:r>
      <w:r>
        <w:rPr>
          <w:rFonts w:ascii="Arial" w:cs="Arial" w:eastAsia="Arial" w:hAnsi="Arial"/>
          <w:sz w:val="16"/>
          <w:szCs w:val="16"/>
          <w:color w:val="auto"/>
        </w:rPr>
        <w:t>. (i) The Administrative Agent shall have received, at least five (5)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w:t>
      </w:r>
    </w:p>
    <w:p>
      <w:pPr>
        <w:spacing w:after="0" w:line="2" w:lineRule="exact"/>
        <w:rPr>
          <w:rFonts w:ascii="Arial" w:cs="Arial" w:eastAsia="Arial" w:hAnsi="Arial"/>
          <w:sz w:val="16"/>
          <w:szCs w:val="16"/>
          <w:color w:val="auto"/>
        </w:rPr>
      </w:pPr>
    </w:p>
    <w:p>
      <w:pPr>
        <w:ind w:left="4" w:right="120" w:hanging="4"/>
        <w:spacing w:after="0" w:line="273" w:lineRule="auto"/>
        <w:tabs>
          <w:tab w:leader="none" w:pos="269"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execution and delivery by such Lender of its signature page to this Agreement, the condition set forth in this clause (ii) shall be deemed to be satisfied).</w:t>
      </w:r>
    </w:p>
    <w:p>
      <w:pPr>
        <w:spacing w:after="0" w:line="176" w:lineRule="exact"/>
        <w:rPr>
          <w:rFonts w:ascii="Arial" w:cs="Arial" w:eastAsia="Arial" w:hAnsi="Arial"/>
          <w:sz w:val="17"/>
          <w:szCs w:val="17"/>
          <w:color w:val="auto"/>
        </w:rPr>
      </w:pPr>
    </w:p>
    <w:p>
      <w:pPr>
        <w:jc w:val="both"/>
        <w:ind w:left="4" w:right="200" w:firstLine="436"/>
        <w:spacing w:after="0" w:line="311" w:lineRule="auto"/>
        <w:tabs>
          <w:tab w:leader="none" w:pos="699"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Subject to Section 5.15, the Administrative Agent shall have received such other documents as the Administrative Agent, the Issuing Bank, any Lender or their respective counsel may have reasonably (provided that, upon the execution and delivery by such Lender, Issuing Bank or Administrative Agent of its signature page to this Agreement, the condition set forth in this clause (y) shall be deemed to be satisfied).</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4"/>
          </w:cols>
          <w:pgMar w:left="436" w:top="274" w:right="439" w:bottom="1440" w:gutter="0" w:footer="0" w:header="0"/>
        </w:sectPr>
      </w:pPr>
    </w:p>
    <w:bookmarkStart w:id="311" w:name="page312"/>
    <w:bookmarkEnd w:id="311"/>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The Administrative Agent shall notify the Borrower, the Lenders and the Issuing Bank of the Effective Date, and such notice shall be conclusive and binding.</w:t>
      </w:r>
    </w:p>
    <w:p>
      <w:pPr>
        <w:spacing w:after="0" w:line="17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 to issue, amend or extend any Letter of Credit, is subject to the satisfaction of the following conditions:</w:t>
      </w:r>
    </w:p>
    <w:p>
      <w:pPr>
        <w:spacing w:after="0" w:line="62" w:lineRule="exact"/>
        <w:rPr>
          <w:sz w:val="20"/>
          <w:szCs w:val="20"/>
          <w:color w:val="auto"/>
        </w:rPr>
      </w:pPr>
    </w:p>
    <w:p>
      <w:pPr>
        <w:ind w:right="140" w:firstLine="436"/>
        <w:spacing w:after="0" w:line="296" w:lineRule="auto"/>
        <w:tabs>
          <w:tab w:leader="none" w:pos="68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Except with respect to any Borrowing pursuant to Section 2.09(e), 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that by its terms is made as of a specified date shall be required to be true and correct in all material respects only as of such specified date, and that any representation or warranty that is subject to any materiality qualifier shall be required to be true and correct in all respects).</w:t>
      </w:r>
    </w:p>
    <w:p>
      <w:pPr>
        <w:spacing w:after="0" w:line="161" w:lineRule="exact"/>
        <w:rPr>
          <w:rFonts w:ascii="Arial" w:cs="Arial" w:eastAsia="Arial" w:hAnsi="Arial"/>
          <w:sz w:val="16"/>
          <w:szCs w:val="16"/>
          <w:color w:val="auto"/>
        </w:rPr>
      </w:pPr>
    </w:p>
    <w:p>
      <w:pPr>
        <w:ind w:firstLine="436"/>
        <w:spacing w:after="0" w:line="263" w:lineRule="auto"/>
        <w:tabs>
          <w:tab w:leader="none" w:pos="69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(other than a Borrowing pursuant to Section 2.09(e)) or the issuance, amendment or extension of such Letter of Credit, as applicable, (i) no Default shall have occurred and be continuing and (ii) no Protective Advance shall be outstanding.</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After giving effect to any Borrowing or the issuance, amendment or extension of any Letter of Credit, Availability shall not be less than zero.</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Each Borrowing and each issuance, amendment or extension of a Letter of Credit shall be deemed to constitute a representation and warranty by the Borrower on the date thereof as to the matters specified in paragraphs (a), (b) and (c) of this Section 4.02.</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Notwithstanding the failure to satisfy the conditions precedent set forth in paragraphs (a) or (b) of this Section 4.02,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312" w:name="page313"/>
    <w:bookmarkEnd w:id="31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Until all of the Secured Obligations have been Paid in Full or the Required Lenders otherwise consent in writing, each Loan Party executing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covenants and agrees, and shall cause each Subsidiary to covenant and agree, jointly and severally with all of the other Loan Parties and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Subsidiaries, with the Lenders that: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Borrowing Base and Other Information</w:t>
      </w:r>
      <w:r>
        <w:rPr>
          <w:rFonts w:ascii="Arial" w:cs="Arial" w:eastAsia="Arial" w:hAnsi="Arial"/>
          <w:sz w:val="17"/>
          <w:szCs w:val="17"/>
          <w:color w:val="auto"/>
        </w:rPr>
        <w:t>. The Borrower will furnish to the Administrative Agent and each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w:t>
      </w:r>
    </w:p>
    <w:p>
      <w:pPr>
        <w:spacing w:after="0" w:line="103" w:lineRule="exact"/>
        <w:rPr>
          <w:sz w:val="20"/>
          <w:szCs w:val="20"/>
          <w:color w:val="auto"/>
        </w:rPr>
      </w:pPr>
    </w:p>
    <w:p>
      <w:pPr>
        <w:ind w:left="4" w:right="160" w:firstLine="436"/>
        <w:spacing w:after="0" w:line="291" w:lineRule="auto"/>
        <w:tabs>
          <w:tab w:leader="none" w:pos="689"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within ninety-five (95) days after the end of each fiscal year of the Company (beginning with the fiscal year ending December 31, 2020), its audited consolidated balance sheet and related statements of income (loss), stockholders’ equity and cash flows as of the end of and for such year, setting forth in each case in comparative form the figures for the previous fiscal year, all reported on by independent public accountants of recognized national standing or otherwise satisfactory to the Administrative Agent in its sole discretion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accompanied by any management letter prepared by said accountants;</w:t>
      </w:r>
    </w:p>
    <w:p>
      <w:pPr>
        <w:spacing w:after="0" w:line="166" w:lineRule="exact"/>
        <w:rPr>
          <w:rFonts w:ascii="Arial" w:cs="Arial" w:eastAsia="Arial" w:hAnsi="Arial"/>
          <w:sz w:val="16"/>
          <w:szCs w:val="16"/>
          <w:color w:val="auto"/>
        </w:rPr>
      </w:pPr>
    </w:p>
    <w:p>
      <w:pPr>
        <w:ind w:left="4" w:right="240" w:firstLine="436"/>
        <w:spacing w:after="0" w:line="254" w:lineRule="auto"/>
        <w:tabs>
          <w:tab w:leader="none" w:pos="699"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within fifty (50) days after the end of each of the first three fiscal quarters of each fiscal year of the Company (commencing with the fiscal quarter ending March 31, 2021), its consolidated balance sheets and related statements of income (loss),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94" w:lineRule="exact"/>
        <w:rPr>
          <w:rFonts w:ascii="Arial" w:cs="Arial" w:eastAsia="Arial" w:hAnsi="Arial"/>
          <w:sz w:val="18"/>
          <w:szCs w:val="18"/>
          <w:color w:val="auto"/>
        </w:rPr>
      </w:pPr>
    </w:p>
    <w:p>
      <w:pPr>
        <w:ind w:left="4" w:right="40" w:firstLine="436"/>
        <w:spacing w:after="0" w:line="273" w:lineRule="auto"/>
        <w:tabs>
          <w:tab w:leader="none" w:pos="689" w:val="left"/>
        </w:tabs>
        <w:numPr>
          <w:ilvl w:val="1"/>
          <w:numId w:val="375"/>
        </w:numPr>
        <w:rPr>
          <w:rFonts w:ascii="Arial" w:cs="Arial" w:eastAsia="Arial" w:hAnsi="Arial"/>
          <w:sz w:val="17"/>
          <w:szCs w:val="17"/>
          <w:color w:val="auto"/>
        </w:rPr>
      </w:pPr>
      <w:r>
        <w:rPr>
          <w:rFonts w:ascii="Arial" w:cs="Arial" w:eastAsia="Arial" w:hAnsi="Arial"/>
          <w:sz w:val="17"/>
          <w:szCs w:val="17"/>
          <w:color w:val="auto"/>
        </w:rPr>
        <w:t>during any Availability Triggering Financial Statement Period, within twenty (20) days after the end of each fiscal month of the Company, its consolidated balance sheet and related statements of income (loss),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77" w:lineRule="exact"/>
        <w:rPr>
          <w:rFonts w:ascii="Arial" w:cs="Arial" w:eastAsia="Arial" w:hAnsi="Arial"/>
          <w:sz w:val="17"/>
          <w:szCs w:val="17"/>
          <w:color w:val="auto"/>
        </w:rPr>
      </w:pPr>
    </w:p>
    <w:p>
      <w:pPr>
        <w:ind w:left="4" w:right="100" w:firstLine="436"/>
        <w:spacing w:after="0" w:line="285" w:lineRule="auto"/>
        <w:tabs>
          <w:tab w:leader="none" w:pos="699" w:val="left"/>
        </w:tabs>
        <w:numPr>
          <w:ilvl w:val="1"/>
          <w:numId w:val="375"/>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(b) or (c) and on the first day that an Availability Triggering Covenant Event has occurred,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w:t>
      </w:r>
    </w:p>
    <w:p>
      <w:pPr>
        <w:spacing w:after="0" w:line="1" w:lineRule="exact"/>
        <w:rPr>
          <w:rFonts w:ascii="Arial" w:cs="Arial" w:eastAsia="Arial" w:hAnsi="Arial"/>
          <w:sz w:val="16"/>
          <w:szCs w:val="16"/>
          <w:color w:val="auto"/>
        </w:rPr>
      </w:pPr>
    </w:p>
    <w:p>
      <w:pPr>
        <w:jc w:val="both"/>
        <w:ind w:left="4" w:right="620" w:hanging="4"/>
        <w:spacing w:after="0" w:line="255" w:lineRule="auto"/>
        <w:tabs>
          <w:tab w:leader="none" w:pos="31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setting forth reasonably detailed calculations demonstrating compliance with Sections 6.13 (whether or not compliance with such Section is required at that time), (iv) setting forth any change in the identity of any of the Immaterial Subsidiaries with respect to its characterization as an Immaterial</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4"/>
          </w:cols>
          <w:pgMar w:left="436" w:top="274" w:right="459" w:bottom="1440" w:gutter="0" w:footer="0" w:header="0"/>
        </w:sectPr>
      </w:pPr>
    </w:p>
    <w:bookmarkStart w:id="313" w:name="page314"/>
    <w:bookmarkEnd w:id="313"/>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pursuant to Section 5.14(g) during such period, (v)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(vi) setting forth all patents, trademarks, registered copyrights, service marks, and material license agreements owned by each Loan Party or Subsidiary or to which a Loan Party or Subsidiary is a party and that is not set forth on Schedule 3.05 hereto or on any previously delivered Compliance Certificate;</w:t>
      </w:r>
    </w:p>
    <w:p>
      <w:pPr>
        <w:spacing w:after="0" w:line="188" w:lineRule="exact"/>
        <w:rPr>
          <w:sz w:val="20"/>
          <w:szCs w:val="20"/>
          <w:color w:val="auto"/>
        </w:rPr>
      </w:pPr>
    </w:p>
    <w:p>
      <w:pPr>
        <w:ind w:firstLine="436"/>
        <w:spacing w:after="0" w:line="271" w:lineRule="auto"/>
        <w:tabs>
          <w:tab w:leader="none" w:pos="68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within forty-five (45) days after the end of each fiscal year of the Borrower, (i) a report supplementing </w:t>
      </w:r>
      <w:r>
        <w:rPr>
          <w:rFonts w:ascii="Arial" w:cs="Arial" w:eastAsia="Arial" w:hAnsi="Arial"/>
          <w:sz w:val="17"/>
          <w:szCs w:val="17"/>
          <w:u w:val="single" w:color="auto"/>
          <w:color w:val="auto"/>
        </w:rPr>
        <w:t>Schedule 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Security Agreement (with respect to locations of Collateral),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7"/>
          <w:szCs w:val="17"/>
          <w:u w:val="single" w:color="auto"/>
          <w:color w:val="auto"/>
        </w:rPr>
        <w:t>Schedule 3.15</w:t>
      </w:r>
      <w:r>
        <w:rPr>
          <w:rFonts w:ascii="Arial" w:cs="Arial" w:eastAsia="Arial" w:hAnsi="Arial"/>
          <w:sz w:val="17"/>
          <w:szCs w:val="17"/>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78" w:lineRule="exact"/>
        <w:rPr>
          <w:rFonts w:ascii="Arial" w:cs="Arial" w:eastAsia="Arial" w:hAnsi="Arial"/>
          <w:sz w:val="17"/>
          <w:szCs w:val="17"/>
          <w:color w:val="auto"/>
        </w:rPr>
      </w:pPr>
    </w:p>
    <w:p>
      <w:pPr>
        <w:ind w:right="40" w:firstLine="436"/>
        <w:spacing w:after="0" w:line="259" w:lineRule="auto"/>
        <w:tabs>
          <w:tab w:leader="none" w:pos="66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45 days after the end of each fiscal year of the Company, (x) a copy of the plan and forecast (including a projected consolidated balance sheet, income statement and cash flow statement) of the Company for each month of the upcoming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 and (y) any such other projections as required to be delivered under the Term Loan Credit Agreement;</w:t>
      </w:r>
    </w:p>
    <w:p>
      <w:pPr>
        <w:spacing w:after="0" w:line="186" w:lineRule="exact"/>
        <w:rPr>
          <w:rFonts w:ascii="Arial" w:cs="Arial" w:eastAsia="Arial" w:hAnsi="Arial"/>
          <w:sz w:val="18"/>
          <w:szCs w:val="18"/>
          <w:color w:val="auto"/>
        </w:rPr>
      </w:pPr>
    </w:p>
    <w:p>
      <w:pPr>
        <w:ind w:firstLine="436"/>
        <w:spacing w:after="0" w:line="287" w:lineRule="auto"/>
        <w:tabs>
          <w:tab w:leader="none" w:pos="69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as soon as available but in any event within 20 days (or 25 days with respect to the first three such months after the Effective Date) of the end of each calendar month (or, upon the request of the Administrative Agent, during any Availability Triggering Financial Statement Event Period, on Wednesday of each week (or, if Wednesday is not a Business Day, on the next succeeding Business Day)), and at such other times as may be necessary to re-determine Availability or as may be requested by the Administrative Agent, as of the period then ended, a Borrowing Base Certificate and supporting information in connection therewith (including, in respect of any Borrowing Base Certificate delivered for a month that is also the end of any fiscal quarter of the Company, a calculation of Average Quarterly Availability for such quarter then ended and an indication of what the Applicable Rate is as a result of such Average Quarterly Availability), together with any additional reports with respect to the Borrowing as the Administrative Agent may reasonably request; provided, that (x) in the event the Borrower sells Accounts owed by an Account Debtor (or an Affiliate of an Account Debtor) pursuant to a Supplier Financing Agreement, Borrower shall (1) provide the Administrative Agent with at least three (3) Business Days’ prior written notice of such sale and (2) prior to the start of any such sale program, deliver an updated Borrowing Base Certificate that reflects, on a pro forma basis, the removal of all Accounts (including, for the avoidance of doubt, any Accounts owed by an Account Debtor that are not sold pursuant to a Supplier Financing Agreement) owing to a Loan Party by such Account Debtor, and (y) in the event the Borrower subsequently discontinues selling all (but not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4" w:right="479" w:bottom="1440" w:gutter="0" w:footer="0" w:header="0"/>
        </w:sectPr>
      </w:pPr>
    </w:p>
    <w:bookmarkStart w:id="314" w:name="page315"/>
    <w:bookmarkEnd w:id="31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less than all) of the Accounts owed by an Account Debtor (or an Affiliate of an Account Debtor) to any Loan Party that was previously sold pursuant to a Supplier Financing Agreement, Borrower shall (1) provide the Administrative Agent with at least three (3) Business Days’ prior written notice of such discontinuance and (2) after any such sale program has been discontinued but prior to the inclusion of any Accounts of such Account Debtor in the Borrowing Base, deliver an updated Borrowing Base Certificate that reflects, on a pro forma basis, the addition of any Eligible Accounts of such Account Debtor that have not been so sold; provided, that, for the avoidance of doubt, such Accounts shall not be included as Eligible Accounts unless such Accounts meet the criteria set forth in the definition of Eligible Accounts (including, without limitation, clauses (a) and (b));</w:t>
      </w:r>
    </w:p>
    <w:p>
      <w:pPr>
        <w:spacing w:after="0" w:line="164" w:lineRule="exact"/>
        <w:rPr>
          <w:sz w:val="20"/>
          <w:szCs w:val="20"/>
          <w:color w:val="auto"/>
        </w:rPr>
      </w:pPr>
    </w:p>
    <w:p>
      <w:pPr>
        <w:ind w:right="40" w:firstLine="436"/>
        <w:spacing w:after="0" w:line="275" w:lineRule="auto"/>
        <w:tabs>
          <w:tab w:leader="none" w:pos="695"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as soon as available but in any event within 20 days (or 25 days with respect to the first three months after the Effective Date) of the end of each calendar month (or, during Availability Triggering Financial Statement Event Period, on Wednesday (or, if Wednesday is not a Business Day, on the next succeeding Business Day) of each week (other than with respect to subclause (ii) below that will continue to be delivered on a monthly basis as provided above in this clause (h)) and at such other times as may be requested by the Administrative Agent, as of the period then ended, all delivered electronically in a text formatted file acceptable to the Administrative Agent;</w:t>
      </w:r>
    </w:p>
    <w:p>
      <w:pPr>
        <w:spacing w:after="0" w:line="68" w:lineRule="exact"/>
        <w:rPr>
          <w:rFonts w:ascii="Arial" w:cs="Arial" w:eastAsia="Arial" w:hAnsi="Arial"/>
          <w:sz w:val="17"/>
          <w:szCs w:val="17"/>
          <w:color w:val="auto"/>
        </w:rPr>
      </w:pPr>
    </w:p>
    <w:p>
      <w:pPr>
        <w:ind w:left="440" w:right="20" w:firstLine="419"/>
        <w:spacing w:after="0" w:line="263" w:lineRule="auto"/>
        <w:tabs>
          <w:tab w:leader="none" w:pos="107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detailed aging of the Loan Parties’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75" w:lineRule="exact"/>
        <w:rPr>
          <w:rFonts w:ascii="Arial" w:cs="Arial" w:eastAsia="Arial" w:hAnsi="Arial"/>
          <w:sz w:val="18"/>
          <w:szCs w:val="18"/>
          <w:color w:val="auto"/>
        </w:rPr>
      </w:pPr>
    </w:p>
    <w:p>
      <w:pPr>
        <w:ind w:left="440" w:firstLine="419"/>
        <w:spacing w:after="0" w:line="272" w:lineRule="auto"/>
        <w:tabs>
          <w:tab w:leader="none" w:pos="1128" w:val="left"/>
        </w:tabs>
        <w:numPr>
          <w:ilvl w:val="1"/>
          <w:numId w:val="378"/>
        </w:numPr>
        <w:rPr>
          <w:rFonts w:ascii="Arial" w:cs="Arial" w:eastAsia="Arial" w:hAnsi="Arial"/>
          <w:sz w:val="17"/>
          <w:szCs w:val="17"/>
          <w:color w:val="auto"/>
        </w:rPr>
      </w:pPr>
      <w:r>
        <w:rPr>
          <w:rFonts w:ascii="Arial" w:cs="Arial" w:eastAsia="Arial" w:hAnsi="Arial"/>
          <w:sz w:val="17"/>
          <w:szCs w:val="17"/>
          <w:color w:val="auto"/>
        </w:rPr>
        <w:t>a schedule detailing the Loan Parties’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are deemed by the Administrative Agent to be appropriate, and (2) including a report of any variances or other results of Inventory counts performed by the Loan Parties since the last Inventory schedule (including information regarding sales or other reductions, additions, returns, credits issued by Loan Parties and complaints and claims made against the Loan Parties);</w:t>
      </w:r>
    </w:p>
    <w:p>
      <w:pPr>
        <w:spacing w:after="0" w:line="69" w:lineRule="exact"/>
        <w:rPr>
          <w:rFonts w:ascii="Arial" w:cs="Arial" w:eastAsia="Arial" w:hAnsi="Arial"/>
          <w:sz w:val="17"/>
          <w:szCs w:val="17"/>
          <w:color w:val="auto"/>
        </w:rPr>
      </w:pPr>
    </w:p>
    <w:p>
      <w:pPr>
        <w:ind w:left="440" w:right="520" w:firstLine="419"/>
        <w:spacing w:after="0" w:line="342" w:lineRule="auto"/>
        <w:tabs>
          <w:tab w:leader="none" w:pos="1178"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 worksheet of calculations prepared by the Loan Parties to determine Eligible Accounts and Eligible Inventory, such worksheets detailing the Accounts and Inventory excluded from Eligible Accounts and Eligible Inventory and the reason for such exclusion;</w:t>
      </w:r>
    </w:p>
    <w:p>
      <w:pPr>
        <w:spacing w:after="0" w:line="15" w:lineRule="exact"/>
        <w:rPr>
          <w:rFonts w:ascii="Arial" w:cs="Arial" w:eastAsia="Arial" w:hAnsi="Arial"/>
          <w:sz w:val="16"/>
          <w:szCs w:val="16"/>
          <w:color w:val="auto"/>
        </w:rPr>
      </w:pPr>
    </w:p>
    <w:p>
      <w:pPr>
        <w:ind w:left="440" w:right="160" w:firstLine="419"/>
        <w:spacing w:after="0" w:line="311" w:lineRule="auto"/>
        <w:tabs>
          <w:tab w:leader="none" w:pos="1168"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 reconciliation of the Loan Parties’ Accounts and Inventory between (A) the amounts shown in the Loan Parties’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4" w:right="479" w:bottom="1440" w:gutter="0" w:footer="0" w:header="0"/>
        </w:sectPr>
      </w:pPr>
    </w:p>
    <w:bookmarkStart w:id="315" w:name="page316"/>
    <w:bookmarkEnd w:id="315"/>
    <w:p>
      <w:pPr>
        <w:ind w:left="1000" w:hanging="261"/>
        <w:spacing w:after="0"/>
        <w:tabs>
          <w:tab w:leader="none" w:pos="10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reconciliation of the loan balance per the Loan Parties’ general ledger to the loan balance under this Agreement;</w:t>
      </w:r>
    </w:p>
    <w:p>
      <w:pPr>
        <w:spacing w:after="0" w:line="225" w:lineRule="exact"/>
        <w:rPr>
          <w:rFonts w:ascii="Arial" w:cs="Arial" w:eastAsia="Arial" w:hAnsi="Arial"/>
          <w:sz w:val="18"/>
          <w:szCs w:val="18"/>
          <w:color w:val="auto"/>
        </w:rPr>
      </w:pPr>
    </w:p>
    <w:p>
      <w:pPr>
        <w:ind w:left="-120" w:right="40" w:firstLine="436"/>
        <w:spacing w:after="0" w:line="311" w:lineRule="auto"/>
        <w:tabs>
          <w:tab w:leader="none" w:pos="53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promptly after the furnishing thereof, copies of any statement or report (other than any routine ministerial statements or reports) furnished to any holder of obligations pursuant to an agreement evidencing Material Indebtedness of any Loan Party pursuant to the terms of any indenture, loan or credit or similar agreement and not otherwise required to be furnished to the Lenders pursuant to any other clause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20" w:right="160" w:firstLine="436"/>
        <w:spacing w:after="0" w:line="301" w:lineRule="auto"/>
        <w:tabs>
          <w:tab w:leader="none" w:pos="53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if so requested by the Administrative Agent, not later than five (5) Business Days after receipt thereof by any Loan Party or any Subsidiary thereof, copies of all material notices, requests and other documents (including amendments, waivers and other modifications) so received under or pursuant to any agreement evidencing Material Indebtedness and, from time to time upon request by the Administrative Agent, such information and reports regarding any agreement evidencing Material Indebtedness as the Administrative Agent may reasonably request;</w:t>
      </w:r>
    </w:p>
    <w:p>
      <w:pPr>
        <w:spacing w:after="0" w:line="157" w:lineRule="exact"/>
        <w:rPr>
          <w:rFonts w:ascii="Arial" w:cs="Arial" w:eastAsia="Arial" w:hAnsi="Arial"/>
          <w:sz w:val="16"/>
          <w:szCs w:val="16"/>
          <w:color w:val="auto"/>
        </w:rPr>
      </w:pPr>
    </w:p>
    <w:p>
      <w:pPr>
        <w:ind w:left="580" w:hanging="264"/>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promptly upon the Administrative Agent’s request:</w:t>
      </w:r>
    </w:p>
    <w:p>
      <w:pPr>
        <w:spacing w:after="0" w:line="117" w:lineRule="exact"/>
        <w:rPr>
          <w:rFonts w:ascii="Arial" w:cs="Arial" w:eastAsia="Arial" w:hAnsi="Arial"/>
          <w:sz w:val="18"/>
          <w:szCs w:val="18"/>
          <w:color w:val="auto"/>
        </w:rPr>
      </w:pPr>
    </w:p>
    <w:p>
      <w:pPr>
        <w:ind w:left="320" w:right="280" w:firstLine="419"/>
        <w:spacing w:after="0" w:line="277" w:lineRule="auto"/>
        <w:tabs>
          <w:tab w:leader="none" w:pos="95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copies of invoices issued by the Loan Parties in connection with any Accounts, credit memos, shipping and delivery documents, and other information related thereto;</w:t>
      </w:r>
    </w:p>
    <w:p>
      <w:pPr>
        <w:spacing w:after="0" w:line="62" w:lineRule="exact"/>
        <w:rPr>
          <w:rFonts w:ascii="Arial" w:cs="Arial" w:eastAsia="Arial" w:hAnsi="Arial"/>
          <w:sz w:val="18"/>
          <w:szCs w:val="18"/>
          <w:color w:val="auto"/>
        </w:rPr>
      </w:pPr>
    </w:p>
    <w:p>
      <w:pPr>
        <w:ind w:left="320" w:firstLine="419"/>
        <w:spacing w:after="0" w:line="277" w:lineRule="auto"/>
        <w:tabs>
          <w:tab w:leader="none" w:pos="100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copies of purchase orders, invoices, and shipping and delivery documents in connection with any Inventory or Equipment purchased by any Loan Party; and</w:t>
      </w:r>
    </w:p>
    <w:p>
      <w:pPr>
        <w:spacing w:after="0" w:line="62" w:lineRule="exact"/>
        <w:rPr>
          <w:rFonts w:ascii="Arial" w:cs="Arial" w:eastAsia="Arial" w:hAnsi="Arial"/>
          <w:sz w:val="18"/>
          <w:szCs w:val="18"/>
          <w:color w:val="auto"/>
        </w:rPr>
      </w:pPr>
    </w:p>
    <w:p>
      <w:pPr>
        <w:ind w:left="1060" w:hanging="321"/>
        <w:spacing w:after="0"/>
        <w:tabs>
          <w:tab w:leader="none" w:pos="106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schedule detailing the balance of all intercompany accounts of the Loan Parties;</w:t>
      </w:r>
    </w:p>
    <w:p>
      <w:pPr>
        <w:spacing w:after="0" w:line="225" w:lineRule="exact"/>
        <w:rPr>
          <w:rFonts w:ascii="Arial" w:cs="Arial" w:eastAsia="Arial" w:hAnsi="Arial"/>
          <w:sz w:val="18"/>
          <w:szCs w:val="18"/>
          <w:color w:val="auto"/>
        </w:rPr>
      </w:pPr>
    </w:p>
    <w:p>
      <w:pPr>
        <w:ind w:left="540" w:hanging="224"/>
        <w:spacing w:after="0"/>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20" w:hanging="304"/>
        <w:spacing w:after="0"/>
        <w:tabs>
          <w:tab w:leader="none" w:pos="6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580" w:hanging="264"/>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580" w:hanging="264"/>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0" w:right="200" w:firstLine="436"/>
        <w:spacing w:after="0" w:line="259" w:lineRule="auto"/>
        <w:tabs>
          <w:tab w:leader="none" w:pos="57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186" w:lineRule="exact"/>
        <w:rPr>
          <w:rFonts w:ascii="Arial" w:cs="Arial" w:eastAsia="Arial" w:hAnsi="Arial"/>
          <w:sz w:val="18"/>
          <w:szCs w:val="18"/>
          <w:color w:val="auto"/>
        </w:rPr>
      </w:pPr>
    </w:p>
    <w:p>
      <w:pPr>
        <w:ind w:left="580" w:hanging="264"/>
        <w:spacing w:after="0"/>
        <w:tabs>
          <w:tab w:leader="none" w:pos="5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760"/>
          </w:cols>
          <w:pgMar w:left="560" w:top="274" w:right="579" w:bottom="1440" w:gutter="0" w:footer="0" w:header="0"/>
        </w:sectPr>
      </w:pPr>
    </w:p>
    <w:bookmarkStart w:id="316" w:name="page317"/>
    <w:bookmarkEnd w:id="316"/>
    <w:p>
      <w:pPr>
        <w:ind w:left="4" w:right="20" w:firstLine="436"/>
        <w:spacing w:after="0" w:line="257" w:lineRule="auto"/>
        <w:tabs>
          <w:tab w:leader="none" w:pos="669"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87" w:lineRule="exact"/>
        <w:rPr>
          <w:rFonts w:ascii="Arial" w:cs="Arial" w:eastAsia="Arial" w:hAnsi="Arial"/>
          <w:sz w:val="18"/>
          <w:szCs w:val="18"/>
          <w:color w:val="auto"/>
        </w:rPr>
      </w:pPr>
    </w:p>
    <w:p>
      <w:pPr>
        <w:jc w:val="both"/>
        <w:ind w:left="4" w:right="20" w:firstLine="436"/>
        <w:spacing w:after="0" w:line="259" w:lineRule="auto"/>
        <w:tabs>
          <w:tab w:leader="none" w:pos="67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receipt thereof by the Borrower or any Subsidiary, copies of each written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 and</w:t>
      </w:r>
    </w:p>
    <w:p>
      <w:pPr>
        <w:spacing w:after="0" w:line="186" w:lineRule="exact"/>
        <w:rPr>
          <w:rFonts w:ascii="Arial" w:cs="Arial" w:eastAsia="Arial" w:hAnsi="Arial"/>
          <w:sz w:val="18"/>
          <w:szCs w:val="18"/>
          <w:color w:val="auto"/>
        </w:rPr>
      </w:pPr>
    </w:p>
    <w:p>
      <w:pPr>
        <w:ind w:left="4" w:firstLine="436"/>
        <w:spacing w:after="0" w:line="259" w:lineRule="auto"/>
        <w:tabs>
          <w:tab w:leader="none" w:pos="65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promptly following any request therefor, copies of any detailed audit reports, management letters or recommendations submitted to the board of directors (or the audit committee of the board of directors) of any Loan Party by independent accountants in connection with the accounts or books of such Loan Party or any Subsidiary, or any audit of any of them as the Administrative Agent or any Lender (through the Administrative Agent) may reasonably request.</w:t>
      </w:r>
    </w:p>
    <w:p>
      <w:pPr>
        <w:spacing w:after="0" w:line="18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Documents required to be delivered pursuant to Section 5.01(a), (b) or (p)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Loan Party’s behalf on an Internet or intranet website (including the provision of a link thereto on the Borrower’s website on the Internet or intranet website), if any, to which each Lender and the Administrative Agent have access (whether a commercial, third-party website or whether made available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74" w:lineRule="exact"/>
        <w:rPr>
          <w:sz w:val="20"/>
          <w:szCs w:val="20"/>
          <w:color w:val="auto"/>
        </w:rPr>
      </w:pPr>
    </w:p>
    <w:p>
      <w:pPr>
        <w:ind w:left="4" w:right="420" w:firstLine="440"/>
        <w:spacing w:after="0" w:line="287" w:lineRule="auto"/>
        <w:rPr>
          <w:sz w:val="20"/>
          <w:szCs w:val="20"/>
          <w:color w:val="auto"/>
        </w:rPr>
      </w:pPr>
      <w:r>
        <w:rPr>
          <w:rFonts w:ascii="Arial" w:cs="Arial" w:eastAsia="Arial" w:hAnsi="Arial"/>
          <w:sz w:val="16"/>
          <w:szCs w:val="16"/>
          <w:color w:val="auto"/>
        </w:rPr>
        <w:t>The Company represents and warrants that each of it, and its Controlling and Controlled entities, in each case, if any (collectively with the Borrower, the “</w:t>
      </w:r>
      <w:r>
        <w:rPr>
          <w:rFonts w:ascii="Arial" w:cs="Arial" w:eastAsia="Arial" w:hAnsi="Arial"/>
          <w:sz w:val="16"/>
          <w:szCs w:val="16"/>
          <w:u w:val="single" w:color="auto"/>
          <w:color w:val="auto"/>
        </w:rPr>
        <w:t>Relevant Entities</w:t>
      </w:r>
      <w:r>
        <w:rPr>
          <w:rFonts w:ascii="Arial" w:cs="Arial" w:eastAsia="Arial" w:hAnsi="Arial"/>
          <w:sz w:val="16"/>
          <w:szCs w:val="16"/>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w:t>
      </w:r>
    </w:p>
    <w:p>
      <w:pPr>
        <w:spacing w:after="0" w:line="2" w:lineRule="exact"/>
        <w:rPr>
          <w:sz w:val="20"/>
          <w:szCs w:val="20"/>
          <w:color w:val="auto"/>
        </w:rPr>
      </w:pPr>
    </w:p>
    <w:p>
      <w:pPr>
        <w:ind w:left="4" w:right="260" w:hanging="4"/>
        <w:spacing w:after="0" w:line="255" w:lineRule="auto"/>
        <w:tabs>
          <w:tab w:leader="none" w:pos="29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authorizes the Administrative Agent to make the financial statements to be provided under Section 5.01(a) and (b) above (collectively or individually, as the context requires,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along with the Loan Documents, available to Public-Siders and (B) agree that at the time such Financial Statements are provided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4"/>
          </w:cols>
          <w:pgMar w:left="436" w:top="274" w:right="439" w:bottom="1440" w:gutter="0" w:footer="0" w:header="0"/>
        </w:sectPr>
      </w:pPr>
    </w:p>
    <w:bookmarkStart w:id="317" w:name="page318"/>
    <w:bookmarkEnd w:id="317"/>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Loan Parties’ compliance with the covenants contained herein or with respect to the Borrowing Base.</w:t>
      </w:r>
    </w:p>
    <w:p>
      <w:pPr>
        <w:spacing w:after="0" w:line="192"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and each Lender prompt (but in any event within any time period that may be specified below) written notice of the following:</w:t>
      </w:r>
    </w:p>
    <w:p>
      <w:pPr>
        <w:spacing w:after="0" w:line="62" w:lineRule="exact"/>
        <w:rPr>
          <w:sz w:val="20"/>
          <w:szCs w:val="20"/>
          <w:color w:val="auto"/>
        </w:rPr>
      </w:pPr>
    </w:p>
    <w:p>
      <w:pPr>
        <w:ind w:left="684" w:hanging="244"/>
        <w:spacing w:after="0"/>
        <w:tabs>
          <w:tab w:leader="none" w:pos="68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occurrence of any Default within five (5) Business Days after any Loan Party’s actual knowledge thereof;</w:t>
      </w:r>
    </w:p>
    <w:p>
      <w:pPr>
        <w:spacing w:after="0" w:line="225" w:lineRule="exact"/>
        <w:rPr>
          <w:rFonts w:ascii="Arial" w:cs="Arial" w:eastAsia="Arial" w:hAnsi="Arial"/>
          <w:sz w:val="18"/>
          <w:szCs w:val="18"/>
          <w:color w:val="auto"/>
        </w:rPr>
      </w:pPr>
    </w:p>
    <w:p>
      <w:pPr>
        <w:ind w:left="4" w:right="60" w:firstLine="436"/>
        <w:spacing w:after="0" w:line="286" w:lineRule="auto"/>
        <w:tabs>
          <w:tab w:leader="none" w:pos="699" w:val="left"/>
        </w:tabs>
        <w:numPr>
          <w:ilvl w:val="1"/>
          <w:numId w:val="383"/>
        </w:numPr>
        <w:rPr>
          <w:rFonts w:ascii="Arial" w:cs="Arial" w:eastAsia="Arial" w:hAnsi="Arial"/>
          <w:sz w:val="16"/>
          <w:szCs w:val="16"/>
          <w:color w:val="auto"/>
        </w:rPr>
      </w:pPr>
      <w:r>
        <w:rPr>
          <w:rFonts w:ascii="Arial" w:cs="Arial" w:eastAsia="Arial" w:hAnsi="Arial"/>
          <w:sz w:val="16"/>
          <w:szCs w:val="16"/>
          <w:color w:val="auto"/>
        </w:rPr>
        <w:t>receipt of any written notice of any investigation by a Governmental Authority or any litigation or Proceeding commenced or threatened in writing against any Loan Party or any Subsidiary that (i) seeks damages in excess of $4,000,000, (ii) seeks injunctive relief that has resulted, or, either individually or in the aggregate, would reasonably be expected to result, in a Material Adverse Effect, (iii) is asserted or instituted against any Plan, its fiduciaries or its assets that has resulted, or, either individually or in the aggregate, would reasonably be expected to result, in a Material Adverse Effect,</w:t>
      </w:r>
    </w:p>
    <w:p>
      <w:pPr>
        <w:spacing w:after="0" w:line="1" w:lineRule="exact"/>
        <w:rPr>
          <w:rFonts w:ascii="Arial" w:cs="Arial" w:eastAsia="Arial" w:hAnsi="Arial"/>
          <w:sz w:val="16"/>
          <w:szCs w:val="16"/>
          <w:color w:val="auto"/>
        </w:rPr>
      </w:pPr>
    </w:p>
    <w:p>
      <w:pPr>
        <w:ind w:left="4" w:hanging="4"/>
        <w:spacing w:after="0" w:line="253" w:lineRule="auto"/>
        <w:tabs>
          <w:tab w:leader="none" w:pos="30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alleges criminal misconduct by any Loan Party or any Subsidiary, (v) alleges the violation of, or seeks to impose remedies under, any Environmental Law or related Requirement of Law, or seeks to impose Environmental Liability that has resulted, or, either individually or in the aggregate, would reasonably be expected to result, in a Material Adverse Effect, (vi) asserts liability on the part of any Loan Party or any Subsidiary in excess of $4,000,000 in respect of any tax, fee, assessment, or other governmental charge, or (vii) involves any product recall that has resulted, or, either individually or in the aggregate, would reasonably be expected to result, in a Material Adverse Effect;</w:t>
      </w:r>
    </w:p>
    <w:p>
      <w:pPr>
        <w:spacing w:after="0" w:line="190" w:lineRule="exact"/>
        <w:rPr>
          <w:rFonts w:ascii="Arial" w:cs="Arial" w:eastAsia="Arial" w:hAnsi="Arial"/>
          <w:sz w:val="18"/>
          <w:szCs w:val="18"/>
          <w:color w:val="auto"/>
        </w:rPr>
      </w:pPr>
    </w:p>
    <w:p>
      <w:pPr>
        <w:ind w:left="4" w:right="680" w:firstLine="436"/>
        <w:spacing w:after="0" w:line="277" w:lineRule="auto"/>
        <w:tabs>
          <w:tab w:leader="none" w:pos="68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Lien (other than Liens permitted pursuant to Section 6.02) or claim made or asserted in writing against any material portion of the Collateral;</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loss, damage, or destruction to the Collateral in the amount of $4,000,000 or more, whether or not covered by insurance;</w:t>
      </w:r>
    </w:p>
    <w:p>
      <w:pPr>
        <w:spacing w:after="0" w:line="225" w:lineRule="exact"/>
        <w:rPr>
          <w:rFonts w:ascii="Arial" w:cs="Arial" w:eastAsia="Arial" w:hAnsi="Arial"/>
          <w:sz w:val="18"/>
          <w:szCs w:val="18"/>
          <w:color w:val="auto"/>
        </w:rPr>
      </w:pPr>
    </w:p>
    <w:p>
      <w:pPr>
        <w:ind w:left="4" w:right="420" w:firstLine="436"/>
        <w:spacing w:after="0" w:line="277" w:lineRule="auto"/>
        <w:tabs>
          <w:tab w:leader="none" w:pos="68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within two (2) Business Days of receipt thereof, any and all default notices received under or with respect to any leased location or public warehouse where Collateral is located with a fair market value in excess of $4,000,000;</w:t>
      </w:r>
    </w:p>
    <w:p>
      <w:pPr>
        <w:spacing w:after="0" w:line="170" w:lineRule="exact"/>
        <w:rPr>
          <w:rFonts w:ascii="Arial" w:cs="Arial" w:eastAsia="Arial" w:hAnsi="Arial"/>
          <w:sz w:val="18"/>
          <w:szCs w:val="18"/>
          <w:color w:val="auto"/>
        </w:rPr>
      </w:pPr>
    </w:p>
    <w:p>
      <w:pPr>
        <w:ind w:left="4" w:right="180" w:firstLine="436"/>
        <w:spacing w:after="0" w:line="259" w:lineRule="auto"/>
        <w:tabs>
          <w:tab w:leader="none" w:pos="66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 no later than five (5) Business Days prior to earlier of the execution date or the effective date thereof, copies of substantially final drafts of any proposed amendment, supplement, waiver or other modification under or pursuant to the Term Loan Documents, the definitive documentation related to the Series D Preferred Stock or any documentation evidencing Material Indebtedness and (ii) copies of all final executed documents described;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4"/>
          </w:cols>
          <w:pgMar w:left="436" w:top="274" w:right="439" w:bottom="1440" w:gutter="0" w:footer="0" w:header="0"/>
        </w:sectPr>
      </w:pPr>
    </w:p>
    <w:bookmarkStart w:id="318" w:name="page319"/>
    <w:bookmarkEnd w:id="318"/>
    <w:p>
      <w:pPr>
        <w:ind w:left="4" w:right="80" w:firstLine="436"/>
        <w:spacing w:after="0" w:line="277" w:lineRule="auto"/>
        <w:tabs>
          <w:tab w:leader="none" w:pos="699"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two (2) Business Days after the occurrence thereof, any Loan Party entering into a Swap Agreement or an amendment thereto, together with copies of all agreements evidencing such Swap Agreement or amendment;</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69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Loan Parties and their Subsidiaries in an aggregate amount exceeding $4,000,000;</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material change in accounting or financial reporting practices by the Borrower or any Subsidiary;</w:t>
      </w:r>
    </w:p>
    <w:p>
      <w:pPr>
        <w:spacing w:after="0" w:line="225" w:lineRule="exact"/>
        <w:rPr>
          <w:rFonts w:ascii="Arial" w:cs="Arial" w:eastAsia="Arial" w:hAnsi="Arial"/>
          <w:sz w:val="18"/>
          <w:szCs w:val="18"/>
          <w:color w:val="auto"/>
        </w:rPr>
      </w:pPr>
    </w:p>
    <w:p>
      <w:pPr>
        <w:ind w:left="4" w:right="60" w:firstLine="436"/>
        <w:spacing w:after="0" w:line="263" w:lineRule="auto"/>
        <w:tabs>
          <w:tab w:leader="none" w:pos="65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any other development that results, or would, individually or in the aggregate, reasonably be expected to result in, a Material Adverse Effect;</w:t>
      </w:r>
    </w:p>
    <w:p>
      <w:pPr>
        <w:spacing w:after="0" w:line="248" w:lineRule="exact"/>
        <w:rPr>
          <w:rFonts w:ascii="Arial" w:cs="Arial" w:eastAsia="Arial" w:hAnsi="Arial"/>
          <w:sz w:val="16"/>
          <w:szCs w:val="16"/>
          <w:color w:val="auto"/>
        </w:rPr>
      </w:pPr>
    </w:p>
    <w:p>
      <w:pPr>
        <w:ind w:left="4" w:right="500" w:firstLine="436"/>
        <w:spacing w:after="0" w:line="342" w:lineRule="auto"/>
        <w:tabs>
          <w:tab w:leader="none" w:pos="65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any other data or information required to be provided to the Term Loan Agent or any lender under the Term Loan Documents (other than routine ministerial reports, notices and documents that are not material), at the same time such data or information is provided to such Person;</w:t>
      </w:r>
    </w:p>
    <w:p>
      <w:pPr>
        <w:spacing w:after="0" w:line="123" w:lineRule="exact"/>
        <w:rPr>
          <w:rFonts w:ascii="Arial" w:cs="Arial" w:eastAsia="Arial" w:hAnsi="Arial"/>
          <w:sz w:val="16"/>
          <w:szCs w:val="16"/>
          <w:color w:val="auto"/>
        </w:rPr>
      </w:pPr>
    </w:p>
    <w:p>
      <w:pPr>
        <w:ind w:left="4" w:firstLine="436"/>
        <w:spacing w:after="0" w:line="277" w:lineRule="auto"/>
        <w:tabs>
          <w:tab w:leader="none" w:pos="74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delivered to such Lender that would result in a change to the list of beneficial owners identified in such certification; and</w:t>
      </w:r>
    </w:p>
    <w:p>
      <w:pPr>
        <w:spacing w:after="0" w:line="170" w:lineRule="exact"/>
        <w:rPr>
          <w:rFonts w:ascii="Arial" w:cs="Arial" w:eastAsia="Arial" w:hAnsi="Arial"/>
          <w:sz w:val="18"/>
          <w:szCs w:val="18"/>
          <w:color w:val="auto"/>
        </w:rPr>
      </w:pPr>
    </w:p>
    <w:p>
      <w:pPr>
        <w:ind w:left="4" w:right="180" w:firstLine="436"/>
        <w:spacing w:after="0" w:line="259" w:lineRule="auto"/>
        <w:tabs>
          <w:tab w:leader="none" w:pos="69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5.08</w:t>
      </w:r>
      <w:r>
        <w:rPr>
          <w:rFonts w:ascii="Arial" w:cs="Arial" w:eastAsia="Arial" w:hAnsi="Arial"/>
          <w:sz w:val="18"/>
          <w:szCs w:val="18"/>
          <w:color w:val="auto"/>
        </w:rPr>
        <w:t>, such Loan Party or Subsidiary will deliver reasonably prompt notice to the Administrative Agent and the Lenders of such violation.</w:t>
      </w:r>
    </w:p>
    <w:p>
      <w:pPr>
        <w:spacing w:after="0" w:line="187"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Each notice delivered under this Section (i) shall be in writing, (ii) shall contain a heading or a reference line that reads “Notice under Section 5.02 of Credit Agreement dated March 22, 2021”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9"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Each Loan Party will, and will cause each Subsidiary to, (a) do or cause to be done all things necessary to preserve, renew and keep in full force and effect (i) its legal existence and (ii) the rights, qualifications, licenses, permits, franchises, governmental authorizations, intellectual property rights, licenses and permits material to the conduct of its business, except in the case of this subclause</w:t>
      </w:r>
    </w:p>
    <w:p>
      <w:pPr>
        <w:spacing w:after="0" w:line="2" w:lineRule="exact"/>
        <w:rPr>
          <w:sz w:val="20"/>
          <w:szCs w:val="20"/>
          <w:color w:val="auto"/>
        </w:rPr>
      </w:pPr>
    </w:p>
    <w:p>
      <w:pPr>
        <w:ind w:left="4" w:right="240" w:hanging="4"/>
        <w:spacing w:after="0" w:line="260" w:lineRule="auto"/>
        <w:tabs>
          <w:tab w:leader="none" w:pos="26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the extent that failure to do so, either individually or in the aggregate, would not reasonably be expected to have a Material Adverse Effect, and maintain all requisite authority to conduct its business in each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4"/>
          </w:cols>
          <w:pgMar w:left="436" w:top="274" w:right="459" w:bottom="1440" w:gutter="0" w:footer="0" w:header="0"/>
        </w:sectPr>
      </w:pPr>
    </w:p>
    <w:bookmarkStart w:id="319" w:name="page320"/>
    <w:bookmarkEnd w:id="319"/>
    <w:p>
      <w:pPr>
        <w:ind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jurisdiction in which its business is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84"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Loan Party will, and will cause each Subsidiary to, pay or discharge all Material Indebtedness and all federal and state and other material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such liabilities would not result in aggregate liabilities in excess of $4,000,000 and none of the Collateral would become subject to forfeiture or loss as a result of the contest; provided, however, that each Loan Party will, and will cause each Subsidiary to, remit withholding taxes and other payroll taxes to appropriate Governmental Authorities as and when claimed to be due, notwithstanding the foregoing exceptions.</w:t>
      </w:r>
    </w:p>
    <w:p>
      <w:pPr>
        <w:spacing w:after="0" w:line="195"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where the failure to do so, either individually or in the aggregate, would not reasonably be expected to have a Material Adverse Effect, each Loan Party will, and will cause each Subsidiary to, keep and maintain all property material to the conduct of its business in good working order and condition, ordinary wear and tear excepted.</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Each Loan Party will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or any consultants, accountants, lawyers, agents and appraisers retained by the Administrative Agent), upon reasonable prior notice and during the Company’s normal business hours,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(and hereby authorizes the Administrative Agent to contact its independent accountants directly) and to provide contact information for each bank where each Loan Party has a depository and/or securities account and each such Loan Party hereby authorizes the Administrative Agent to contact the bank(s) in order to request bank statements and/or balances, all at such reasonable times and as often as reasonably requested; provided, that if an Event of Default has occurred and is continuing, the Administrative Agent or any Lender (or any of their respective representatives or independent contractors) may do any of the foregoing without advance notice. Each Loan Party acknowledges that the Administrative Agent, after exercising its rights of inspection, may prepare and distribute to the Lenders certain Reports pertaining to the Loan Parties’ assets for internal use by the Administrative Agent and the Lenders. The Loan Parties shall be responsible for the costs of expenses of one (1) field examination during any 12-month period and one (1) additional field examination (for the total of two (2) such field examinations during any 12-month period) conducted at any time after Availability falls below 15% of the Aggregate Revolving Commitment; provided, that the Loan Parties shall be responsible for the costs and expenses of all field examinations conducted while an Event of Default has occurred and is continuing.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320" w:name="page321"/>
    <w:bookmarkEnd w:id="32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5.07 </w:t>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Each Loan Party will, and will cause each Subsidiary to, (a) comply with each Requirement of Law applicable to it or its property (including without limitation Environmental Laws) and (b) perform in all respects its obligations under agreements to which it is a party, except, in each case, where the failure to do so, individually or in the aggregate, would not reasonably be expected to result in a Material Adverse Effect. Each Loan Party will maintain in effect and enforce policies and procedures designed to promote and achieve compliance by such Loan Party, its Subsidiaries and their respective directors, officers, employees and agents with Anti-Corruption Laws and applicable Sanctions.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57" w:lineRule="auto"/>
        <w:tabs>
          <w:tab w:leader="none" w:pos="68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proceeds of the Loans and the Letters of Credit will be used only for working capital and other general corporate purposes by the Loan Documents (including for capital expenditures, Permitted Acquisitions, the repayment or refinancing of Indebtedness and the making of Investments). No part of the proceeds of any Loan and no Letter of Credit will be used, whether directly or indirectly, for any purpose that entails a violation of any of the regulations of the Federal Reserve Board, including Regulations T, U and X. Letters of Credit will be issued only to support business and operations of the Loan Parties and their Subsidiaries.</w:t>
      </w:r>
    </w:p>
    <w:p>
      <w:pPr>
        <w:spacing w:after="0" w:line="187" w:lineRule="exact"/>
        <w:rPr>
          <w:rFonts w:ascii="Arial" w:cs="Arial" w:eastAsia="Arial" w:hAnsi="Arial"/>
          <w:sz w:val="18"/>
          <w:szCs w:val="18"/>
          <w:color w:val="auto"/>
        </w:rPr>
      </w:pPr>
    </w:p>
    <w:p>
      <w:pPr>
        <w:ind w:right="140" w:firstLine="436"/>
        <w:spacing w:after="0" w:line="255" w:lineRule="auto"/>
        <w:tabs>
          <w:tab w:leader="none" w:pos="69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Borrower will not request any Borrowing or Letter of Credit, and the Borrower shall not use, and the Borrower shall ensure that its Subsidiaries and its and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2"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(when taken as a whole), in the light of the circumstances under which they were made, not materially misleading, and the furnishing of such information shall be deemed to be a representation and warranty by the Borrower on the date thereof as to the matters specified in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representation is made with respect to general economic or industry information and (b) with respect to projected and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financial information, the Borrower represents only that such information was prepared in good faith based upon assumptions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believed by the Borrower to be reasonable at the time of preparation; it being understood that such projections may vary from actual results and that such variances may be material.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321" w:name="page322"/>
    <w:bookmarkEnd w:id="321"/>
    <w:p>
      <w:pPr>
        <w:ind w:left="4"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Insurance</w:t>
      </w:r>
      <w:r>
        <w:rPr>
          <w:rFonts w:ascii="Arial" w:cs="Arial" w:eastAsia="Arial" w:hAnsi="Arial"/>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but no less frequently than annually, information in reasonable detail as to the insurance so maintained.</w:t>
      </w:r>
    </w:p>
    <w:p>
      <w:pPr>
        <w:spacing w:after="0" w:line="195"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Casualty and Condemnation</w:t>
      </w:r>
      <w:r>
        <w:rPr>
          <w:rFonts w:ascii="Arial" w:cs="Arial" w:eastAsia="Arial" w:hAnsi="Arial"/>
          <w:sz w:val="17"/>
          <w:szCs w:val="17"/>
          <w:color w:val="auto"/>
        </w:rPr>
        <w:t>. The Borrower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76"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Appraisals</w:t>
      </w:r>
      <w:r>
        <w:rPr>
          <w:rFonts w:ascii="Arial" w:cs="Arial" w:eastAsia="Arial" w:hAnsi="Arial"/>
          <w:sz w:val="17"/>
          <w:szCs w:val="17"/>
          <w:color w:val="auto"/>
        </w:rPr>
        <w:t>. At any time that the Administrative Agent requests, each Loan Party will provide the Administrative Agent with appraisals or updates thereof of its Inventory from an appraiser selected and engaged by the Administrative Agent in consultation with the Borrower, and prepared on a basis reasonably satisfactory to the Administrative Agent, such appraisals and updates to include, without limitation, information required by any applicable Requirement of Law. The Loan Parties shall be responsible for the costs of expenses of one (1) Inventory appraisal during any 12-month period and one (1) additional field examination (for the total of two (2) such Inventory appraisals during any 12-month period) conducted at any time after Availability falls below 15% of the Aggregate Revolving Commitment. Additionally, there shall be no limitation on the number or frequency of Inventory appraisals if an Event of Default has occurred and is continuing, and the Loan Parties shall be responsible for the costs and expenses of any such appraisals conducted while an Event of Default has occurred and is continuing.</w:t>
      </w:r>
    </w:p>
    <w:p>
      <w:pPr>
        <w:spacing w:after="0" w:line="178"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Depository Banks</w:t>
      </w:r>
      <w:r>
        <w:rPr>
          <w:rFonts w:ascii="Arial" w:cs="Arial" w:eastAsia="Arial" w:hAnsi="Arial"/>
          <w:sz w:val="16"/>
          <w:szCs w:val="16"/>
          <w:color w:val="auto"/>
        </w:rPr>
        <w:t>. Within one hundred twenty (120) days of the Effective Date, or such later date as shall be agreed to by Administrative Agent, in its sole discretion, the Loan Parties will maintain their primary depository, blocked account and cash management relationship with Administrative Agent or an Affiliate of the Administrative Agent; provided, that, (i) with respect to the Collection Account and the Concentration Account, (x) on or prior to the Effective Date, such accounts shall be maintained with the Administrative Agent or an Affiliate of the Administrative Agent, (y) on or prior to the Effective Date, such accounts shall meet all applicable requirements set forth in the Term Loan Credit Agreement, and</w:t>
      </w:r>
    </w:p>
    <w:p>
      <w:pPr>
        <w:spacing w:after="0" w:line="2" w:lineRule="exact"/>
        <w:rPr>
          <w:sz w:val="20"/>
          <w:szCs w:val="20"/>
          <w:color w:val="auto"/>
        </w:rPr>
      </w:pPr>
    </w:p>
    <w:p>
      <w:pPr>
        <w:ind w:left="4" w:right="80" w:hanging="4"/>
        <w:spacing w:after="0" w:line="295" w:lineRule="auto"/>
        <w:tabs>
          <w:tab w:leader="none" w:pos="249" w:val="left"/>
        </w:tabs>
        <w:numPr>
          <w:ilvl w:val="0"/>
          <w:numId w:val="388"/>
        </w:numPr>
        <w:rPr>
          <w:rFonts w:ascii="Arial" w:cs="Arial" w:eastAsia="Arial" w:hAnsi="Arial"/>
          <w:sz w:val="16"/>
          <w:szCs w:val="16"/>
          <w:color w:val="auto"/>
        </w:rPr>
      </w:pPr>
      <w:r>
        <w:rPr>
          <w:rFonts w:ascii="Arial" w:cs="Arial" w:eastAsia="Arial" w:hAnsi="Arial"/>
          <w:sz w:val="16"/>
          <w:szCs w:val="16"/>
          <w:color w:val="auto"/>
        </w:rPr>
        <w:t>within one hundred twenty (120) days of the Effective Date, such accounts shall be subject to a Control Agreement and (ii) within sixty (60) days of the Effective Date, the Loan Parties shall have established Lock Boxes with the banks set forth on Exhibit B to the Security Agreement, which Lock Boxes shall be subject to Lock Box Agreements. Within sixty (60) days of the Effective Date, the Administrative Agent shall have control of all other deposit and securities accounts of all Loan Parties (other than Excluded Deposit Accounts) pursuant to executed Control Agreements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322" w:name="page323"/>
    <w:bookmarkEnd w:id="322"/>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other executed documentation as shall be required by Administrative Agent, in its reasonable discretion, such documentation to be in form and substance satisfactory to Administrative Agent and delivered to Administrative Agent, it being understood and agreed that, other than with respect to any Excluded Deposit Account, Company and the other Loan Parties will cause or direct all cash to be transferred daily to, and maintained in, accounts subject to a Control Agreement. During any Availability Triggering Covenant Event Period the Administrative Agent may at all times require that all such cash be swept on a daily basis to an account of Administrative Agent to be applied by Administrative Agent to repay outstanding Loans, LC Disbursements, other amounts then due and payable, and, if an Event of Default exists, to cash collateralize outstanding Letters of Credit in an amount equal to 105% of the face amount thereof (“</w:t>
      </w:r>
      <w:r>
        <w:rPr>
          <w:rFonts w:ascii="Arial" w:cs="Arial" w:eastAsia="Arial" w:hAnsi="Arial"/>
          <w:sz w:val="16"/>
          <w:szCs w:val="16"/>
          <w:u w:val="single" w:color="auto"/>
          <w:color w:val="auto"/>
        </w:rPr>
        <w:t>Cash Dominion</w:t>
      </w:r>
      <w:r>
        <w:rPr>
          <w:rFonts w:ascii="Arial" w:cs="Arial" w:eastAsia="Arial" w:hAnsi="Arial"/>
          <w:sz w:val="16"/>
          <w:szCs w:val="16"/>
          <w:color w:val="auto"/>
        </w:rPr>
        <w:t>”). Unless an Availability Triggering Covenant Event Period is continuing, the Administrative Agent waives Cash Dominion. Subject to Section 5.15, with respect to any deposit accounts or securities accounts not maintained with the Administrative Agent or an Affiliate of the Administrative Agent, Loan Parties shall maintain springing or blocked deposit accounts pursuant to springing, lockbox and blocked account arrangements reasonably acceptable to Administrative Agent with such banks as may be selected by the Borrower and be reasonably acceptable to Administrative Agent; provided, that Administrative Agent hereby agrees that it shall not institute or otherwise require a Control Agreement and/or springing or blocked account agreement with regard to any Excluded Deposit Account maintained by any Loan Party. At any time Cash Dominion is in existence, Administrative Agent shall have the right to issue to any such banks irrevocable instructions directing such banks to remit all payments or other remittances received in the accounts to an account of Administrative Agent for application on account of the Obligations as provided herein. Administrative Agent assumes no responsibility for such lockbox and blocked account arrangements, including, without limitation, any claim of accord and satisfaction or release with respect to deposits accepted by any bank thereunder. For each deposit account or brokerage account that any Loan Party at any time opens after the Effective Date, the Loan Parties shall maintain such account with the Administrative Agent and enter into a Control Agreement and/or blocked account agreement in accordance with this Section.</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Additional Collateral; Further Assurances</w:t>
      </w:r>
      <w:r>
        <w:rPr>
          <w:rFonts w:ascii="Arial" w:cs="Arial" w:eastAsia="Arial" w:hAnsi="Arial"/>
          <w:sz w:val="16"/>
          <w:szCs w:val="16"/>
          <w:color w:val="auto"/>
        </w:rPr>
        <w:t>. (a) Subject to applicable Requirement of Law, each Loan Party will cause each Subsidiary (other than Excluded Subsidiaries) formed or acquired after the date of this Agreement to become a Loan Party by executing a Joinder Agreement within forty-five (45) days of such formation or acquisition (or such longer period as the Administrative Agent shall approve in its sole discretion).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that constitutes Collateral. Notwithstanding anything herein or in the Term Loan Documents to the contrary and subject to the Lien priorities specified within the Intercreditor Agreement, (x) no Person shall become a Guarantor (as defined in the Term Loan Credit Agreement) under the Term Loan Credit Agreement if they are not a Guarantor hereunder, and (y) no Person shall grant Liens to the Term Loan Agent in any property of such Loan Party that constitutes Collateral (as defined in the Term Loan Credit Agreement) under the Term Loan Credit Agreement or the Term Loan Documents if they do not grant Liens to the Administrative Agent in such property of such Loan Party that constitutes Collateral under this Agreement or the Loan Documents.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40" w:top="274" w:right="479" w:bottom="1440" w:gutter="0" w:footer="0" w:header="0"/>
        </w:sectPr>
      </w:pPr>
    </w:p>
    <w:bookmarkStart w:id="323" w:name="page324"/>
    <w:bookmarkEnd w:id="323"/>
    <w:p>
      <w:pPr>
        <w:ind w:right="220" w:firstLine="436"/>
        <w:spacing w:after="0" w:line="293" w:lineRule="auto"/>
        <w:tabs>
          <w:tab w:leader="none" w:pos="695"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organized in Mexico, Brazil and Poland or Foreign Subsidiary Holding Company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64" w:lineRule="exact"/>
        <w:rPr>
          <w:rFonts w:ascii="Arial" w:cs="Arial" w:eastAsia="Arial" w:hAnsi="Arial"/>
          <w:sz w:val="16"/>
          <w:szCs w:val="16"/>
          <w:color w:val="auto"/>
        </w:rPr>
      </w:pPr>
    </w:p>
    <w:p>
      <w:pPr>
        <w:ind w:right="60" w:firstLine="436"/>
        <w:spacing w:after="0" w:line="254" w:lineRule="auto"/>
        <w:tabs>
          <w:tab w:leader="none" w:pos="68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of financing statements, mortgages, deeds of trust and other documents and such other actions or deliveries of the type required by Section 4.01, as applicable), that may be required by any Requirement of Law or that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94"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any assets (excluding Excluded Assets)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92" w:lineRule="exact"/>
        <w:rPr>
          <w:rFonts w:ascii="Arial" w:cs="Arial" w:eastAsia="Arial" w:hAnsi="Arial"/>
          <w:sz w:val="18"/>
          <w:szCs w:val="18"/>
          <w:color w:val="auto"/>
        </w:rPr>
      </w:pPr>
    </w:p>
    <w:p>
      <w:pPr>
        <w:ind w:firstLine="436"/>
        <w:spacing w:after="0" w:line="289" w:lineRule="auto"/>
        <w:tabs>
          <w:tab w:leader="none" w:pos="68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Each Loan Party shall use commercially reasonable efforts to obtain a Collateral Access Agreement, from the lessor of each leased property, mortgagee of owned property or bailee or consignee with respect to any warehouse, processor or converter facility or other location where Collateral is stored or located with a fair market value in excess of $250,000 (other than any such locations that are leased by the Loan Parties as of the Effective Date),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After the Effective Date, no real property or warehouse space shall be leased by such Loan Party and no Inventory shall be shipped to a processor or converter under arrangements established after the Effective Date, unless and until a satisfactory Collateral Access Agreement shall first have been obtained with respect to such location. Such Loan Party shall timely and fully pay and perform its obligations under all leases and other agreements with respect to each leased location or third party warehouse where any Collateral is or may be located.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324" w:name="page325"/>
    <w:bookmarkEnd w:id="324"/>
    <w:p>
      <w:pPr>
        <w:ind w:right="40" w:firstLine="436"/>
        <w:spacing w:after="0" w:line="286" w:lineRule="auto"/>
        <w:tabs>
          <w:tab w:leader="none" w:pos="665" w:val="left"/>
        </w:tabs>
        <w:numPr>
          <w:ilvl w:val="0"/>
          <w:numId w:val="3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Effective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Lien on any Material Real Property or personal property of each Loan Party, including, without limitation, such property acquired subsequent to the Effective Date, in which the Administrative Agent does not have a perfected first priority Lien (subject to the terms of the Intercreditor Agreement and any Liens permitted pursuant to Section 6.02). The Borrower agrees, (i) in the case of Material Real Property, to provide all Real Estate Requirements with respect to such Material Real Property within ninety (90) days (or such later time as may be specified by the Administrative Agent in its sole but reasonable discretion) of acquisition of such Material Real Property, and (ii) in all other cases, within ten (10)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reasonably require. The Borrower shall pay all recordation, legal and other expenses in connection therewith.</w:t>
      </w:r>
    </w:p>
    <w:p>
      <w:pPr>
        <w:spacing w:after="0" w:line="173" w:lineRule="exact"/>
        <w:rPr>
          <w:rFonts w:ascii="Arial" w:cs="Arial" w:eastAsia="Arial" w:hAnsi="Arial"/>
          <w:sz w:val="16"/>
          <w:szCs w:val="16"/>
          <w:color w:val="auto"/>
        </w:rPr>
      </w:pPr>
    </w:p>
    <w:p>
      <w:pPr>
        <w:ind w:right="40" w:firstLine="436"/>
        <w:spacing w:after="0" w:line="253" w:lineRule="auto"/>
        <w:tabs>
          <w:tab w:leader="none" w:pos="69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In the event that the Immaterial Subsidiaries, when taken as a whole, (i) 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Consolidated EBITDA attributable to, and net book value of the assets held by, the remaining Immaterial Subsidiaries, when taken as a whole, shall be less than the required percentages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(g)</w:t>
      </w:r>
      <w:r>
        <w:rPr>
          <w:rFonts w:ascii="Arial" w:cs="Arial" w:eastAsia="Arial" w:hAnsi="Arial"/>
          <w:sz w:val="18"/>
          <w:szCs w:val="18"/>
          <w:color w:val="auto"/>
        </w:rPr>
        <w:t>. Notwithstanding anything contained herein to the contrary and for the avoidance of doubt, no Subsidiary shall constitute either an Immaterial Subsidiary if such Subsidiary guarantees or provides a Lien on its assets or otherwise provide credit support with respect to any other Indebtedness of any Loan Party.</w:t>
      </w:r>
    </w:p>
    <w:p>
      <w:pPr>
        <w:spacing w:after="0" w:line="19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Each Loan Party shall, and shall cause each of its Subsidiaries to, as applicable, satisfy the requirements set forth on Schedule 5.15 on or before the respective date specified for each such requirement or such later date as is agreed to by Administrative Agent in its sole discretion.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325" w:name="page326"/>
    <w:bookmarkEnd w:id="32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Until all of the Secured Obligations have been Paid in Full, each Loan Party executing this Agreement covenants and agrees, and shall cause each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Subsidiary to covenant and agree, jointly and severally with all of the other Loan Parties and such Subsidiaries, with the Lenders that:</w:t>
      </w:r>
    </w:p>
    <w:p>
      <w:pPr>
        <w:spacing w:after="0" w:line="103"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will, nor will it permit any Subsidiary to, create, incur, assume or suffer to exist any Indebtedness, except:</w:t>
      </w:r>
    </w:p>
    <w:p>
      <w:pPr>
        <w:spacing w:after="0" w:line="62" w:lineRule="exact"/>
        <w:rPr>
          <w:sz w:val="20"/>
          <w:szCs w:val="20"/>
          <w:color w:val="auto"/>
        </w:rPr>
      </w:pPr>
    </w:p>
    <w:p>
      <w:pPr>
        <w:ind w:left="684" w:hanging="244"/>
        <w:spacing w:after="0"/>
        <w:tabs>
          <w:tab w:leader="none" w:pos="684"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the Secured Obligations (including Indebtedness created under an incremental revolving facility increase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704" w:hanging="264"/>
        <w:spacing w:after="0"/>
        <w:tabs>
          <w:tab w:leader="none" w:pos="704"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any Refinance in respect thereof;</w:t>
      </w:r>
    </w:p>
    <w:p>
      <w:pPr>
        <w:spacing w:after="0" w:line="225"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any Subsidiary and of any Subsidiary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Indebtedness of any Subsidiary that is not a Loan Party to the Borrower or any other Loan Party shall be subject to Section 6.04(c), (d) and (e) and (ii) Indebtedness of any Loan Party to any Subsidiary that is not a Loan Party shall be subordinated to the Secured Obligations on terms reasonably satisfactory to the Administrative Agent;</w:t>
      </w:r>
    </w:p>
    <w:p>
      <w:pPr>
        <w:spacing w:after="0" w:line="186" w:lineRule="exact"/>
        <w:rPr>
          <w:rFonts w:ascii="Arial" w:cs="Arial" w:eastAsia="Arial" w:hAnsi="Arial"/>
          <w:sz w:val="18"/>
          <w:szCs w:val="18"/>
          <w:color w:val="auto"/>
        </w:rPr>
      </w:pPr>
    </w:p>
    <w:p>
      <w:pPr>
        <w:ind w:left="4" w:firstLine="436"/>
        <w:spacing w:after="0" w:line="301" w:lineRule="auto"/>
        <w:tabs>
          <w:tab w:leader="none" w:pos="699" w:val="left"/>
        </w:tabs>
        <w:numPr>
          <w:ilvl w:val="1"/>
          <w:numId w:val="391"/>
        </w:numPr>
        <w:rPr>
          <w:rFonts w:ascii="Arial" w:cs="Arial" w:eastAsia="Arial" w:hAnsi="Arial"/>
          <w:sz w:val="16"/>
          <w:szCs w:val="16"/>
          <w:color w:val="auto"/>
        </w:rPr>
      </w:pPr>
      <w:r>
        <w:rPr>
          <w:rFonts w:ascii="Arial" w:cs="Arial" w:eastAsia="Arial" w:hAnsi="Arial"/>
          <w:sz w:val="16"/>
          <w:szCs w:val="16"/>
          <w:color w:val="auto"/>
        </w:rPr>
        <w:t xml:space="preserve">Guarantees by the Borrower of Indebtedness of any Subsidiary and by any Subsidiary of Indebtedness of the Borrower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Indebtedness so Guaranteed is permitted by this Section 6.01, (ii) Guarantees by the Borrower or any other Loan Party of Indebtedness of any Subsidiary that is not a Loan Party shall be subject to Section 6.04(c) and (iii) Guarantees permitted under this clause (d) shall be subordinated to the Secured Obligations on the same terms as the Indebtedness so Guaranteed is subordinated to the Secured Obligations;</w:t>
      </w:r>
    </w:p>
    <w:p>
      <w:pPr>
        <w:spacing w:after="0" w:line="157" w:lineRule="exact"/>
        <w:rPr>
          <w:rFonts w:ascii="Arial" w:cs="Arial" w:eastAsia="Arial" w:hAnsi="Arial"/>
          <w:sz w:val="16"/>
          <w:szCs w:val="16"/>
          <w:color w:val="auto"/>
        </w:rPr>
      </w:pPr>
    </w:p>
    <w:p>
      <w:pPr>
        <w:ind w:left="4" w:right="100" w:firstLine="436"/>
        <w:spacing w:after="0" w:line="285" w:lineRule="auto"/>
        <w:tabs>
          <w:tab w:leader="none" w:pos="689" w:val="left"/>
        </w:tabs>
        <w:numPr>
          <w:ilvl w:val="1"/>
          <w:numId w:val="391"/>
        </w:numPr>
        <w:rPr>
          <w:rFonts w:ascii="Arial" w:cs="Arial" w:eastAsia="Arial" w:hAnsi="Arial"/>
          <w:sz w:val="16"/>
          <w:szCs w:val="16"/>
          <w:color w:val="auto"/>
        </w:rPr>
      </w:pPr>
      <w:r>
        <w:rPr>
          <w:rFonts w:ascii="Arial" w:cs="Arial" w:eastAsia="Arial" w:hAnsi="Arial"/>
          <w:sz w:val="16"/>
          <w:szCs w:val="16"/>
          <w:color w:val="auto"/>
        </w:rPr>
        <w:t xml:space="preserve">Indebtedness of the Borrower or any Subsidiary incurred to finance the acquisition, construction or improvement of any fixed or capital assets (whether or not constituting purchase money Indebtedness), including Financing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incurred prior to or within 90 days after such acquisition or the completion of such construction or improvement and (ii) the aggregate principal amount of Indebtedness permitted by this clause</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together with any Refinance Indebtedness in respect thereof permitted by clause (f) below, shall not exceed $20,000,000 at any time outstanding;</w:t>
      </w:r>
    </w:p>
    <w:p>
      <w:pPr>
        <w:spacing w:after="0" w:line="233" w:lineRule="exact"/>
        <w:rPr>
          <w:rFonts w:ascii="Arial" w:cs="Arial" w:eastAsia="Arial" w:hAnsi="Arial"/>
          <w:sz w:val="16"/>
          <w:szCs w:val="16"/>
          <w:color w:val="auto"/>
        </w:rPr>
      </w:pPr>
    </w:p>
    <w:p>
      <w:pPr>
        <w:ind w:left="4" w:right="180" w:firstLine="436"/>
        <w:spacing w:after="0" w:line="259" w:lineRule="auto"/>
        <w:tabs>
          <w:tab w:leader="none" w:pos="669"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Indebtedness that represents extensions, renewals, refinancing or replacements (such Indebtedness being so extended, renewed, refinanced or replaced being referred to herein as the “</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of any of the Indebtedness described in clauses (b), (e), (j) and (k) hereof (such Indebtedness being referred to herein as the “</w:t>
      </w:r>
      <w:r>
        <w:rPr>
          <w:rFonts w:ascii="Arial" w:cs="Arial" w:eastAsia="Arial" w:hAnsi="Arial"/>
          <w:sz w:val="18"/>
          <w:szCs w:val="18"/>
          <w:u w:val="single" w:color="auto"/>
          <w:color w:val="auto"/>
        </w:rPr>
        <w:t>Original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Refinance Indebtedness does not increase the principal amount or interest rate of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326" w:name="page327"/>
    <w:bookmarkEnd w:id="32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77" w:lineRule="exact"/>
        <w:rPr>
          <w:sz w:val="20"/>
          <w:szCs w:val="20"/>
          <w:color w:val="auto"/>
        </w:rPr>
      </w:pPr>
    </w:p>
    <w:p>
      <w:pPr>
        <w:ind w:right="240" w:firstLine="436"/>
        <w:spacing w:after="0" w:line="342" w:lineRule="auto"/>
        <w:tabs>
          <w:tab w:leader="none" w:pos="69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23"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Indebtedness of any Loan Party in respect of performance bonds, bid bonds, appeal bonds, surety bonds and similar obligations, in each case provided in the ordinary course of business;</w:t>
      </w:r>
    </w:p>
    <w:p>
      <w:pPr>
        <w:spacing w:after="0" w:line="170" w:lineRule="exact"/>
        <w:rPr>
          <w:rFonts w:ascii="Arial" w:cs="Arial" w:eastAsia="Arial" w:hAnsi="Arial"/>
          <w:sz w:val="18"/>
          <w:szCs w:val="18"/>
          <w:color w:val="auto"/>
        </w:rPr>
      </w:pPr>
    </w:p>
    <w:p>
      <w:pPr>
        <w:ind w:right="220" w:firstLine="436"/>
        <w:spacing w:after="0" w:line="263" w:lineRule="auto"/>
        <w:tabs>
          <w:tab w:leader="none" w:pos="6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so long as the Term Debt is subject to the terms and conditions of the Intercreditor Agreement, the Term Debt in an aggregate amount outstanding under this clause (i) at any time not to exceed the Term Loan Cap (as defined in the Intercreditor Agreement) at any time outstanding and any permitted refinancing (as permitted in the Intercreditor Agreement) thereof;</w:t>
      </w:r>
    </w:p>
    <w:p>
      <w:pPr>
        <w:spacing w:after="0" w:line="183" w:lineRule="exact"/>
        <w:rPr>
          <w:rFonts w:ascii="Arial" w:cs="Arial" w:eastAsia="Arial" w:hAnsi="Arial"/>
          <w:sz w:val="18"/>
          <w:szCs w:val="18"/>
          <w:color w:val="auto"/>
        </w:rPr>
      </w:pPr>
    </w:p>
    <w:p>
      <w:pPr>
        <w:ind w:right="20" w:firstLine="436"/>
        <w:spacing w:after="0" w:line="269" w:lineRule="auto"/>
        <w:tabs>
          <w:tab w:leader="none" w:pos="65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Subsidiary of a Loan Party after the date hereof pursuant to a Permitted Acquisition and any Refinancing Indebtedness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existing at the time such Person becomes a Subsidiary of such Loan Party (and is not incurred in contemplation of such Person’s becoming a Subsidiary of such Loan Party), (ii) no Event of Default has occurred and is continuing, (iii)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and to the application of the proceeds thereof (but disregarding any costs constituting proceeds thereof for the purposes of netting), the Borrower and its Subsidiaries shall be in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with (A) the Payment Conditions and (B) the Consolidated Net Leverage Ratio required pursuant to Section 7.14 of the Term Loan Credit Agreement, (iv) such Indebtedness is either secured by a Lien on the Collateral that is junior to the Liens securing the Obligations or is unsecured and (v) the aggregate principal amount of Indebtedness outstanding in reliance on this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185" w:lineRule="exact"/>
        <w:rPr>
          <w:rFonts w:ascii="Arial" w:cs="Arial" w:eastAsia="Arial" w:hAnsi="Arial"/>
          <w:sz w:val="17"/>
          <w:szCs w:val="17"/>
          <w:color w:val="auto"/>
        </w:rPr>
      </w:pPr>
    </w:p>
    <w:p>
      <w:pPr>
        <w:ind w:firstLine="436"/>
        <w:spacing w:after="0" w:line="277" w:lineRule="auto"/>
        <w:tabs>
          <w:tab w:leader="none" w:pos="69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Indebtedness under any Swap Agreement, so long as such Swap Agreement shall have been entered into in the ordinary course of business and not for speculative purposes;</w:t>
      </w:r>
    </w:p>
    <w:p>
      <w:pPr>
        <w:spacing w:after="0" w:line="170" w:lineRule="exact"/>
        <w:rPr>
          <w:rFonts w:ascii="Arial" w:cs="Arial" w:eastAsia="Arial" w:hAnsi="Arial"/>
          <w:sz w:val="18"/>
          <w:szCs w:val="18"/>
          <w:color w:val="auto"/>
        </w:rPr>
      </w:pPr>
    </w:p>
    <w:p>
      <w:pPr>
        <w:ind w:right="200" w:firstLine="436"/>
        <w:spacing w:after="0" w:line="277" w:lineRule="auto"/>
        <w:tabs>
          <w:tab w:leader="none" w:pos="6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$5,000,000 at any time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0"/>
          </w:cols>
          <w:pgMar w:left="440" w:top="274" w:right="479" w:bottom="1440" w:gutter="0" w:footer="0" w:header="0"/>
        </w:sectPr>
      </w:pPr>
    </w:p>
    <w:bookmarkStart w:id="327" w:name="page328"/>
    <w:bookmarkEnd w:id="327"/>
    <w:p>
      <w:pPr>
        <w:ind w:left="744" w:hanging="304"/>
        <w:spacing w:after="0"/>
        <w:tabs>
          <w:tab w:leader="none" w:pos="7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4" w:right="520" w:firstLine="436"/>
        <w:spacing w:after="0" w:line="277" w:lineRule="auto"/>
        <w:tabs>
          <w:tab w:leader="none" w:pos="69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obligations (which shall not constitute Indebtedness for borrowed money) under any Supplier Financing Agreement, in an aggregate amount for all such obligations under this clause (n) not to exceed $20,000,000 in the aggregate;</w:t>
      </w:r>
    </w:p>
    <w:p>
      <w:pPr>
        <w:spacing w:after="0" w:line="170" w:lineRule="exact"/>
        <w:rPr>
          <w:rFonts w:ascii="Arial" w:cs="Arial" w:eastAsia="Arial" w:hAnsi="Arial"/>
          <w:sz w:val="18"/>
          <w:szCs w:val="18"/>
          <w:color w:val="auto"/>
        </w:rPr>
      </w:pPr>
    </w:p>
    <w:p>
      <w:pPr>
        <w:ind w:left="4" w:right="200" w:firstLine="436"/>
        <w:spacing w:after="0" w:line="296" w:lineRule="auto"/>
        <w:tabs>
          <w:tab w:leader="none" w:pos="699"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for the Borrower and all of its Subsidiaries not to exceed $15,000,000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Indebtedness is secured, it may only be secured by a Lien on the Collateral that is junior to the Liens securing the Obligations and subject to (i) no Event of Default has occurred and is continuing and (ii)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to any Indebtedness incurred in connection therewith), the Borrower and its Subsidiaries shall be in compliance with the Consolidated Net Leverage Ratio as set forth in the Term Loan Credit Agreement (as in effect on the Effective Date or as amended with the consent of the Administrative Agent); and</w:t>
      </w:r>
    </w:p>
    <w:p>
      <w:pPr>
        <w:spacing w:after="0" w:line="161" w:lineRule="exact"/>
        <w:rPr>
          <w:rFonts w:ascii="Arial" w:cs="Arial" w:eastAsia="Arial" w:hAnsi="Arial"/>
          <w:sz w:val="16"/>
          <w:szCs w:val="16"/>
          <w:color w:val="auto"/>
        </w:rPr>
      </w:pPr>
    </w:p>
    <w:p>
      <w:pPr>
        <w:ind w:left="4" w:right="340" w:firstLine="436"/>
        <w:spacing w:after="0" w:line="342" w:lineRule="auto"/>
        <w:tabs>
          <w:tab w:leader="none" w:pos="699"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Series D Preferred Stock on an unsecured basis, which, for the avoidance of doubt, shall also permit the accrual of interest or preferred return that is paid in the form of additional Indebtedness (including, without limitation, the form of an increase to a liquidation preference).</w:t>
      </w:r>
    </w:p>
    <w:p>
      <w:pPr>
        <w:spacing w:after="0" w:line="124"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6" w:lineRule="exact"/>
        <w:rPr>
          <w:sz w:val="20"/>
          <w:szCs w:val="20"/>
          <w:color w:val="auto"/>
        </w:rPr>
      </w:pPr>
    </w:p>
    <w:p>
      <w:pPr>
        <w:ind w:left="684" w:hanging="244"/>
        <w:spacing w:after="0"/>
        <w:tabs>
          <w:tab w:leader="none" w:pos="68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395"/>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 w:hanging="4"/>
        <w:spacing w:after="0" w:line="271" w:lineRule="auto"/>
        <w:tabs>
          <w:tab w:leader="none" w:pos="219" w:val="left"/>
        </w:tabs>
        <w:numPr>
          <w:ilvl w:val="0"/>
          <w:numId w:val="396"/>
        </w:numPr>
        <w:rPr>
          <w:rFonts w:ascii="Arial" w:cs="Arial" w:eastAsia="Arial" w:hAnsi="Arial"/>
          <w:sz w:val="17"/>
          <w:szCs w:val="17"/>
          <w:color w:val="auto"/>
        </w:rPr>
      </w:pPr>
      <w:r>
        <w:rPr>
          <w:rFonts w:ascii="Arial" w:cs="Arial" w:eastAsia="Arial" w:hAnsi="Arial"/>
          <w:sz w:val="17"/>
          <w:szCs w:val="17"/>
          <w:color w:val="auto"/>
        </w:rPr>
        <w:t>such Lien shall not apply to any other property or asset of the Borrower or such Subsidiary or any other Subsidiary and (ii) such Lien shall secure only those obligations that it secures on the date hereof, and extensions, renewals, replacements, refundings or refinancings thereof, but only to the extent that the amount of Indebtedness secured thereby shall not be increased (except by an amount equal to a reasonable premium, and fees and expenses reasonably incurred, in connection with such replacement, extension, renewal, refunding or refinancing and by an amount equal to any existing commitments unutilized thereunder) and the property secured thereby is not expanded or changed;</w:t>
      </w:r>
    </w:p>
    <w:p>
      <w:pPr>
        <w:spacing w:after="0" w:line="178" w:lineRule="exact"/>
        <w:rPr>
          <w:rFonts w:ascii="Arial" w:cs="Arial" w:eastAsia="Arial" w:hAnsi="Arial"/>
          <w:sz w:val="17"/>
          <w:szCs w:val="17"/>
          <w:color w:val="auto"/>
        </w:rPr>
      </w:pPr>
    </w:p>
    <w:p>
      <w:pPr>
        <w:ind w:left="4" w:right="200" w:firstLine="436"/>
        <w:spacing w:after="0" w:line="257" w:lineRule="auto"/>
        <w:tabs>
          <w:tab w:leader="none" w:pos="699" w:val="left"/>
        </w:tabs>
        <w:numPr>
          <w:ilvl w:val="1"/>
          <w:numId w:val="396"/>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such Subsidiary or any other Subsidiary;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4"/>
          </w:cols>
          <w:pgMar w:left="436" w:top="274" w:right="459" w:bottom="1440" w:gutter="0" w:footer="0" w:header="0"/>
        </w:sectPr>
      </w:pPr>
    </w:p>
    <w:bookmarkStart w:id="328" w:name="page329"/>
    <w:bookmarkEnd w:id="328"/>
    <w:p>
      <w:pPr>
        <w:ind w:left="-80" w:firstLine="436"/>
        <w:spacing w:after="0" w:line="293" w:lineRule="auto"/>
        <w:tabs>
          <w:tab w:leader="none" w:pos="605" w:val="left"/>
        </w:tabs>
        <w:numPr>
          <w:ilvl w:val="0"/>
          <w:numId w:val="3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Lien existing on any property or asset (other than Accounts and Inventory) prior to the acquisition thereof by the Borrower or any Subsidiary or existing on any property or asset (other than Accounts and Inventory) of any Person that becomes a Loan Party after the date hereof prior to the time such Person becomes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that it secures on the date of such acquisition or the date such Person becomes a Loan Party, as the case may be, and extensions, renewals and replacements thereof that do not increase the outstanding principal amount thereof;</w:t>
      </w:r>
    </w:p>
    <w:p>
      <w:pPr>
        <w:spacing w:after="0" w:line="164" w:lineRule="exact"/>
        <w:rPr>
          <w:rFonts w:ascii="Arial" w:cs="Arial" w:eastAsia="Arial" w:hAnsi="Arial"/>
          <w:sz w:val="16"/>
          <w:szCs w:val="16"/>
          <w:color w:val="auto"/>
        </w:rPr>
      </w:pPr>
    </w:p>
    <w:p>
      <w:pPr>
        <w:ind w:left="-80" w:right="460" w:firstLine="436"/>
        <w:spacing w:after="0" w:line="277" w:lineRule="auto"/>
        <w:tabs>
          <w:tab w:leader="none" w:pos="58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4-210 of the UCC in effect in the relevant jurisdiction covering only the items being collected upon;</w:t>
      </w:r>
    </w:p>
    <w:p>
      <w:pPr>
        <w:spacing w:after="0" w:line="170" w:lineRule="exact"/>
        <w:rPr>
          <w:rFonts w:ascii="Arial" w:cs="Arial" w:eastAsia="Arial" w:hAnsi="Arial"/>
          <w:sz w:val="18"/>
          <w:szCs w:val="18"/>
          <w:color w:val="auto"/>
        </w:rPr>
      </w:pPr>
    </w:p>
    <w:p>
      <w:pPr>
        <w:ind w:left="620" w:hanging="264"/>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by Section 6.06;</w:t>
      </w:r>
    </w:p>
    <w:p>
      <w:pPr>
        <w:spacing w:after="0" w:line="225" w:lineRule="exact"/>
        <w:rPr>
          <w:rFonts w:ascii="Arial" w:cs="Arial" w:eastAsia="Arial" w:hAnsi="Arial"/>
          <w:sz w:val="18"/>
          <w:szCs w:val="18"/>
          <w:color w:val="auto"/>
        </w:rPr>
      </w:pPr>
    </w:p>
    <w:p>
      <w:pPr>
        <w:ind w:left="620" w:hanging="264"/>
        <w:spacing w:after="0"/>
        <w:tabs>
          <w:tab w:leader="none" w:pos="6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Liens in favor of the Term Loan Agent pursuant to the Term Loan Documents and subject to the terms of the Intercreditor Agreement;</w:t>
      </w:r>
    </w:p>
    <w:p>
      <w:pPr>
        <w:spacing w:after="0" w:line="236" w:lineRule="exact"/>
        <w:rPr>
          <w:rFonts w:ascii="Arial" w:cs="Arial" w:eastAsia="Arial" w:hAnsi="Arial"/>
          <w:sz w:val="17"/>
          <w:szCs w:val="17"/>
          <w:color w:val="auto"/>
        </w:rPr>
      </w:pPr>
    </w:p>
    <w:p>
      <w:pPr>
        <w:ind w:left="-80" w:right="40" w:firstLine="436"/>
        <w:spacing w:after="0" w:line="277" w:lineRule="auto"/>
        <w:tabs>
          <w:tab w:leader="none" w:pos="57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Liens granted by a Subsidiary that is not a Loan Party in favor of the Borrower or another Loan Party in respect of Indebtedness owed by such Subsidiary;</w:t>
      </w:r>
    </w:p>
    <w:p>
      <w:pPr>
        <w:spacing w:after="0" w:line="170" w:lineRule="exact"/>
        <w:rPr>
          <w:rFonts w:ascii="Arial" w:cs="Arial" w:eastAsia="Arial" w:hAnsi="Arial"/>
          <w:sz w:val="18"/>
          <w:szCs w:val="18"/>
          <w:color w:val="auto"/>
        </w:rPr>
      </w:pPr>
    </w:p>
    <w:p>
      <w:pPr>
        <w:ind w:left="580" w:hanging="224"/>
        <w:spacing w:after="0"/>
        <w:tabs>
          <w:tab w:leader="none" w:pos="58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other Liens securing Indebtedness permitted by </w:t>
      </w:r>
      <w:r>
        <w:rPr>
          <w:rFonts w:ascii="Arial" w:cs="Arial" w:eastAsia="Arial" w:hAnsi="Arial"/>
          <w:sz w:val="17"/>
          <w:szCs w:val="17"/>
          <w:u w:val="single" w:color="auto"/>
          <w:color w:val="auto"/>
        </w:rPr>
        <w:t>Section 6.01(k)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shall extend to, or cover, any Collateral;</w:t>
      </w:r>
    </w:p>
    <w:p>
      <w:pPr>
        <w:spacing w:after="0" w:line="236" w:lineRule="exact"/>
        <w:rPr>
          <w:rFonts w:ascii="Arial" w:cs="Arial" w:eastAsia="Arial" w:hAnsi="Arial"/>
          <w:sz w:val="17"/>
          <w:szCs w:val="17"/>
          <w:color w:val="auto"/>
        </w:rPr>
      </w:pPr>
    </w:p>
    <w:p>
      <w:pPr>
        <w:ind w:left="620" w:hanging="264"/>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Liens in respect of any judgment solely to the extent not constituting an Event of Default under </w:t>
      </w:r>
      <w:r>
        <w:rPr>
          <w:rFonts w:ascii="Arial" w:cs="Arial" w:eastAsia="Arial" w:hAnsi="Arial"/>
          <w:sz w:val="18"/>
          <w:szCs w:val="18"/>
          <w:u w:val="single" w:color="auto"/>
          <w:color w:val="auto"/>
        </w:rPr>
        <w:t>Section 8.01(k);</w:t>
      </w:r>
    </w:p>
    <w:p>
      <w:pPr>
        <w:spacing w:after="0" w:line="225" w:lineRule="exact"/>
        <w:rPr>
          <w:rFonts w:ascii="Arial" w:cs="Arial" w:eastAsia="Arial" w:hAnsi="Arial"/>
          <w:sz w:val="18"/>
          <w:szCs w:val="18"/>
          <w:color w:val="auto"/>
        </w:rPr>
      </w:pPr>
    </w:p>
    <w:p>
      <w:pPr>
        <w:ind w:left="-80" w:right="100" w:firstLine="436"/>
        <w:spacing w:after="0" w:line="277" w:lineRule="auto"/>
        <w:tabs>
          <w:tab w:leader="none" w:pos="57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Liens arising solely from precautionary UCC financing statements filed with respect to any consignment agreement entered into by Borrower or any Subsidiary in the ordinary course of business;</w:t>
      </w:r>
    </w:p>
    <w:p>
      <w:pPr>
        <w:spacing w:after="0" w:line="170" w:lineRule="exact"/>
        <w:rPr>
          <w:rFonts w:ascii="Arial" w:cs="Arial" w:eastAsia="Arial" w:hAnsi="Arial"/>
          <w:sz w:val="18"/>
          <w:szCs w:val="18"/>
          <w:color w:val="auto"/>
        </w:rPr>
      </w:pPr>
    </w:p>
    <w:p>
      <w:pPr>
        <w:ind w:left="-80" w:right="80" w:firstLine="436"/>
        <w:spacing w:after="0" w:line="277" w:lineRule="auto"/>
        <w:tabs>
          <w:tab w:leader="none" w:pos="66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non-consensual statutory or civil law Lien arising in the Netherlands under Netherland’s General Banking Conditions (other than arising under article 26 thereof) so long as such Lien does not secure Indebtedness and arises in the ordinary course of business;</w:t>
      </w:r>
    </w:p>
    <w:p>
      <w:pPr>
        <w:spacing w:after="0" w:line="170" w:lineRule="exact"/>
        <w:rPr>
          <w:rFonts w:ascii="Arial" w:cs="Arial" w:eastAsia="Arial" w:hAnsi="Arial"/>
          <w:sz w:val="18"/>
          <w:szCs w:val="18"/>
          <w:color w:val="auto"/>
        </w:rPr>
      </w:pPr>
    </w:p>
    <w:p>
      <w:pPr>
        <w:ind w:left="620" w:hanging="264"/>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Liens granted pursuant to the Precious Metal Consignment Agreements so long as such Lien does not secure Indebtedness;</w:t>
      </w:r>
    </w:p>
    <w:p>
      <w:pPr>
        <w:spacing w:after="0" w:line="225" w:lineRule="exact"/>
        <w:rPr>
          <w:rFonts w:ascii="Arial" w:cs="Arial" w:eastAsia="Arial" w:hAnsi="Arial"/>
          <w:sz w:val="18"/>
          <w:szCs w:val="18"/>
          <w:color w:val="auto"/>
        </w:rPr>
      </w:pPr>
    </w:p>
    <w:p>
      <w:pPr>
        <w:ind w:left="-80" w:right="60" w:firstLine="436"/>
        <w:spacing w:after="0" w:line="254" w:lineRule="auto"/>
        <w:tabs>
          <w:tab w:leader="none" w:pos="61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other non-consensual Liens not securing Indebtedness, (i) the amount of which does not exceed $5,000,000 in the aggregate at any time outstanding, and (ii) the existence of which, either individually or in the aggregate, will not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permitted by this clause (o) is permitted only for so long as is reasonably necessary for the affected Loan Party or the affected Subsidiary, using its best efforts, to remove or eliminate such Lien and, provided, further, that any Lien not otherwise permitted by this clause (o)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860"/>
          </w:cols>
          <w:pgMar w:left="520" w:top="274" w:right="519" w:bottom="1440" w:gutter="0" w:footer="0" w:header="0"/>
        </w:sectPr>
      </w:pPr>
    </w:p>
    <w:bookmarkStart w:id="329" w:name="page330"/>
    <w:bookmarkEnd w:id="329"/>
    <w:p>
      <w:pPr>
        <w:ind w:left="700" w:hanging="264"/>
        <w:spacing w:after="0"/>
        <w:tabs>
          <w:tab w:leader="none" w:pos="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Lien on a Sold Account;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Liens on Transferred Accounts pursuant to a Supplier Financing Agreement permitted under Section 6.01(n);</w:t>
      </w:r>
    </w:p>
    <w:p>
      <w:pPr>
        <w:spacing w:after="0" w:line="225" w:lineRule="exact"/>
        <w:rPr>
          <w:rFonts w:ascii="Arial" w:cs="Arial" w:eastAsia="Arial" w:hAnsi="Arial"/>
          <w:sz w:val="18"/>
          <w:szCs w:val="18"/>
          <w:color w:val="auto"/>
        </w:rPr>
      </w:pPr>
    </w:p>
    <w:p>
      <w:pPr>
        <w:ind w:right="200" w:firstLine="436"/>
        <w:spacing w:after="0" w:line="277" w:lineRule="auto"/>
        <w:tabs>
          <w:tab w:leader="none" w:pos="66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other Liens securing Indebtedness permitted by </w:t>
      </w:r>
      <w:r>
        <w:rPr>
          <w:rFonts w:ascii="Arial" w:cs="Arial" w:eastAsia="Arial" w:hAnsi="Arial"/>
          <w:sz w:val="18"/>
          <w:szCs w:val="18"/>
          <w:u w:val="single" w:color="auto"/>
          <w:color w:val="auto"/>
        </w:rPr>
        <w:t>Section 6.01(o)</w:t>
      </w:r>
      <w:r>
        <w:rPr>
          <w:rFonts w:ascii="Arial" w:cs="Arial" w:eastAsia="Arial" w:hAnsi="Arial"/>
          <w:sz w:val="18"/>
          <w:szCs w:val="18"/>
          <w:color w:val="auto"/>
        </w:rPr>
        <w:t xml:space="preserve"> the amount of which does not exceed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must be junior to the Liens securing the Collateral and the Term Priority Collateral.</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Notwithstanding the foregoing, none of the Liens permitted pursuant to this Section 6.02 may at any time attach to any Loan Party’s (1) Accounts, other than (i) those permitted under clause (a) of the definition of Permitted Encumbrances, (ii) those permitted under clause (a) above and (iii) any Lien on a Sold Account and (2) Inventory, other than those permitted under clauses (a) and (b) of the definition of Permitted Encumbrances and clause (a) above.</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Subsidiary of the Borrower may merge into any one of more Loan Parties in a transaction in which a Loan Party is the surviving entity, (iii) any Subsidiary (other than a Loan Party) may merge, amalgamate or consolidate with or into any other Subsidiary (other than a Loan Party), (iv) a Foreign Subsidiary may merge, amalgamate or consolidate with or into another Foreign Subsidiary or the Borrower or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merger, amalgamation or consolidation involving the Borrower or a Loan Party, the Borrower or Loan Party shall be the continuing or surviving Person), (v) any Loan Party (other than the Borrower) may merge into any other Loan Party in a transaction in which the surviving entity is a Loan Party and (vi) any Subsidiary may be dissolved or liquidated so long as such Subsidiary is not, at the time, a Loan Party or, if it is a Loan Party at such time, all assets and interests of such Subsidiary, are transferred to another Loan Party on or before the time of its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involving a Person that is not a wholly owned Subsidiary immediately prior to such merger shall not be permitted unless also permitted by Section 6.04.</w:t>
      </w:r>
    </w:p>
    <w:p>
      <w:pPr>
        <w:spacing w:after="0" w:line="174" w:lineRule="exact"/>
        <w:rPr>
          <w:sz w:val="20"/>
          <w:szCs w:val="20"/>
          <w:color w:val="auto"/>
        </w:rPr>
      </w:pPr>
    </w:p>
    <w:p>
      <w:pPr>
        <w:ind w:firstLine="436"/>
        <w:spacing w:after="0" w:line="257" w:lineRule="auto"/>
        <w:tabs>
          <w:tab w:leader="none" w:pos="69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274" w:right="499" w:bottom="1440" w:gutter="0" w:footer="0" w:header="0"/>
        </w:sectPr>
      </w:pPr>
    </w:p>
    <w:bookmarkStart w:id="330" w:name="page331"/>
    <w:bookmarkEnd w:id="330"/>
    <w:p>
      <w:pPr>
        <w:ind w:right="180" w:firstLine="436"/>
        <w:spacing w:after="0" w:line="263" w:lineRule="auto"/>
        <w:tabs>
          <w:tab w:leader="none" w:pos="685" w:val="left"/>
        </w:tabs>
        <w:numPr>
          <w:ilvl w:val="0"/>
          <w:numId w:val="4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Loan Party will, nor will it permit any Subsidiary to, engage in any business other than businesses of the type conducted by the Borrower and its Subsidiaries on the date hereof and businesses substantially similar, reasonably related, incidental thereto and reasonable expansions and extensions thereof.</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change its fiscal year from the basis in effect on the Effective Date.</w:t>
      </w:r>
    </w:p>
    <w:p>
      <w:pPr>
        <w:spacing w:after="0" w:line="225"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 Loan Party will change the accounting basis upon which its financial statements are prepared, except as required by GAAP after providing written notice to the Administrative Agent and any reconciliation statements requested by the Administrative Agent.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 Loans, Advances, Guarantees and Acquisitions</w:t>
      </w:r>
      <w:r>
        <w:rPr>
          <w:rFonts w:ascii="Arial" w:cs="Arial" w:eastAsia="Arial" w:hAnsi="Arial"/>
          <w:sz w:val="17"/>
          <w:szCs w:val="17"/>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70" w:lineRule="exact"/>
        <w:rPr>
          <w:sz w:val="20"/>
          <w:szCs w:val="20"/>
          <w:color w:val="auto"/>
        </w:rPr>
      </w:pPr>
    </w:p>
    <w:p>
      <w:pPr>
        <w:ind w:left="680" w:hanging="244"/>
        <w:spacing w:after="0"/>
        <w:tabs>
          <w:tab w:leader="none" w:pos="6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investments in existence on the date hereof and described in </w:t>
      </w:r>
      <w:r>
        <w:rPr>
          <w:rFonts w:ascii="Arial" w:cs="Arial" w:eastAsia="Arial" w:hAnsi="Arial"/>
          <w:sz w:val="18"/>
          <w:szCs w:val="18"/>
          <w:u w:val="single" w:color="auto"/>
          <w:color w:val="auto"/>
        </w:rPr>
        <w:t>Schedule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54" w:lineRule="auto"/>
        <w:tabs>
          <w:tab w:leader="none" w:pos="68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investments by the Borrower and the Subsidiaries in Equity Interests in their respective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Equity Interests held by a Loan Party shall be pledged pursuant to the Security Agreement (subject to the limitations applicable to Equity Interests of a Foreign Subsidiary referred to in Section 5.14)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$30,000,000 during any fiscal year and $60,000,000 in the aggregate at any time outstanding after the Effective Date (in each case determined without regard to any write-downs or write-offs) and the Payment Conditions shall be satisfied prior to and after giving effect to any such investment;</w:t>
      </w:r>
    </w:p>
    <w:p>
      <w:pPr>
        <w:spacing w:after="0" w:line="194" w:lineRule="exact"/>
        <w:rPr>
          <w:rFonts w:ascii="Arial" w:cs="Arial" w:eastAsia="Arial" w:hAnsi="Arial"/>
          <w:sz w:val="18"/>
          <w:szCs w:val="18"/>
          <w:color w:val="auto"/>
        </w:rPr>
      </w:pPr>
    </w:p>
    <w:p>
      <w:pPr>
        <w:ind w:right="20" w:firstLine="436"/>
        <w:spacing w:after="0" w:line="273" w:lineRule="auto"/>
        <w:tabs>
          <w:tab w:leader="none" w:pos="69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 xml:space="preserve">loans or advances made by any Loan Party to any Subsidiary and made by any Subsidiary to a Loan Party or any 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loans and advances made by a Loan Party shall be evidenced by a promissory note to the extent required by and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$30,000,000 during any fiscal year and $60,000,000 in the aggregate at any time outstanding after the Effective Date (in each case determined without regard to any write-downs or write-offs);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331" w:name="page332"/>
    <w:bookmarkEnd w:id="331"/>
    <w:p>
      <w:pPr>
        <w:ind w:left="-80" w:right="40" w:firstLine="436"/>
        <w:spacing w:after="0" w:line="257" w:lineRule="auto"/>
        <w:tabs>
          <w:tab w:leader="none" w:pos="605"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Guarantees constituting Indebtedness permitted by Section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$30,000,000 during any fiscal year and $60,000,000 in the aggregate at any time outstanding after the Effective Date (in each case determined without regard to any write-downs or write-offs);</w:t>
      </w:r>
    </w:p>
    <w:p>
      <w:pPr>
        <w:spacing w:after="0" w:line="187" w:lineRule="exact"/>
        <w:rPr>
          <w:rFonts w:ascii="Arial" w:cs="Arial" w:eastAsia="Arial" w:hAnsi="Arial"/>
          <w:sz w:val="18"/>
          <w:szCs w:val="18"/>
          <w:color w:val="auto"/>
        </w:rPr>
      </w:pPr>
    </w:p>
    <w:p>
      <w:pPr>
        <w:jc w:val="both"/>
        <w:ind w:left="-80" w:right="300" w:firstLine="436"/>
        <w:spacing w:after="0" w:line="342" w:lineRule="auto"/>
        <w:tabs>
          <w:tab w:leader="none" w:pos="58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loans or advances made by a Loan Party to its officers or in the ordinary course of business consistent with past practices as an advance on commission, travel and entertainment expenses, relocation costs and similar purposes up to a maximum of $1,000,000 at any one time outstanding;</w:t>
      </w:r>
    </w:p>
    <w:p>
      <w:pPr>
        <w:spacing w:after="0" w:line="123" w:lineRule="exact"/>
        <w:rPr>
          <w:rFonts w:ascii="Arial" w:cs="Arial" w:eastAsia="Arial" w:hAnsi="Arial"/>
          <w:sz w:val="16"/>
          <w:szCs w:val="16"/>
          <w:color w:val="auto"/>
        </w:rPr>
      </w:pPr>
    </w:p>
    <w:p>
      <w:pPr>
        <w:ind w:left="-80" w:right="520" w:firstLine="436"/>
        <w:spacing w:after="0" w:line="277" w:lineRule="auto"/>
        <w:tabs>
          <w:tab w:leader="none" w:pos="61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70" w:lineRule="exact"/>
        <w:rPr>
          <w:rFonts w:ascii="Arial" w:cs="Arial" w:eastAsia="Arial" w:hAnsi="Arial"/>
          <w:sz w:val="18"/>
          <w:szCs w:val="18"/>
          <w:color w:val="auto"/>
        </w:rPr>
      </w:pPr>
    </w:p>
    <w:p>
      <w:pPr>
        <w:ind w:left="620" w:hanging="264"/>
        <w:spacing w:after="0"/>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in the form of Swap Agreements permitted by Section 6.07;</w:t>
      </w:r>
    </w:p>
    <w:p>
      <w:pPr>
        <w:spacing w:after="0" w:line="225" w:lineRule="exact"/>
        <w:rPr>
          <w:rFonts w:ascii="Arial" w:cs="Arial" w:eastAsia="Arial" w:hAnsi="Arial"/>
          <w:sz w:val="18"/>
          <w:szCs w:val="18"/>
          <w:color w:val="auto"/>
        </w:rPr>
      </w:pPr>
    </w:p>
    <w:p>
      <w:pPr>
        <w:ind w:left="-80" w:firstLine="436"/>
        <w:spacing w:after="0" w:line="263" w:lineRule="auto"/>
        <w:tabs>
          <w:tab w:leader="none" w:pos="57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w:t>
      </w:r>
    </w:p>
    <w:p>
      <w:pPr>
        <w:spacing w:after="0" w:line="183" w:lineRule="exact"/>
        <w:rPr>
          <w:rFonts w:ascii="Arial" w:cs="Arial" w:eastAsia="Arial" w:hAnsi="Arial"/>
          <w:sz w:val="18"/>
          <w:szCs w:val="18"/>
          <w:color w:val="auto"/>
        </w:rPr>
      </w:pPr>
    </w:p>
    <w:p>
      <w:pPr>
        <w:ind w:left="580" w:hanging="224"/>
        <w:spacing w:after="0"/>
        <w:tabs>
          <w:tab w:leader="none" w:pos="5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received in connection with Dispositions permitted by Section 6.05;</w:t>
      </w:r>
    </w:p>
    <w:p>
      <w:pPr>
        <w:spacing w:after="0" w:line="225" w:lineRule="exact"/>
        <w:rPr>
          <w:rFonts w:ascii="Arial" w:cs="Arial" w:eastAsia="Arial" w:hAnsi="Arial"/>
          <w:sz w:val="18"/>
          <w:szCs w:val="18"/>
          <w:color w:val="auto"/>
        </w:rPr>
      </w:pPr>
    </w:p>
    <w:p>
      <w:pPr>
        <w:ind w:left="620" w:hanging="264"/>
        <w:spacing w:after="0"/>
        <w:tabs>
          <w:tab w:leader="none" w:pos="6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constituting deposits described in clauses (c) and (d) of the definition of the term “Permitted Encumbrances”;</w:t>
      </w:r>
    </w:p>
    <w:p>
      <w:pPr>
        <w:spacing w:after="0" w:line="225" w:lineRule="exact"/>
        <w:rPr>
          <w:rFonts w:ascii="Arial" w:cs="Arial" w:eastAsia="Arial" w:hAnsi="Arial"/>
          <w:sz w:val="18"/>
          <w:szCs w:val="18"/>
          <w:color w:val="auto"/>
        </w:rPr>
      </w:pPr>
    </w:p>
    <w:p>
      <w:pPr>
        <w:ind w:left="580" w:hanging="224"/>
        <w:spacing w:after="0"/>
        <w:tabs>
          <w:tab w:leader="none" w:pos="5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80" w:right="300" w:firstLine="436"/>
        <w:spacing w:after="0" w:line="263" w:lineRule="auto"/>
        <w:tabs>
          <w:tab w:leader="none" w:pos="66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in Wuxi Weifu Autocam Precision Machinery Components Co., Ltd. (the “</w:t>
      </w:r>
      <w:r>
        <w:rPr>
          <w:rFonts w:ascii="Arial" w:cs="Arial" w:eastAsia="Arial" w:hAnsi="Arial"/>
          <w:sz w:val="18"/>
          <w:szCs w:val="18"/>
          <w:u w:val="single" w:color="auto"/>
          <w:color w:val="auto"/>
        </w:rPr>
        <w:t>Wuxi Weifu JV</w:t>
      </w:r>
      <w:r>
        <w:rPr>
          <w:rFonts w:ascii="Arial" w:cs="Arial" w:eastAsia="Arial" w:hAnsi="Arial"/>
          <w:sz w:val="18"/>
          <w:szCs w:val="18"/>
          <w:color w:val="auto"/>
        </w:rPr>
        <w:t>”), so long as (A) no Default has occurred and is continuing or would result therefrom and (B) the aggregate amount of such Investments is limited to those made using reinvestment dividends or other distributions received from the Wuxi Weifu JV;</w:t>
      </w:r>
    </w:p>
    <w:p>
      <w:pPr>
        <w:spacing w:after="0" w:line="183" w:lineRule="exact"/>
        <w:rPr>
          <w:rFonts w:ascii="Arial" w:cs="Arial" w:eastAsia="Arial" w:hAnsi="Arial"/>
          <w:sz w:val="18"/>
          <w:szCs w:val="18"/>
          <w:color w:val="auto"/>
        </w:rPr>
      </w:pPr>
    </w:p>
    <w:p>
      <w:pPr>
        <w:ind w:left="-80" w:right="400" w:firstLine="436"/>
        <w:spacing w:after="0" w:line="263" w:lineRule="auto"/>
        <w:tabs>
          <w:tab w:leader="none" w:pos="61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 Permitted Acquisition or the holding of any Subsidiary as a result of a Permitted Acquisition, so long as, in each case, if required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hereof, such Subsidiary becomes a Loan Party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0" w:right="100" w:firstLine="436"/>
        <w:spacing w:after="0" w:line="263" w:lineRule="auto"/>
        <w:tabs>
          <w:tab w:leader="none" w:pos="61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860"/>
          </w:cols>
          <w:pgMar w:left="520" w:top="274" w:right="519" w:bottom="1440" w:gutter="0" w:footer="0" w:header="0"/>
        </w:sectPr>
      </w:pPr>
    </w:p>
    <w:bookmarkStart w:id="332" w:name="page333"/>
    <w:bookmarkEnd w:id="332"/>
    <w:p>
      <w:pPr>
        <w:jc w:val="both"/>
        <w:ind w:left="4" w:right="100" w:firstLine="436"/>
        <w:spacing w:after="0" w:line="259" w:lineRule="auto"/>
        <w:tabs>
          <w:tab w:leader="none" w:pos="699"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 and</w:t>
      </w:r>
    </w:p>
    <w:p>
      <w:pPr>
        <w:spacing w:after="0" w:line="186" w:lineRule="exact"/>
        <w:rPr>
          <w:rFonts w:ascii="Arial" w:cs="Arial" w:eastAsia="Arial" w:hAnsi="Arial"/>
          <w:sz w:val="18"/>
          <w:szCs w:val="18"/>
          <w:color w:val="auto"/>
        </w:rPr>
      </w:pPr>
    </w:p>
    <w:p>
      <w:pPr>
        <w:ind w:left="4" w:firstLine="436"/>
        <w:spacing w:after="0" w:line="277" w:lineRule="auto"/>
        <w:tabs>
          <w:tab w:leader="none" w:pos="699"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other Investments of the Loan Parties and their Subsidiaries not otherwise covered by the foregoing clauses of this Section 6.04, so long as the Payment Conditions are satisfied after giving effect to such Investments.</w:t>
      </w:r>
    </w:p>
    <w:p>
      <w:pPr>
        <w:spacing w:after="0" w:line="17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No Loan Party will, nor will it permit any Subsidiary to, Dispose of any asset, including any Equity Interest owned by it, nor will the Borrower permit any Subsidiary to issue any additional Equity Interest in such Subsidiary (other than Disposition of assets to the Borrower or another Subsidiary in compliance with Section 6.04), except:</w:t>
      </w:r>
    </w:p>
    <w:p>
      <w:pPr>
        <w:spacing w:after="0" w:line="76" w:lineRule="exact"/>
        <w:rPr>
          <w:sz w:val="20"/>
          <w:szCs w:val="20"/>
          <w:color w:val="auto"/>
        </w:rPr>
      </w:pPr>
    </w:p>
    <w:p>
      <w:pPr>
        <w:ind w:left="4" w:right="180" w:firstLine="436"/>
        <w:spacing w:after="0" w:line="277" w:lineRule="auto"/>
        <w:tabs>
          <w:tab w:leader="none" w:pos="689"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Dispositions of (i) inventory or goods held for sale in the ordinary course of business and (ii) immaterial, used, obsolete, worn out or surplus equipment or property in the ordinary course of business;</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Dispositions of Accounts in connection with the compromise, settlement or collection thereof;</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Dispositions of Permitted Investments and other investments permitted by clauses (i) and (k) of Section 6.04;</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Sale and Leaseback Transactions permitted by Section 6.06;</w:t>
      </w:r>
    </w:p>
    <w:p>
      <w:pPr>
        <w:spacing w:after="0" w:line="225" w:lineRule="exact"/>
        <w:rPr>
          <w:rFonts w:ascii="Arial" w:cs="Arial" w:eastAsia="Arial" w:hAnsi="Arial"/>
          <w:sz w:val="18"/>
          <w:szCs w:val="18"/>
          <w:color w:val="auto"/>
        </w:rPr>
      </w:pPr>
    </w:p>
    <w:p>
      <w:pPr>
        <w:ind w:left="4" w:right="340" w:firstLine="436"/>
        <w:spacing w:after="0" w:line="277" w:lineRule="auto"/>
        <w:tabs>
          <w:tab w:leader="none" w:pos="689"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170" w:lineRule="exact"/>
        <w:rPr>
          <w:rFonts w:ascii="Arial" w:cs="Arial" w:eastAsia="Arial" w:hAnsi="Arial"/>
          <w:sz w:val="18"/>
          <w:szCs w:val="18"/>
          <w:color w:val="auto"/>
        </w:rPr>
      </w:pPr>
    </w:p>
    <w:p>
      <w:pPr>
        <w:ind w:left="4" w:right="20" w:firstLine="436"/>
        <w:spacing w:after="0" w:line="296" w:lineRule="auto"/>
        <w:tabs>
          <w:tab w:leader="none" w:pos="669"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sale of Accounts owing by an Account Debtor of a Loan Party to a Supplier Financing Intermediary under a Supplier Financing Agreement so long as (i) such Supplier Financing Agreement is in full force and effect at the time of any such sale, (ii) all proceeds of such sale are deposited into a Deposit Account subject to a Control Agreement, (iii) no Default or Event of Default is continuing immediately prior or after giving effect to such transaction or would result from such transaction, (iv) all such Accounts owing by such Account Debtor of a Loan Party are not included in the Borrowing Base, and (v) the Borrower delivers an updated Borrowing Base Certificate as required pursuant to Section 5.01(g); and</w:t>
      </w:r>
    </w:p>
    <w:p>
      <w:pPr>
        <w:spacing w:after="0" w:line="161" w:lineRule="exact"/>
        <w:rPr>
          <w:rFonts w:ascii="Arial" w:cs="Arial" w:eastAsia="Arial" w:hAnsi="Arial"/>
          <w:sz w:val="16"/>
          <w:szCs w:val="16"/>
          <w:color w:val="auto"/>
        </w:rPr>
      </w:pPr>
    </w:p>
    <w:p>
      <w:pPr>
        <w:ind w:left="4" w:right="60" w:firstLine="436"/>
        <w:spacing w:after="0" w:line="287" w:lineRule="auto"/>
        <w:tabs>
          <w:tab w:leader="none" w:pos="699" w:val="left"/>
        </w:tabs>
        <w:numPr>
          <w:ilvl w:val="1"/>
          <w:numId w:val="404"/>
        </w:numPr>
        <w:rPr>
          <w:rFonts w:ascii="Arial" w:cs="Arial" w:eastAsia="Arial" w:hAnsi="Arial"/>
          <w:sz w:val="16"/>
          <w:szCs w:val="16"/>
          <w:color w:val="auto"/>
        </w:rPr>
      </w:pPr>
      <w:r>
        <w:rPr>
          <w:rFonts w:ascii="Arial" w:cs="Arial" w:eastAsia="Arial" w:hAnsi="Arial"/>
          <w:sz w:val="16"/>
          <w:szCs w:val="16"/>
          <w:color w:val="auto"/>
        </w:rPr>
        <w:t>Dispositions of assets (other than Equity Interests in a Subsidiary unless all Equity Interests in such Subsidiary are sold) that are not permitted by any other clause of this Section so long as (i) the consideration received for the assets to be so disposed is at least equal to the fair market value of such assets, as reasonably determined by the Board of Directors of the Borrower, and at least 75% of the consideration so received constitutes cash,</w:t>
      </w:r>
    </w:p>
    <w:p>
      <w:pPr>
        <w:spacing w:after="0" w:line="2" w:lineRule="exact"/>
        <w:rPr>
          <w:rFonts w:ascii="Arial" w:cs="Arial" w:eastAsia="Arial" w:hAnsi="Arial"/>
          <w:sz w:val="16"/>
          <w:szCs w:val="16"/>
          <w:color w:val="auto"/>
        </w:rPr>
      </w:pPr>
    </w:p>
    <w:p>
      <w:pPr>
        <w:ind w:left="4" w:right="40" w:hanging="4"/>
        <w:spacing w:after="0" w:line="277" w:lineRule="auto"/>
        <w:tabs>
          <w:tab w:leader="none" w:pos="269"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the proceeds of such Disposition are applied in accordance with the Term Loan Credit Agreement (iii)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Disposition, the Borrower and its Subsidiaries shall be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 compliance with the Consolidated Net Leverage Ratio requirements under the Term Loan Credit Agreement and (iv) no Event of Default has occurred and is continuing at the time of such Disposition or results therefrom.</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4"/>
          </w:cols>
          <w:pgMar w:left="436" w:top="274" w:right="479" w:bottom="1440" w:gutter="0" w:footer="0" w:header="0"/>
        </w:sectPr>
      </w:pPr>
    </w:p>
    <w:bookmarkStart w:id="333" w:name="page334"/>
    <w:bookmarkEnd w:id="333"/>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no Loan Party shall transfer (or license on a non-exclusive basis) or otherwise dispose of any Material Intellectual Property to any Subsidiary that is not a Loan Party.</w:t>
      </w:r>
    </w:p>
    <w:p>
      <w:pPr>
        <w:spacing w:after="0" w:line="17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except for any such sale of any fixed or capital assets by the Borrower or any Subsidiary that is made for cash consideration in an amount not less than the fair value of such fixed or capital asset and is consummated within 90 days after the Borrower or such Subsidiary acquires or completes the construction of such fixed or capital asset.</w:t>
      </w:r>
    </w:p>
    <w:p>
      <w:pPr>
        <w:spacing w:after="0" w:line="178"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Swap Agreements</w:t>
      </w:r>
      <w:r>
        <w:rPr>
          <w:rFonts w:ascii="Arial" w:cs="Arial" w:eastAsia="Arial" w:hAnsi="Arial"/>
          <w:sz w:val="17"/>
          <w:szCs w:val="17"/>
          <w:color w:val="auto"/>
        </w:rPr>
        <w:t>. No Loan Party will, nor will it permit any Subsidiary to, enter into any Swap Agreement, except (a) Swap Agreements entered into to hedge or mitigate risks to which the Borrower or any Subsidiary has actual exposure (other than those in respect of Equity Interests of the Borrower or any of its Subsidiaries), but not for purposes of speculation,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 but not for speculation.</w:t>
      </w:r>
    </w:p>
    <w:p>
      <w:pPr>
        <w:spacing w:after="0" w:line="176"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Restricted Payments; Certain Payments of Indebtedness</w:t>
      </w:r>
      <w:r>
        <w:rPr>
          <w:rFonts w:ascii="Arial" w:cs="Arial" w:eastAsia="Arial" w:hAnsi="Arial"/>
          <w:sz w:val="16"/>
          <w:szCs w:val="16"/>
          <w:color w:val="auto"/>
        </w:rPr>
        <w:t>. (a) No Loan Party will, nor will it permit any Subsidiary to, declare or make, or agree to declare or make, directly or indirectly, any Restricted Payment, or incur any obligation (contingent or otherwise) to do so, except</w:t>
      </w:r>
    </w:p>
    <w:p>
      <w:pPr>
        <w:ind w:left="4" w:hanging="4"/>
        <w:spacing w:after="0" w:line="281" w:lineRule="auto"/>
        <w:tabs>
          <w:tab w:leader="none" w:pos="219"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Capital Distributions ratably with respect to their Equity Interests, (iii) the Loan Parties may make other Restricted Payments subject to the satisfaction of the Payment Condition after giving effect thereto, (iv) the Borrower and its Subsidiaries may make Restricted Payments with respect to the Series D Preferred Stock, subject to pro forma compliance with a Consolidated Net Leverage Ratio less than or equal to 2.50:1.00 after giving effect to such Restricted Payment; provided that no Event of Default is occurring and continuing at the time of such Restricted Payment, and the Restricted Payments under this clause (iv) shall not exceed 7.0% of the aggregate amount of proceeds received in respect of the Series D Preferred Stock, and</w:t>
      </w:r>
    </w:p>
    <w:p>
      <w:pPr>
        <w:spacing w:after="0" w:line="4" w:lineRule="exact"/>
        <w:rPr>
          <w:rFonts w:ascii="Arial" w:cs="Arial" w:eastAsia="Arial" w:hAnsi="Arial"/>
          <w:sz w:val="16"/>
          <w:szCs w:val="16"/>
          <w:color w:val="auto"/>
        </w:rPr>
      </w:pPr>
    </w:p>
    <w:p>
      <w:pPr>
        <w:ind w:left="4" w:right="600" w:hanging="4"/>
        <w:spacing w:after="0" w:line="260" w:lineRule="auto"/>
        <w:tabs>
          <w:tab w:leader="none" w:pos="25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Borrower and each Subsidiary may make Restricted Payments with the proceeds received from the substantially concurrent issue of new common Equity Interests.</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44"/>
          </w:cols>
          <w:pgMar w:left="436" w:top="274" w:right="519" w:bottom="1440" w:gutter="0" w:footer="0" w:header="0"/>
        </w:sectPr>
      </w:pPr>
    </w:p>
    <w:bookmarkStart w:id="334" w:name="page335"/>
    <w:bookmarkEnd w:id="334"/>
    <w:p>
      <w:pPr>
        <w:ind w:firstLine="436"/>
        <w:spacing w:after="0" w:line="259" w:lineRule="auto"/>
        <w:tabs>
          <w:tab w:leader="none" w:pos="695"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78" w:lineRule="exact"/>
        <w:rPr>
          <w:rFonts w:ascii="Arial" w:cs="Arial" w:eastAsia="Arial" w:hAnsi="Arial"/>
          <w:sz w:val="18"/>
          <w:szCs w:val="18"/>
          <w:color w:val="auto"/>
        </w:rPr>
      </w:pPr>
    </w:p>
    <w:p>
      <w:pPr>
        <w:ind w:left="1080" w:hanging="221"/>
        <w:spacing w:after="0"/>
        <w:tabs>
          <w:tab w:leader="none" w:pos="10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payment of Indebtedness created under the Loan Documents;</w:t>
      </w:r>
    </w:p>
    <w:p>
      <w:pPr>
        <w:spacing w:after="0" w:line="117" w:lineRule="exact"/>
        <w:rPr>
          <w:rFonts w:ascii="Arial" w:cs="Arial" w:eastAsia="Arial" w:hAnsi="Arial"/>
          <w:sz w:val="18"/>
          <w:szCs w:val="18"/>
          <w:color w:val="auto"/>
        </w:rPr>
      </w:pPr>
    </w:p>
    <w:p>
      <w:pPr>
        <w:ind w:left="440" w:right="160" w:firstLine="419"/>
        <w:spacing w:after="0" w:line="272" w:lineRule="auto"/>
        <w:tabs>
          <w:tab w:leader="none" w:pos="1128" w:val="left"/>
        </w:tabs>
        <w:numPr>
          <w:ilvl w:val="1"/>
          <w:numId w:val="408"/>
        </w:numPr>
        <w:rPr>
          <w:rFonts w:ascii="Arial" w:cs="Arial" w:eastAsia="Arial" w:hAnsi="Arial"/>
          <w:sz w:val="17"/>
          <w:szCs w:val="17"/>
          <w:color w:val="auto"/>
        </w:rPr>
      </w:pPr>
      <w:r>
        <w:rPr>
          <w:rFonts w:ascii="Arial" w:cs="Arial" w:eastAsia="Arial" w:hAnsi="Arial"/>
          <w:sz w:val="17"/>
          <w:szCs w:val="17"/>
          <w:color w:val="auto"/>
        </w:rPr>
        <w:t>(A) payment of regularly scheduled interest and principal payments as and when due in respect of any Indebtedness permitted under Section 6.01, other than payments in respect of the (x) Subordinated Indebtedness prohibited by the subordination provisions thereof and (y) the Term Debt that are not required under the Term Loan Credit Agreement as in effect on the date hereof or that are prohibited by the terms of the Intercreditor Agreement, (B) voluntary prepayments of the Term Debt permitted under the Term Loan Credit Agreement and the Intercreditor Agreement so long as the Payment Conditions are satisfied after giving effect thereto and (C) dividends, payments, prepayments, repurchases or redemptions made with respect to the Series D Preferred Stock to the extent (x) permitted under Section 6.08(a)(iv), (y) so long as the Payment Conditions are satisfied or (z) made in the form of an increase to a liquidation preference;</w:t>
      </w:r>
    </w:p>
    <w:p>
      <w:pPr>
        <w:spacing w:after="0" w:line="69" w:lineRule="exact"/>
        <w:rPr>
          <w:rFonts w:ascii="Arial" w:cs="Arial" w:eastAsia="Arial" w:hAnsi="Arial"/>
          <w:sz w:val="17"/>
          <w:szCs w:val="17"/>
          <w:color w:val="auto"/>
        </w:rPr>
      </w:pPr>
    </w:p>
    <w:p>
      <w:pPr>
        <w:ind w:left="1180" w:hanging="321"/>
        <w:spacing w:after="0"/>
        <w:tabs>
          <w:tab w:leader="none" w:pos="118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payment and prepayment of Indebtedness in connection with the Refinancing of such Indebtedness to the extent permitted by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6.01; and</w:t>
      </w:r>
    </w:p>
    <w:p>
      <w:pPr>
        <w:spacing w:after="0" w:line="103" w:lineRule="exact"/>
        <w:rPr>
          <w:sz w:val="20"/>
          <w:szCs w:val="20"/>
          <w:color w:val="auto"/>
        </w:rPr>
      </w:pPr>
    </w:p>
    <w:p>
      <w:pPr>
        <w:ind w:left="440" w:right="260" w:firstLine="419"/>
        <w:spacing w:after="0" w:line="277" w:lineRule="auto"/>
        <w:tabs>
          <w:tab w:leader="none" w:pos="116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62" w:lineRule="exact"/>
        <w:rPr>
          <w:rFonts w:ascii="Arial" w:cs="Arial" w:eastAsia="Arial" w:hAnsi="Arial"/>
          <w:sz w:val="18"/>
          <w:szCs w:val="18"/>
          <w:color w:val="auto"/>
        </w:rPr>
      </w:pPr>
    </w:p>
    <w:p>
      <w:pPr>
        <w:ind w:left="440" w:right="140" w:firstLine="419"/>
        <w:spacing w:after="0" w:line="301" w:lineRule="auto"/>
        <w:tabs>
          <w:tab w:leader="none" w:pos="111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non-scheduled prepayments, repurchases or redemptions in respect of Indebtedness incurred pursuant to Section 6.01(j) and Subordinated Indebtedness (a “</w:t>
      </w:r>
      <w:r>
        <w:rPr>
          <w:rFonts w:ascii="Arial" w:cs="Arial" w:eastAsia="Arial" w:hAnsi="Arial"/>
          <w:sz w:val="16"/>
          <w:szCs w:val="16"/>
          <w:u w:val="single" w:color="auto"/>
          <w:color w:val="auto"/>
        </w:rPr>
        <w:t>Restricted Debt Payment</w:t>
      </w:r>
      <w:r>
        <w:rPr>
          <w:rFonts w:ascii="Arial" w:cs="Arial" w:eastAsia="Arial" w:hAnsi="Arial"/>
          <w:sz w:val="16"/>
          <w:szCs w:val="16"/>
          <w:color w:val="auto"/>
        </w:rPr>
        <w:t>”) so long as such Restricted Debt Payment is made (i) with proceeds of Equity Interests (other than Disqualified Equity Interests or the proceeds of an equity cure) or consideration paid in Equity Interests (other than Disqualified Equity Interests) that are not otherwise applied, (ii) in connection with the Transactions and (iii) in respect of any AHYDO Catch Up Payments.</w:t>
      </w:r>
    </w:p>
    <w:p>
      <w:pPr>
        <w:spacing w:after="0" w:line="157" w:lineRule="exact"/>
        <w:rPr>
          <w:sz w:val="20"/>
          <w:szCs w:val="20"/>
          <w:color w:val="auto"/>
        </w:rPr>
      </w:pPr>
    </w:p>
    <w:p>
      <w:pPr>
        <w:ind w:firstLine="436"/>
        <w:spacing w:after="0" w:line="308" w:lineRule="auto"/>
        <w:tabs>
          <w:tab w:leader="none" w:pos="685" w:val="left"/>
        </w:tabs>
        <w:numPr>
          <w:ilvl w:val="0"/>
          <w:numId w:val="410"/>
        </w:numPr>
        <w:rPr>
          <w:rFonts w:ascii="Arial" w:cs="Arial" w:eastAsia="Arial" w:hAnsi="Arial"/>
          <w:sz w:val="17"/>
          <w:szCs w:val="17"/>
          <w:color w:val="auto"/>
        </w:rPr>
      </w:pPr>
      <w:r>
        <w:rPr>
          <w:rFonts w:ascii="Arial" w:cs="Arial" w:eastAsia="Arial" w:hAnsi="Arial"/>
          <w:sz w:val="17"/>
          <w:szCs w:val="17"/>
          <w:color w:val="auto"/>
        </w:rPr>
        <w:t>No Loan Party will, nor will it permit any Subsidiary to, make or agree to pay or make, directly or indirectly, any mandatory prepayment based on its excess cash flow under the Term Loan Documents unless the Payment Conditions are satisfied after giving effect thereto.</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(other than a Loan Party), on terms that shall be less favorable to such Loan Party than those that might be obtained at the time in a transaction with a non-Affiliate; provided that the foregoing shall not prohibit (1) the payment of customary and reasonable directors’ fees to directors who are not employees of the Borrower or any Subsidiary or an Affiliate or (2) the declaring, or the making, of dividends and other distributions in respect of the Series D Preferred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335" w:name="page336"/>
    <w:bookmarkEnd w:id="335"/>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6.10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any Capital Distributions with respect to any of its Equity Interests or to make or repay loans or advances to the Borrower or any other Subsidiary or to Guarantee Indebtedness of the Borrower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any Requirement of Law, by any Loan Document or by any Term Loan Document to the extent not prohibited by the Intercreditor Agreement,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(including, for the avoidance of doubt, any Supplier Financing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7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No Loan Party will, nor will it permit any Subsidiary to, amend, restate, supplement modify or waive any of its rights under (a) (i) any agreement relating to any Subordinated Indebtedness, (ii) its Organization Documents or (iii) agreements evidencing Material Indebtedness, in each case, to the extent any such amendment, modification or waiver would be materially adverse to the Lenders, without the prior written consent of the Administrative Agent, which consent shall not be unreasonably withheld or (b) the Term Loan Documents unless permitted pursuant to the terms of the Intercreditor Agreement.</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Term Debt</w:t>
      </w:r>
      <w:r>
        <w:rPr>
          <w:rFonts w:ascii="Arial" w:cs="Arial" w:eastAsia="Arial" w:hAnsi="Arial"/>
          <w:sz w:val="18"/>
          <w:szCs w:val="18"/>
          <w:color w:val="auto"/>
        </w:rPr>
        <w:t>. No Loan Party will, nor will it permit any Subsidiary to, purchase or hold any of the Term Debt, except as expressly contemplated permitted under the Term Loan Credit Agreement as in effect on the date hereof pursuant to a Dutch Auction (as defined in the Term Loan Agreement) to the extent permitted pursuant to the Intercreditor Agreement, provided that any such Term Debt so purchased by a Loan Party or any of its Subsidiaries shall be immediately cancelled.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3" w:lineRule="auto"/>
        <w:tabs>
          <w:tab w:leader="none" w:pos="685"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During any Availability Triggering Covenant Event Period, the Borrower will not permit the Fixed Charge Coverage Ratio to be less than 1.00 to 1.00 as of (i) with respect to the first such test on the date of an Availability Triggering Covenant Event, as of the last day of the most recently ended fiscal month for which financial statements have been (or are required to have been) delivered pursuant to Section 5.01(c) (and if no such financials are then available, then as of the last day of the most recently ended fiscal month ended at least 30 days prior to such date of determination) and (ii) thereafter, as of the last day of each fiscal month. Once such covenant is in effect, compliance with any covenant will be discontinued on the first day on which no Availability Triggering Covenant Event Period is continuing.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117" w:lineRule="exact"/>
        <w:rPr>
          <w:sz w:val="20"/>
          <w:szCs w:val="20"/>
          <w:color w:val="auto"/>
        </w:rPr>
      </w:pPr>
    </w:p>
    <w:p>
      <w:pPr>
        <w:ind w:right="140" w:firstLine="436"/>
        <w:spacing w:after="0" w:line="308" w:lineRule="auto"/>
        <w:tabs>
          <w:tab w:leader="none" w:pos="685"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ind w:right="260" w:firstLine="436"/>
        <w:spacing w:after="0" w:line="263" w:lineRule="auto"/>
        <w:tabs>
          <w:tab w:leader="none" w:pos="69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83" w:lineRule="exact"/>
        <w:rPr>
          <w:rFonts w:ascii="Arial" w:cs="Arial" w:eastAsia="Arial" w:hAnsi="Arial"/>
          <w:sz w:val="18"/>
          <w:szCs w:val="18"/>
          <w:color w:val="auto"/>
        </w:rPr>
      </w:pPr>
    </w:p>
    <w:p>
      <w:pPr>
        <w:ind w:right="280" w:firstLine="436"/>
        <w:spacing w:after="0" w:line="257" w:lineRule="auto"/>
        <w:tabs>
          <w:tab w:leader="none" w:pos="68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87" w:lineRule="exact"/>
        <w:rPr>
          <w:rFonts w:ascii="Arial" w:cs="Arial" w:eastAsia="Arial" w:hAnsi="Arial"/>
          <w:sz w:val="18"/>
          <w:szCs w:val="18"/>
          <w:color w:val="auto"/>
        </w:rPr>
      </w:pPr>
    </w:p>
    <w:p>
      <w:pPr>
        <w:ind w:firstLine="436"/>
        <w:spacing w:after="0" w:line="277" w:lineRule="auto"/>
        <w:tabs>
          <w:tab w:leader="none" w:pos="69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Section 5.02(a), 5.03 (with respect to a Loan Party’s existence), 5.08, 5.13, 5.14 or 5.15 or in Article VI;</w:t>
      </w:r>
    </w:p>
    <w:p>
      <w:pPr>
        <w:spacing w:after="0" w:line="170" w:lineRule="exact"/>
        <w:rPr>
          <w:rFonts w:ascii="Arial" w:cs="Arial" w:eastAsia="Arial" w:hAnsi="Arial"/>
          <w:sz w:val="18"/>
          <w:szCs w:val="18"/>
          <w:color w:val="auto"/>
        </w:rPr>
      </w:pPr>
    </w:p>
    <w:p>
      <w:pPr>
        <w:ind w:right="120" w:firstLine="436"/>
        <w:spacing w:after="0" w:line="273" w:lineRule="auto"/>
        <w:tabs>
          <w:tab w:leader="none" w:pos="685"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any Loan Party shall fail to observe or perform any covenant, condition or agreement contained in this Agreement (other than those that constitute a default under another Section of this Article),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5.05 or 5.07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77" w:lineRule="exact"/>
        <w:rPr>
          <w:rFonts w:ascii="Arial" w:cs="Arial" w:eastAsia="Arial" w:hAnsi="Arial"/>
          <w:sz w:val="17"/>
          <w:szCs w:val="17"/>
          <w:color w:val="auto"/>
        </w:rPr>
      </w:pPr>
    </w:p>
    <w:p>
      <w:pPr>
        <w:ind w:right="40" w:firstLine="436"/>
        <w:spacing w:after="0" w:line="277" w:lineRule="auto"/>
        <w:tabs>
          <w:tab w:leader="none" w:pos="66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Loan Party or Subsidiary shall default in the payment (whether of principal or interest and regardless of amount) in respect of any Material Indebtedness, Series D Preferred Stock or the Term Debt, beyond any applicable period of grace with respect thereto;</w:t>
      </w:r>
    </w:p>
    <w:p>
      <w:pPr>
        <w:spacing w:after="0" w:line="170" w:lineRule="exact"/>
        <w:rPr>
          <w:rFonts w:ascii="Arial" w:cs="Arial" w:eastAsia="Arial" w:hAnsi="Arial"/>
          <w:sz w:val="18"/>
          <w:szCs w:val="18"/>
          <w:color w:val="auto"/>
        </w:rPr>
      </w:pPr>
    </w:p>
    <w:p>
      <w:pPr>
        <w:ind w:right="220" w:firstLine="436"/>
        <w:spacing w:after="0" w:line="273" w:lineRule="auto"/>
        <w:tabs>
          <w:tab w:leader="none" w:pos="695"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Series D Preferred Stock or the Term Debt becoming due prior to its scheduled maturity or that enables or permits (with or without the giving of notice, the lapse of time or both) the holder or holders of any Material Indebtedness, Series D Preferred Stock or the Term Debt or any trustee or agent on its or their behalf to cause any Material Indebtedness, Series D Preferred Stock or the Term Debt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4" w:right="459" w:bottom="1440" w:gutter="0" w:footer="0" w:header="0"/>
        </w:sectPr>
      </w:pPr>
    </w:p>
    <w:bookmarkStart w:id="337" w:name="page338"/>
    <w:bookmarkEnd w:id="337"/>
    <w:p>
      <w:pPr>
        <w:ind w:left="-40" w:right="40" w:firstLine="436"/>
        <w:spacing w:after="0" w:line="275" w:lineRule="auto"/>
        <w:tabs>
          <w:tab w:leader="none" w:pos="655" w:val="left"/>
        </w:tabs>
        <w:numPr>
          <w:ilvl w:val="0"/>
          <w:numId w:val="4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w:t>
      </w:r>
    </w:p>
    <w:p>
      <w:pPr>
        <w:spacing w:after="0" w:line="176" w:lineRule="exact"/>
        <w:rPr>
          <w:rFonts w:ascii="Arial" w:cs="Arial" w:eastAsia="Arial" w:hAnsi="Arial"/>
          <w:sz w:val="17"/>
          <w:szCs w:val="17"/>
          <w:color w:val="auto"/>
        </w:rPr>
      </w:pPr>
    </w:p>
    <w:p>
      <w:pPr>
        <w:ind w:left="-40" w:firstLine="436"/>
        <w:spacing w:after="0" w:line="273" w:lineRule="auto"/>
        <w:tabs>
          <w:tab w:leader="none" w:pos="61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7" w:lineRule="exact"/>
        <w:rPr>
          <w:rFonts w:ascii="Arial" w:cs="Arial" w:eastAsia="Arial" w:hAnsi="Arial"/>
          <w:sz w:val="17"/>
          <w:szCs w:val="17"/>
          <w:color w:val="auto"/>
        </w:rPr>
      </w:pPr>
    </w:p>
    <w:p>
      <w:pPr>
        <w:ind w:left="-40" w:right="60" w:firstLine="436"/>
        <w:spacing w:after="0" w:line="277" w:lineRule="auto"/>
        <w:tabs>
          <w:tab w:leader="none" w:pos="61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Loan Party or Subsidiary shall become unable, admit in writing its inability, or publicly declare its intention not to, or fail generally to pay its debts as they become due;</w:t>
      </w:r>
    </w:p>
    <w:p>
      <w:pPr>
        <w:spacing w:after="0" w:line="170" w:lineRule="exact"/>
        <w:rPr>
          <w:rFonts w:ascii="Arial" w:cs="Arial" w:eastAsia="Arial" w:hAnsi="Arial"/>
          <w:sz w:val="18"/>
          <w:szCs w:val="18"/>
          <w:color w:val="auto"/>
        </w:rPr>
      </w:pPr>
    </w:p>
    <w:p>
      <w:pPr>
        <w:ind w:left="-40" w:right="20" w:firstLine="436"/>
        <w:spacing w:after="0" w:line="271" w:lineRule="auto"/>
        <w:tabs>
          <w:tab w:leader="none" w:pos="65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 one or more judgments for the payment of money in an aggregate amount in excess of $5,000,000 (to the extent reasonably expected to be covered by independent insurance within 180 days of such judgment to the extent the relevant independent third-party insurer has not denied coverage therefor) shall be rendered against any Loan Party, any Subsidiary or any combination thereof by a court of competent jurisdiction, and the same shall remain undischarged or unstayed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that, individually or in the aggregate, would reasonably be expected to have a Material Adverse Effect, which judgments or orders, in any such case, are not stayed on appeal or otherwise being appropriately contested in good faith by proper proceedings diligently pursued;</w:t>
      </w:r>
    </w:p>
    <w:p>
      <w:pPr>
        <w:spacing w:after="0" w:line="178" w:lineRule="exact"/>
        <w:rPr>
          <w:rFonts w:ascii="Arial" w:cs="Arial" w:eastAsia="Arial" w:hAnsi="Arial"/>
          <w:sz w:val="17"/>
          <w:szCs w:val="17"/>
          <w:color w:val="auto"/>
        </w:rPr>
      </w:pPr>
    </w:p>
    <w:p>
      <w:pPr>
        <w:ind w:left="-40" w:right="40" w:firstLine="436"/>
        <w:spacing w:after="0" w:line="263" w:lineRule="auto"/>
        <w:tabs>
          <w:tab w:leader="none" w:pos="61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183" w:lineRule="exact"/>
        <w:rPr>
          <w:rFonts w:ascii="Arial" w:cs="Arial" w:eastAsia="Arial" w:hAnsi="Arial"/>
          <w:sz w:val="18"/>
          <w:szCs w:val="18"/>
          <w:color w:val="auto"/>
        </w:rPr>
      </w:pPr>
    </w:p>
    <w:p>
      <w:pPr>
        <w:ind w:left="700" w:hanging="304"/>
        <w:spacing w:after="0"/>
        <w:tabs>
          <w:tab w:leader="none" w:pos="7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480" w:top="274" w:right="499" w:bottom="1440" w:gutter="0" w:footer="0" w:header="0"/>
        </w:sectPr>
      </w:pPr>
    </w:p>
    <w:bookmarkStart w:id="338" w:name="page339"/>
    <w:bookmarkEnd w:id="338"/>
    <w:p>
      <w:pPr>
        <w:jc w:val="both"/>
        <w:ind w:right="380" w:firstLine="436"/>
        <w:spacing w:after="0" w:line="259" w:lineRule="auto"/>
        <w:tabs>
          <w:tab w:leader="none" w:pos="695"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Loan Party shall fail to observe or perform any covenant, condition or agreement contained in any Loan Document (other than those specified in clauses (a), (b) and (d) of this Article VII) (in each case solely to the extent applicable to such Person), and such failure shall continue unremedied for a period of thirty (30) days after the earlier of any Loan Party’s knowledge of such breach or notice thereof from the Administrative Agent to the Borrower;</w:t>
      </w:r>
    </w:p>
    <w:p>
      <w:pPr>
        <w:spacing w:after="0" w:line="186" w:lineRule="exact"/>
        <w:rPr>
          <w:rFonts w:ascii="Arial" w:cs="Arial" w:eastAsia="Arial" w:hAnsi="Arial"/>
          <w:sz w:val="18"/>
          <w:szCs w:val="18"/>
          <w:color w:val="auto"/>
        </w:rPr>
      </w:pPr>
    </w:p>
    <w:p>
      <w:pPr>
        <w:ind w:right="200" w:firstLine="436"/>
        <w:spacing w:after="0" w:line="279" w:lineRule="auto"/>
        <w:tabs>
          <w:tab w:leader="none" w:pos="69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the Loan Guaranty shall fail to remain in full force or effect or any action shall be taken by a Loan Party to discontinue or challenge the validity or enforceability in writing of the Loan Guaranty, or any Guarantor shall fail to comply with any of the terms or provisions of the Loan Guaranty to which it is a party, or any Guarantor shall deny in writing that it has any further liability under the Loan Guaranty to which it is a party, or shall give notice to such effect, including, but not limited to notice of termination delivered pursuant to </w:t>
      </w:r>
      <w:r>
        <w:rPr>
          <w:rFonts w:ascii="Arial" w:cs="Arial" w:eastAsia="Arial" w:hAnsi="Arial"/>
          <w:sz w:val="17"/>
          <w:szCs w:val="17"/>
          <w:u w:val="single" w:color="auto"/>
          <w:color w:val="auto"/>
        </w:rPr>
        <w:t>Section 10.08</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right="60" w:firstLine="436"/>
        <w:spacing w:after="0" w:line="263" w:lineRule="auto"/>
        <w:tabs>
          <w:tab w:leader="none" w:pos="69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except as permitted by the terms of this Agreement or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83"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Collateral Document shall fail to remain in full force or effect or any action shall be taken by a Loan Party to discontinue or challenge the validity or enforceability in writing of any Collateral Document; or</w:t>
      </w:r>
    </w:p>
    <w:p>
      <w:pPr>
        <w:spacing w:after="0" w:line="170" w:lineRule="exact"/>
        <w:rPr>
          <w:rFonts w:ascii="Arial" w:cs="Arial" w:eastAsia="Arial" w:hAnsi="Arial"/>
          <w:sz w:val="18"/>
          <w:szCs w:val="18"/>
          <w:color w:val="auto"/>
        </w:rPr>
      </w:pPr>
    </w:p>
    <w:p>
      <w:pPr>
        <w:jc w:val="both"/>
        <w:ind w:firstLine="436"/>
        <w:spacing w:after="0" w:line="259" w:lineRule="auto"/>
        <w:tabs>
          <w:tab w:leader="none" w:pos="66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any Loan Party or Subsidiary of a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86" w:lineRule="exact"/>
        <w:rPr>
          <w:rFonts w:ascii="Arial" w:cs="Arial" w:eastAsia="Arial" w:hAnsi="Arial"/>
          <w:sz w:val="18"/>
          <w:szCs w:val="18"/>
          <w:color w:val="auto"/>
        </w:rPr>
      </w:pPr>
    </w:p>
    <w:p>
      <w:pPr>
        <w:ind w:right="20" w:firstLine="436"/>
        <w:spacing w:after="0" w:line="259" w:lineRule="auto"/>
        <w:tabs>
          <w:tab w:leader="none" w:pos="67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Loan Parties or any of their Subsidiaries shall (x) contest in any manner the validity or enforceability of the Intercreditor Agreement or deny that it has any further obligation thereunder, or (y) the Obligations for any reason shall not have the priority contemplated by this Agreement or the Intercreditor Agreement, respectively, in the case of this subclause (y), as a result of any action or inaction on the part of a Loan Party or any Subsidiary of a Loan Party;</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 accrued hereunder and under any other Loan Document, shall become due and payable immediately, in each case without presentment, demand, protest or other notice of any kind, all of which are hereby waived by the Borrower, and (iii) require cash collateral for the LC Exposure in accordance with Section 2.06(j)</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339" w:name="page340"/>
    <w:bookmarkEnd w:id="339"/>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hereof; and in the case of any event with respect to the Borrower described in clause (h) or (i) of this Article, the Commitments (including the Swingline Commitment) shall automatically terminate and the principal of the Loans then outstanding and the cash collateral for the LC Exposure, together with accrued interest thereon and all fees (including, for the avoidance of doubt, any break funding payments) and other obligations of the Borrower accrued hereunder and under any other Loan Documents, shall automatically become due and payable, in each case without presentment, demand, protest or other notice of any kind, all of which are hereby waived by the Borrower.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415"/>
        </w:numPr>
        <w:rPr>
          <w:rFonts w:ascii="Arial" w:cs="Arial" w:eastAsia="Arial" w:hAnsi="Arial"/>
          <w:sz w:val="17"/>
          <w:szCs w:val="17"/>
          <w:color w:val="auto"/>
        </w:rPr>
      </w:pPr>
      <w:r>
        <w:rPr>
          <w:rFonts w:ascii="Arial" w:cs="Arial" w:eastAsia="Arial" w:hAnsi="Arial"/>
          <w:sz w:val="17"/>
          <w:szCs w:val="17"/>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5" w:lineRule="exact"/>
        <w:rPr>
          <w:rFonts w:ascii="Arial" w:cs="Arial" w:eastAsia="Arial" w:hAnsi="Arial"/>
          <w:sz w:val="17"/>
          <w:szCs w:val="17"/>
          <w:color w:val="auto"/>
        </w:rPr>
      </w:pPr>
    </w:p>
    <w:p>
      <w:pPr>
        <w:ind w:firstLine="436"/>
        <w:spacing w:after="0" w:line="290" w:lineRule="auto"/>
        <w:tabs>
          <w:tab w:leader="none" w:pos="69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340" w:name="page341"/>
    <w:bookmarkEnd w:id="34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requirement of law relating to bankruptcy, insolvency or reorganization or relief of debtors or that may affect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6" w:lineRule="exact"/>
        <w:rPr>
          <w:sz w:val="20"/>
          <w:szCs w:val="20"/>
          <w:color w:val="auto"/>
        </w:rPr>
      </w:pPr>
    </w:p>
    <w:p>
      <w:pPr>
        <w:ind w:right="160" w:firstLine="436"/>
        <w:spacing w:after="0" w:line="286" w:lineRule="auto"/>
        <w:tabs>
          <w:tab w:leader="none" w:pos="685"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57" w:lineRule="exact"/>
        <w:rPr>
          <w:rFonts w:ascii="Arial" w:cs="Arial" w:eastAsia="Arial" w:hAnsi="Arial"/>
          <w:sz w:val="17"/>
          <w:szCs w:val="17"/>
          <w:color w:val="auto"/>
        </w:rPr>
      </w:pPr>
    </w:p>
    <w:p>
      <w:pPr>
        <w:ind w:left="440" w:right="20" w:firstLine="419"/>
        <w:spacing w:after="0" w:line="290" w:lineRule="auto"/>
        <w:tabs>
          <w:tab w:leader="none" w:pos="1078"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57" w:lineRule="exact"/>
        <w:rPr>
          <w:rFonts w:ascii="Arial" w:cs="Arial" w:eastAsia="Arial" w:hAnsi="Arial"/>
          <w:sz w:val="16"/>
          <w:szCs w:val="16"/>
          <w:color w:val="auto"/>
        </w:rPr>
      </w:pPr>
    </w:p>
    <w:p>
      <w:pPr>
        <w:ind w:left="1120" w:hanging="261"/>
        <w:spacing w:after="0"/>
        <w:tabs>
          <w:tab w:leader="none" w:pos="11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68" w:val="left"/>
        </w:tabs>
        <w:numPr>
          <w:ilvl w:val="1"/>
          <w:numId w:val="416"/>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70" w:lineRule="exact"/>
        <w:rPr>
          <w:rFonts w:ascii="Arial" w:cs="Arial" w:eastAsia="Arial" w:hAnsi="Arial"/>
          <w:sz w:val="18"/>
          <w:szCs w:val="18"/>
          <w:color w:val="auto"/>
        </w:rPr>
      </w:pPr>
    </w:p>
    <w:p>
      <w:pPr>
        <w:jc w:val="both"/>
        <w:ind w:firstLine="436"/>
        <w:spacing w:after="0" w:line="263" w:lineRule="auto"/>
        <w:tabs>
          <w:tab w:leader="none" w:pos="69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341" w:name="page342"/>
    <w:bookmarkEnd w:id="341"/>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57" w:lineRule="exact"/>
        <w:rPr>
          <w:sz w:val="20"/>
          <w:szCs w:val="20"/>
          <w:color w:val="auto"/>
        </w:rPr>
      </w:pPr>
    </w:p>
    <w:p>
      <w:pPr>
        <w:ind w:right="260" w:firstLine="436"/>
        <w:spacing w:after="0" w:line="342" w:lineRule="auto"/>
        <w:tabs>
          <w:tab w:leader="none" w:pos="68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Arranger shall not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23" w:lineRule="exact"/>
        <w:rPr>
          <w:rFonts w:ascii="Arial" w:cs="Arial" w:eastAsia="Arial" w:hAnsi="Arial"/>
          <w:sz w:val="16"/>
          <w:szCs w:val="16"/>
          <w:color w:val="auto"/>
        </w:rPr>
      </w:pPr>
    </w:p>
    <w:p>
      <w:pPr>
        <w:ind w:firstLine="436"/>
        <w:spacing w:after="0" w:line="257" w:lineRule="auto"/>
        <w:tabs>
          <w:tab w:leader="none" w:pos="66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9" w:lineRule="exact"/>
        <w:rPr>
          <w:rFonts w:ascii="Arial" w:cs="Arial" w:eastAsia="Arial" w:hAnsi="Arial"/>
          <w:sz w:val="18"/>
          <w:szCs w:val="18"/>
          <w:color w:val="auto"/>
        </w:rPr>
      </w:pPr>
    </w:p>
    <w:p>
      <w:pPr>
        <w:jc w:val="both"/>
        <w:ind w:left="440" w:right="60" w:firstLine="419"/>
        <w:spacing w:after="0" w:line="259" w:lineRule="auto"/>
        <w:tabs>
          <w:tab w:leader="none" w:pos="107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66" w:lineRule="exact"/>
        <w:rPr>
          <w:sz w:val="20"/>
          <w:szCs w:val="20"/>
          <w:color w:val="auto"/>
        </w:rPr>
      </w:pPr>
    </w:p>
    <w:p>
      <w:pPr>
        <w:ind w:right="40" w:firstLine="436"/>
        <w:spacing w:after="0" w:line="257" w:lineRule="auto"/>
        <w:tabs>
          <w:tab w:leader="none" w:pos="69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Administrative Agent, the Lenders and the Issuing Banks, and, except solely to the extent of the Borrower’s right to consent pursuant to and subject to the conditions set forth in this Article, the Borrower, any Subsidiary, and each of their respective Affiliates, shall not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60"/>
          </w:cols>
          <w:pgMar w:left="440" w:top="274" w:right="499" w:bottom="1440" w:gutter="0" w:footer="0" w:header="0"/>
        </w:sectPr>
      </w:pPr>
    </w:p>
    <w:bookmarkStart w:id="342" w:name="page343"/>
    <w:bookmarkEnd w:id="342"/>
    <w:p>
      <w:pPr>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8.02 </w:t>
      </w:r>
      <w:r>
        <w:rPr>
          <w:rFonts w:ascii="Arial" w:cs="Arial" w:eastAsia="Arial" w:hAnsi="Arial"/>
          <w:sz w:val="16"/>
          <w:szCs w:val="16"/>
          <w:u w:val="single" w:color="auto"/>
          <w:color w:val="auto"/>
        </w:rPr>
        <w:t>Administrative Agent’s Reliance, Limitation of Liability, Etc.</w:t>
      </w:r>
      <w:r>
        <w:rPr>
          <w:rFonts w:ascii="Arial" w:cs="Arial" w:eastAsia="Arial" w:hAnsi="Arial"/>
          <w:sz w:val="16"/>
          <w:szCs w:val="16"/>
          <w:color w:val="auto"/>
        </w:rPr>
        <w:t xml:space="preserve">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68" w:lineRule="exact"/>
        <w:rPr>
          <w:sz w:val="20"/>
          <w:szCs w:val="20"/>
          <w:color w:val="auto"/>
        </w:rPr>
      </w:pPr>
    </w:p>
    <w:p>
      <w:pPr>
        <w:ind w:firstLine="436"/>
        <w:spacing w:after="0" w:line="287" w:lineRule="auto"/>
        <w:tabs>
          <w:tab w:leader="none" w:pos="68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343" w:name="page344"/>
    <w:bookmarkEnd w:id="343"/>
    <w:p>
      <w:pPr>
        <w:ind w:left="-20" w:firstLine="436"/>
        <w:spacing w:after="0" w:line="286" w:lineRule="auto"/>
        <w:tabs>
          <w:tab w:leader="none" w:pos="675" w:val="left"/>
        </w:tabs>
        <w:numPr>
          <w:ilvl w:val="0"/>
          <w:numId w:val="4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25" w:lineRule="exact"/>
        <w:rPr>
          <w:sz w:val="20"/>
          <w:szCs w:val="20"/>
          <w:color w:val="auto"/>
        </w:rPr>
      </w:pPr>
    </w:p>
    <w:p>
      <w:pPr>
        <w:ind w:left="-20" w:right="20" w:firstLine="436"/>
        <w:spacing w:after="0" w:line="263" w:lineRule="auto"/>
        <w:tabs>
          <w:tab w:leader="none" w:pos="66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and the Issuing Bank by posting the Communications on IntraLinks</w:t>
      </w:r>
      <w:r>
        <w:rPr>
          <w:rFonts w:ascii="Arial" w:cs="Arial" w:eastAsia="Arial" w:hAnsi="Arial"/>
          <w:sz w:val="15"/>
          <w:szCs w:val="15"/>
          <w:color w:val="auto"/>
        </w:rPr>
        <w:t>™</w:t>
      </w:r>
      <w:r>
        <w:rPr>
          <w:rFonts w:ascii="Arial" w:cs="Arial" w:eastAsia="Arial" w:hAnsi="Arial"/>
          <w:sz w:val="18"/>
          <w:szCs w:val="18"/>
          <w:color w:val="auto"/>
        </w:rPr>
        <w:t>, DebtDomain, SyndTrak, ClearPar or any other electronic system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0" w:right="20" w:firstLine="436"/>
        <w:spacing w:after="0" w:line="271" w:lineRule="auto"/>
        <w:tabs>
          <w:tab w:leader="none" w:pos="67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the Borrower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left="-20" w:right="20" w:firstLine="436"/>
        <w:spacing w:after="0" w:line="257" w:lineRule="auto"/>
        <w:tabs>
          <w:tab w:leader="none" w:pos="66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60"/>
          </w:cols>
          <w:pgMar w:left="460" w:top="274" w:right="479" w:bottom="1440" w:gutter="0" w:footer="0" w:header="0"/>
        </w:sectPr>
      </w:pPr>
    </w:p>
    <w:bookmarkStart w:id="344" w:name="page345"/>
    <w:bookmarkEnd w:id="344"/>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 OR ANY OF THEIR RESPECTIVE RELATED PARTIES (COLLECTIVELY, “</w:t>
      </w:r>
      <w:r>
        <w:rPr>
          <w:rFonts w:ascii="Arial" w:cs="Arial" w:eastAsia="Arial" w:hAnsi="Arial"/>
          <w:sz w:val="17"/>
          <w:szCs w:val="17"/>
          <w:u w:val="single" w:color="auto"/>
          <w:color w:val="auto"/>
        </w:rPr>
        <w:t>APPLICABLE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70" w:lineRule="exact"/>
        <w:rPr>
          <w:sz w:val="20"/>
          <w:szCs w:val="20"/>
          <w:color w:val="auto"/>
        </w:rPr>
      </w:pPr>
    </w:p>
    <w:p>
      <w:pPr>
        <w:ind w:left="440" w:right="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that is distributed by the Administrative Agent, any Lender or Issuing Bank by means of electronic communications pursuant to this Section, including through an Approved Electronic Platform.</w:t>
      </w:r>
    </w:p>
    <w:p>
      <w:pPr>
        <w:spacing w:after="0" w:line="149" w:lineRule="exact"/>
        <w:rPr>
          <w:sz w:val="20"/>
          <w:szCs w:val="20"/>
          <w:color w:val="auto"/>
        </w:rPr>
      </w:pPr>
    </w:p>
    <w:p>
      <w:pPr>
        <w:ind w:right="40" w:firstLine="436"/>
        <w:spacing w:after="0" w:line="257" w:lineRule="auto"/>
        <w:tabs>
          <w:tab w:leader="none" w:pos="69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7"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Each of the Lenders,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3" w:lineRule="exact"/>
        <w:rPr>
          <w:rFonts w:ascii="Arial" w:cs="Arial" w:eastAsia="Arial" w:hAnsi="Arial"/>
          <w:sz w:val="18"/>
          <w:szCs w:val="18"/>
          <w:color w:val="auto"/>
        </w:rPr>
      </w:pPr>
    </w:p>
    <w:p>
      <w:pPr>
        <w:ind w:right="260" w:firstLine="436"/>
        <w:spacing w:after="0" w:line="277" w:lineRule="auto"/>
        <w:tabs>
          <w:tab w:leader="none" w:pos="66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The Administrative Agent Individually</w:t>
      </w:r>
      <w:r>
        <w:rPr>
          <w:rFonts w:ascii="Arial" w:cs="Arial" w:eastAsia="Arial" w:hAnsi="Arial"/>
          <w:sz w:val="16"/>
          <w:szCs w:val="16"/>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345" w:name="page346"/>
    <w:bookmarkEnd w:id="34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8.05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 Administrative Agent may resign at any time by giving 30 days’ prior written notice thereof to the Lenders, the Issuing Bank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6" w:lineRule="exact"/>
        <w:rPr>
          <w:rFonts w:ascii="Arial" w:cs="Arial" w:eastAsia="Arial" w:hAnsi="Arial"/>
          <w:sz w:val="17"/>
          <w:szCs w:val="17"/>
          <w:color w:val="auto"/>
        </w:rPr>
      </w:pPr>
    </w:p>
    <w:p>
      <w:pPr>
        <w:ind w:left="4" w:right="80" w:firstLine="436"/>
        <w:spacing w:after="0" w:line="283" w:lineRule="auto"/>
        <w:tabs>
          <w:tab w:leader="none" w:pos="699" w:val="left"/>
        </w:tabs>
        <w:numPr>
          <w:ilvl w:val="1"/>
          <w:numId w:val="423"/>
        </w:numPr>
        <w:rPr>
          <w:rFonts w:ascii="Arial" w:cs="Arial" w:eastAsia="Arial" w:hAnsi="Arial"/>
          <w:sz w:val="16"/>
          <w:szCs w:val="16"/>
          <w:color w:val="auto"/>
        </w:rPr>
      </w:pPr>
      <w:r>
        <w:rPr>
          <w:rFonts w:ascii="Arial" w:cs="Arial" w:eastAsia="Arial" w:hAnsi="Arial"/>
          <w:sz w:val="16"/>
          <w:szCs w:val="16"/>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payments required to be made hereunder or under any other Loan Document to the Administrative Agent for the account of any Person other than the Administrative Agent shall be made directly to such Person and</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notices and other communications required or contemplated to be given or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4"/>
          </w:cols>
          <w:pgMar w:left="436" w:top="274" w:right="479" w:bottom="1440" w:gutter="0" w:footer="0" w:header="0"/>
        </w:sectPr>
      </w:pPr>
    </w:p>
    <w:bookmarkStart w:id="346" w:name="page347"/>
    <w:bookmarkEnd w:id="346"/>
    <w:p>
      <w:pPr>
        <w:ind w:left="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Acknowledgements of Lenders and Issuing Bank</w:t>
      </w:r>
      <w:r>
        <w:rPr>
          <w:rFonts w:ascii="Arial" w:cs="Arial" w:eastAsia="Arial" w:hAnsi="Arial"/>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425"/>
        </w:numPr>
        <w:rPr>
          <w:rFonts w:ascii="Arial" w:cs="Arial" w:eastAsia="Arial" w:hAnsi="Arial"/>
          <w:sz w:val="16"/>
          <w:szCs w:val="16"/>
          <w:color w:val="auto"/>
        </w:rPr>
      </w:pPr>
      <w:r>
        <w:rPr>
          <w:rFonts w:ascii="Arial" w:cs="Arial" w:eastAsia="Arial" w:hAnsi="Arial"/>
          <w:sz w:val="16"/>
          <w:szCs w:val="16"/>
          <w:color w:val="auto"/>
        </w:rPr>
        <w:t>Each Lender and each Issuing Bank represents and warrants that (i) the Loan Documents set forth the terms of a commercial lending facility,</w:t>
      </w:r>
    </w:p>
    <w:p>
      <w:pPr>
        <w:spacing w:after="0" w:line="46" w:lineRule="exact"/>
        <w:rPr>
          <w:rFonts w:ascii="Arial" w:cs="Arial" w:eastAsia="Arial" w:hAnsi="Arial"/>
          <w:sz w:val="16"/>
          <w:szCs w:val="16"/>
          <w:color w:val="auto"/>
        </w:rPr>
      </w:pPr>
    </w:p>
    <w:p>
      <w:pPr>
        <w:ind w:left="4" w:hanging="4"/>
        <w:spacing w:after="0" w:line="267" w:lineRule="auto"/>
        <w:tabs>
          <w:tab w:leader="none" w:pos="269" w:val="left"/>
        </w:tabs>
        <w:numPr>
          <w:ilvl w:val="0"/>
          <w:numId w:val="426"/>
        </w:numPr>
        <w:rPr>
          <w:rFonts w:ascii="Arial" w:cs="Arial" w:eastAsia="Arial" w:hAnsi="Arial"/>
          <w:sz w:val="17"/>
          <w:szCs w:val="17"/>
          <w:color w:val="auto"/>
        </w:rPr>
      </w:pPr>
      <w:r>
        <w:rPr>
          <w:rFonts w:ascii="Arial" w:cs="Arial" w:eastAsia="Arial" w:hAnsi="Arial"/>
          <w:sz w:val="17"/>
          <w:szCs w:val="17"/>
          <w:color w:val="auto"/>
        </w:rPr>
        <w:t>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the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the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rFonts w:ascii="Arial" w:cs="Arial" w:eastAsia="Arial" w:hAnsi="Arial"/>
          <w:sz w:val="17"/>
          <w:szCs w:val="17"/>
          <w:color w:val="auto"/>
        </w:rPr>
      </w:pPr>
    </w:p>
    <w:p>
      <w:pPr>
        <w:ind w:left="4" w:right="120" w:firstLine="436"/>
        <w:spacing w:after="0" w:line="257" w:lineRule="auto"/>
        <w:tabs>
          <w:tab w:leader="none" w:pos="699" w:val="left"/>
        </w:tabs>
        <w:numPr>
          <w:ilvl w:val="1"/>
          <w:numId w:val="426"/>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4"/>
          </w:cols>
          <w:pgMar w:left="436" w:top="274" w:right="459" w:bottom="1440" w:gutter="0" w:footer="0" w:header="0"/>
        </w:sectPr>
      </w:pPr>
    </w:p>
    <w:bookmarkStart w:id="347" w:name="page348"/>
    <w:bookmarkEnd w:id="347"/>
    <w:p>
      <w:pPr>
        <w:ind w:left="4" w:right="100" w:firstLine="436"/>
        <w:spacing w:after="0" w:line="284" w:lineRule="auto"/>
        <w:tabs>
          <w:tab w:leader="none" w:pos="689" w:val="left"/>
        </w:tabs>
        <w:numPr>
          <w:ilvl w:val="1"/>
          <w:numId w:val="4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w:t>
      </w:r>
    </w:p>
    <w:p>
      <w:pPr>
        <w:spacing w:after="0" w:line="4" w:lineRule="exact"/>
        <w:rPr>
          <w:rFonts w:ascii="Arial" w:cs="Arial" w:eastAsia="Arial" w:hAnsi="Arial"/>
          <w:sz w:val="16"/>
          <w:szCs w:val="16"/>
          <w:color w:val="auto"/>
        </w:rPr>
      </w:pPr>
    </w:p>
    <w:p>
      <w:pPr>
        <w:ind w:left="4" w:hanging="4"/>
        <w:spacing w:after="0" w:line="281" w:lineRule="auto"/>
        <w:tabs>
          <w:tab w:leader="none" w:pos="309"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w:t>
      </w:r>
    </w:p>
    <w:p>
      <w:pPr>
        <w:spacing w:after="0" w:line="2" w:lineRule="exact"/>
        <w:rPr>
          <w:rFonts w:ascii="Arial" w:cs="Arial" w:eastAsia="Arial" w:hAnsi="Arial"/>
          <w:sz w:val="16"/>
          <w:szCs w:val="16"/>
          <w:color w:val="auto"/>
        </w:rPr>
      </w:pPr>
    </w:p>
    <w:p>
      <w:pPr>
        <w:ind w:left="4" w:right="100"/>
        <w:spacing w:after="0" w:line="253" w:lineRule="auto"/>
        <w:rPr>
          <w:rFonts w:ascii="Arial" w:cs="Arial" w:eastAsia="Arial" w:hAnsi="Arial"/>
          <w:sz w:val="16"/>
          <w:szCs w:val="16"/>
          <w:color w:val="auto"/>
        </w:rPr>
      </w:pPr>
      <w:r>
        <w:rPr>
          <w:rFonts w:ascii="Arial" w:cs="Arial" w:eastAsia="Arial" w:hAnsi="Arial"/>
          <w:sz w:val="18"/>
          <w:szCs w:val="18"/>
          <w:color w:val="auto"/>
        </w:rPr>
        <w:t>(B)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225" w:lineRule="exact"/>
        <w:rPr>
          <w:sz w:val="20"/>
          <w:szCs w:val="20"/>
          <w:color w:val="auto"/>
        </w:rPr>
      </w:pPr>
    </w:p>
    <w:p>
      <w:pPr>
        <w:ind w:left="4" w:right="120" w:firstLine="436"/>
        <w:spacing w:after="0" w:line="271" w:lineRule="auto"/>
        <w:tabs>
          <w:tab w:leader="none" w:pos="689" w:val="left"/>
        </w:tabs>
        <w:numPr>
          <w:ilvl w:val="0"/>
          <w:numId w:val="429"/>
        </w:numPr>
        <w:rPr>
          <w:rFonts w:ascii="Arial" w:cs="Arial" w:eastAsia="Arial" w:hAnsi="Arial"/>
          <w:sz w:val="17"/>
          <w:szCs w:val="17"/>
          <w:color w:val="auto"/>
        </w:rPr>
      </w:pPr>
      <w:r>
        <w:rPr>
          <w:rFonts w:ascii="Arial" w:cs="Arial" w:eastAsia="Arial" w:hAnsi="Arial"/>
          <w:sz w:val="17"/>
          <w:szCs w:val="17"/>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78" w:lineRule="exact"/>
        <w:rPr>
          <w:rFonts w:ascii="Arial" w:cs="Arial" w:eastAsia="Arial" w:hAnsi="Arial"/>
          <w:sz w:val="17"/>
          <w:szCs w:val="17"/>
          <w:color w:val="auto"/>
        </w:rPr>
      </w:pPr>
    </w:p>
    <w:p>
      <w:pPr>
        <w:ind w:left="4" w:right="40" w:firstLine="436"/>
        <w:spacing w:after="0" w:line="254" w:lineRule="auto"/>
        <w:tabs>
          <w:tab w:leader="none" w:pos="69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4"/>
          </w:cols>
          <w:pgMar w:left="436" w:top="274" w:right="459" w:bottom="1440" w:gutter="0" w:footer="0" w:header="0"/>
        </w:sectPr>
      </w:pPr>
    </w:p>
    <w:bookmarkStart w:id="348" w:name="page349"/>
    <w:bookmarkEnd w:id="348"/>
    <w:p>
      <w:pPr>
        <w:ind w:right="60" w:firstLine="436"/>
        <w:spacing w:after="0" w:line="274" w:lineRule="auto"/>
        <w:tabs>
          <w:tab w:leader="none" w:pos="685" w:val="left"/>
        </w:tabs>
        <w:numPr>
          <w:ilvl w:val="0"/>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w:t>
      </w:r>
    </w:p>
    <w:p>
      <w:pPr>
        <w:ind w:right="200"/>
        <w:spacing w:after="0" w:line="253" w:lineRule="auto"/>
        <w:rPr>
          <w:rFonts w:ascii="Arial" w:cs="Arial" w:eastAsia="Arial" w:hAnsi="Arial"/>
          <w:sz w:val="17"/>
          <w:szCs w:val="17"/>
          <w:color w:val="auto"/>
        </w:rPr>
      </w:pPr>
      <w:r>
        <w:rPr>
          <w:rFonts w:ascii="Arial" w:cs="Arial" w:eastAsia="Arial" w:hAnsi="Arial"/>
          <w:sz w:val="18"/>
          <w:szCs w:val="18"/>
          <w:color w:val="auto"/>
        </w:rPr>
        <w:t>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93"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Credit Bidding</w:t>
      </w:r>
      <w:r>
        <w:rPr>
          <w:rFonts w:ascii="Arial" w:cs="Arial" w:eastAsia="Arial" w:hAnsi="Arial"/>
          <w:sz w:val="16"/>
          <w:szCs w:val="16"/>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that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that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349" w:name="page350"/>
    <w:bookmarkEnd w:id="34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that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36"/>
        <w:spacing w:after="0" w:line="259" w:lineRule="auto"/>
        <w:tabs>
          <w:tab w:leader="none" w:pos="68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440" w:firstLine="419"/>
        <w:spacing w:after="0" w:line="263" w:lineRule="auto"/>
        <w:tabs>
          <w:tab w:leader="none" w:pos="1078"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1"/>
          <w:numId w:val="43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0" w:right="160" w:firstLine="419"/>
        <w:spacing w:after="0" w:line="254" w:lineRule="auto"/>
        <w:tabs>
          <w:tab w:leader="none" w:pos="1178"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350" w:name="page351"/>
    <w:bookmarkEnd w:id="350"/>
    <w:p>
      <w:pPr>
        <w:ind w:left="444" w:right="160" w:firstLine="419"/>
        <w:spacing w:after="0" w:line="277" w:lineRule="auto"/>
        <w:tabs>
          <w:tab w:leader="none" w:pos="1172" w:val="left"/>
        </w:tabs>
        <w:numPr>
          <w:ilvl w:val="2"/>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436"/>
        <w:spacing w:after="0" w:line="291" w:lineRule="auto"/>
        <w:tabs>
          <w:tab w:leader="none" w:pos="699" w:val="left"/>
        </w:tabs>
        <w:numPr>
          <w:ilvl w:val="1"/>
          <w:numId w:val="433"/>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90" w:lineRule="auto"/>
        <w:tabs>
          <w:tab w:leader="none" w:pos="259" w:val="left"/>
        </w:tabs>
        <w:numPr>
          <w:ilvl w:val="0"/>
          <w:numId w:val="434"/>
        </w:numPr>
        <w:rPr>
          <w:rFonts w:ascii="Arial" w:cs="Arial" w:eastAsia="Arial" w:hAnsi="Arial"/>
          <w:sz w:val="16"/>
          <w:szCs w:val="16"/>
          <w:color w:val="auto"/>
        </w:rPr>
      </w:pPr>
      <w:r>
        <w:rPr>
          <w:rFonts w:ascii="Arial" w:cs="Arial" w:eastAsia="Arial" w:hAnsi="Arial"/>
          <w:sz w:val="16"/>
          <w:szCs w:val="16"/>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none of the Administrative Agent, the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4"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Flood Laws</w:t>
      </w:r>
      <w:r>
        <w:rPr>
          <w:rFonts w:ascii="Arial" w:cs="Arial" w:eastAsia="Arial" w:hAnsi="Arial"/>
          <w:sz w:val="18"/>
          <w:szCs w:val="18"/>
          <w:color w:val="auto"/>
        </w:rPr>
        <w:t>. JPMCB has adopted internal policies and procedures that address requirements placed on federally regulated lenders under the National Flood Insurance Reform Act of 1994 and related legislation (the “</w:t>
      </w:r>
      <w:r>
        <w:rPr>
          <w:rFonts w:ascii="Arial" w:cs="Arial" w:eastAsia="Arial" w:hAnsi="Arial"/>
          <w:sz w:val="18"/>
          <w:szCs w:val="18"/>
          <w:u w:val="single" w:color="auto"/>
          <w:color w:val="auto"/>
        </w:rPr>
        <w:t>Flood Laws</w:t>
      </w:r>
      <w:r>
        <w:rPr>
          <w:rFonts w:ascii="Arial" w:cs="Arial" w:eastAsia="Arial" w:hAnsi="Arial"/>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25" w:lineRule="exact"/>
        <w:rPr>
          <w:sz w:val="20"/>
          <w:szCs w:val="20"/>
          <w:color w:val="auto"/>
        </w:rPr>
      </w:pPr>
    </w:p>
    <w:p>
      <w:pPr>
        <w:ind w:left="4" w:right="80" w:firstLine="436"/>
        <w:spacing w:after="0" w:line="269" w:lineRule="auto"/>
        <w:tabs>
          <w:tab w:leader="none" w:pos="689" w:val="left"/>
        </w:tabs>
        <w:numPr>
          <w:ilvl w:val="0"/>
          <w:numId w:val="435"/>
        </w:numPr>
        <w:rPr>
          <w:rFonts w:ascii="Arial" w:cs="Arial" w:eastAsia="Arial" w:hAnsi="Arial"/>
          <w:sz w:val="17"/>
          <w:szCs w:val="17"/>
          <w:color w:val="auto"/>
        </w:rPr>
      </w:pPr>
      <w:r>
        <w:rPr>
          <w:rFonts w:ascii="Arial" w:cs="Arial" w:eastAsia="Arial" w:hAnsi="Arial"/>
          <w:sz w:val="17"/>
          <w:szCs w:val="17"/>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shall be conclusive, absent manifest error.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4"/>
          </w:cols>
          <w:pgMar w:left="436" w:top="274" w:right="459" w:bottom="1440" w:gutter="0" w:footer="0" w:header="0"/>
        </w:sectPr>
      </w:pPr>
    </w:p>
    <w:bookmarkStart w:id="351" w:name="page352"/>
    <w:bookmarkEnd w:id="351"/>
    <w:p>
      <w:pPr>
        <w:ind w:left="-20" w:right="40" w:firstLine="436"/>
        <w:spacing w:after="0" w:line="269" w:lineRule="auto"/>
        <w:tabs>
          <w:tab w:leader="none" w:pos="675" w:val="left"/>
        </w:tabs>
        <w:numPr>
          <w:ilvl w:val="0"/>
          <w:numId w:val="4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that unless the Administrative Agent informs such Lender otherwise, in each such case,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5" w:lineRule="exact"/>
        <w:rPr>
          <w:rFonts w:ascii="Arial" w:cs="Arial" w:eastAsia="Arial" w:hAnsi="Arial"/>
          <w:sz w:val="17"/>
          <w:szCs w:val="17"/>
          <w:color w:val="auto"/>
        </w:rPr>
      </w:pPr>
    </w:p>
    <w:p>
      <w:pPr>
        <w:ind w:left="-20" w:firstLine="436"/>
        <w:spacing w:after="0" w:line="286" w:lineRule="auto"/>
        <w:tabs>
          <w:tab w:leader="none" w:pos="66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the event an erroneous Payment (or portion thereof) is not recovered from any Lender that has received such Payment (or portion thereof) for any reason (such unrecovered amount, a “</w:t>
      </w:r>
      <w:r>
        <w:rPr>
          <w:rFonts w:ascii="Arial" w:cs="Arial" w:eastAsia="Arial" w:hAnsi="Arial"/>
          <w:sz w:val="16"/>
          <w:szCs w:val="16"/>
          <w:u w:val="single" w:color="auto"/>
          <w:color w:val="auto"/>
        </w:rPr>
        <w:t>Return Payment Deficiency</w:t>
      </w:r>
      <w:r>
        <w:rPr>
          <w:rFonts w:ascii="Arial" w:cs="Arial" w:eastAsia="Arial" w:hAnsi="Arial"/>
          <w:sz w:val="16"/>
          <w:szCs w:val="16"/>
          <w:color w:val="auto"/>
        </w:rPr>
        <w:t>”), upon the Administrative Agent’s request (i) each Lender hereby further agrees that it will (and is hereby obligated to) assign its Loans (but not its Commitments) of the relevant Class with respect to which such Payment was made (the “</w:t>
      </w:r>
      <w:r>
        <w:rPr>
          <w:rFonts w:ascii="Arial" w:cs="Arial" w:eastAsia="Arial" w:hAnsi="Arial"/>
          <w:sz w:val="16"/>
          <w:szCs w:val="16"/>
          <w:u w:val="single" w:color="auto"/>
          <w:color w:val="auto"/>
        </w:rPr>
        <w:t>Impacted Class</w:t>
      </w:r>
      <w:r>
        <w:rPr>
          <w:rFonts w:ascii="Arial" w:cs="Arial" w:eastAsia="Arial" w:hAnsi="Arial"/>
          <w:sz w:val="16"/>
          <w:szCs w:val="16"/>
          <w:color w:val="auto"/>
        </w:rPr>
        <w:t>”) in an amount equal to the Return Payment Deficiency (such assignment of the Loans (but not Commitments) of the Impacted Class, the “</w:t>
      </w:r>
      <w:r>
        <w:rPr>
          <w:rFonts w:ascii="Arial" w:cs="Arial" w:eastAsia="Arial" w:hAnsi="Arial"/>
          <w:sz w:val="16"/>
          <w:szCs w:val="16"/>
          <w:u w:val="single" w:color="auto"/>
          <w:color w:val="auto"/>
        </w:rPr>
        <w:t>Deficiency Assignment</w:t>
      </w:r>
      <w:r>
        <w:rPr>
          <w:rFonts w:ascii="Arial" w:cs="Arial" w:eastAsia="Arial" w:hAnsi="Arial"/>
          <w:sz w:val="16"/>
          <w:szCs w:val="16"/>
          <w:color w:val="auto"/>
        </w:rPr>
        <w:t>”) at par plus any accrued and unpaid interest (with the assignment fee to be waived by the Administrative Agent in such instance), and is hereby deemed to execute and deliver an Assignment and Assumption with respect to such Deficiency Assignment, and shall deliver any Notes evidencing such Loans to the Borrower or the Administrative Agent, (ii) the Administrative Agent as the assignee Lender shall be deemed to acquire the Deficiency Assignment and (iii) upon such deemed acquisition, the Administrative Agent as the assignee Lender shall become a Lender hereunder solely with respect to such Deficiency Assignment and the assigning Lender shall cease to be a Lender hereunder solely with respect to such Deficiency Assignment, excluding for, the avoidance of doubt, its obligations under the indemnification provisions under this Agreement and its applicable Commitments, which shall survive as to such assigning Lender. The parties hereto agree an erroneous Payment shall not pay, prepay, repay, discharge or otherwise satisfy any Obligations owed by the Borrower or any other Loan Party. For the avoidance of doubt, no Deficiency Assignment will reduce the Commitments of any Lender and such Commitments shall remain available in accordance with the terms of this Agreement.</w:t>
      </w:r>
    </w:p>
    <w:p>
      <w:pPr>
        <w:spacing w:after="0" w:line="173" w:lineRule="exact"/>
        <w:rPr>
          <w:rFonts w:ascii="Arial" w:cs="Arial" w:eastAsia="Arial" w:hAnsi="Arial"/>
          <w:sz w:val="16"/>
          <w:szCs w:val="16"/>
          <w:color w:val="auto"/>
        </w:rPr>
      </w:pPr>
    </w:p>
    <w:p>
      <w:pPr>
        <w:ind w:left="-20" w:right="340" w:firstLine="436"/>
        <w:spacing w:after="0" w:line="342" w:lineRule="auto"/>
        <w:tabs>
          <w:tab w:leader="none" w:pos="67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Each Lender’s obligations under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shall survive the resignation or replacement of the Administrative Agent, any transfer of rights or obligations by, or the replacement of, such Lender and the date upon which all of the Secured Obligations have been Paid in Full.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60" w:top="274" w:right="459" w:bottom="1440" w:gutter="0" w:footer="0" w:header="0"/>
        </w:sectPr>
      </w:pPr>
    </w:p>
    <w:bookmarkStart w:id="352" w:name="page353"/>
    <w:bookmarkEnd w:id="352"/>
    <w:p>
      <w:pPr>
        <w:ind w:left="5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Notices</w:t>
      </w:r>
      <w:r>
        <w:rPr>
          <w:rFonts w:ascii="Arial" w:cs="Arial" w:eastAsia="Arial" w:hAnsi="Arial"/>
          <w:sz w:val="17"/>
          <w:szCs w:val="17"/>
          <w:color w:val="auto"/>
        </w:rPr>
        <w:t>.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71" w:lineRule="exact"/>
        <w:rPr>
          <w:sz w:val="20"/>
          <w:szCs w:val="20"/>
          <w:color w:val="auto"/>
        </w:rPr>
      </w:pPr>
    </w:p>
    <w:p>
      <w:pPr>
        <w:ind w:left="960" w:hanging="532"/>
        <w:spacing w:after="0"/>
        <w:tabs>
          <w:tab w:leader="none" w:pos="9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 to any Loan Party, to the Borrower at:</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23" w:lineRule="exact"/>
        <w:rPr>
          <w:rFonts w:ascii="Arial" w:cs="Arial" w:eastAsia="Arial" w:hAnsi="Arial"/>
          <w:sz w:val="18"/>
          <w:szCs w:val="18"/>
          <w:color w:val="auto"/>
        </w:rPr>
      </w:pPr>
    </w:p>
    <w:p>
      <w:pPr>
        <w:ind w:left="980" w:right="8060"/>
        <w:spacing w:after="0" w:line="281" w:lineRule="auto"/>
        <w:rPr>
          <w:rFonts w:ascii="Arial" w:cs="Arial" w:eastAsia="Arial" w:hAnsi="Arial"/>
          <w:sz w:val="18"/>
          <w:szCs w:val="18"/>
          <w:color w:val="auto"/>
        </w:rPr>
      </w:pPr>
      <w:r>
        <w:rPr>
          <w:rFonts w:ascii="Arial" w:cs="Arial" w:eastAsia="Arial" w:hAnsi="Arial"/>
          <w:sz w:val="16"/>
          <w:szCs w:val="16"/>
          <w:color w:val="auto"/>
        </w:rPr>
        <w:t>6210 Ardrey Kell Road Charlotte, NC 28277</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Thomas D. DeByle or the then current Chief Financial Officer</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tom.debyle@nninc.com</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Facsimile No: 980-264-4389</w:t>
      </w:r>
    </w:p>
    <w:p>
      <w:pPr>
        <w:spacing w:after="0" w:line="10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8"/>
          <w:szCs w:val="18"/>
          <w:color w:val="auto"/>
        </w:rPr>
      </w:pPr>
    </w:p>
    <w:p>
      <w:pPr>
        <w:ind w:left="980" w:right="7520"/>
        <w:spacing w:after="0" w:line="250" w:lineRule="auto"/>
        <w:rPr>
          <w:rFonts w:ascii="Arial" w:cs="Arial" w:eastAsia="Arial" w:hAnsi="Arial"/>
          <w:sz w:val="18"/>
          <w:szCs w:val="18"/>
          <w:color w:val="auto"/>
        </w:rPr>
      </w:pPr>
      <w:r>
        <w:rPr>
          <w:rFonts w:ascii="Arial" w:cs="Arial" w:eastAsia="Arial" w:hAnsi="Arial"/>
          <w:sz w:val="18"/>
          <w:szCs w:val="18"/>
          <w:color w:val="auto"/>
        </w:rPr>
        <w:t>100 Peabody Place, Suite 1300 Memphis, TN 38103</w:t>
      </w:r>
    </w:p>
    <w:p>
      <w:pPr>
        <w:ind w:left="980"/>
        <w:spacing w:after="0"/>
        <w:rPr>
          <w:rFonts w:ascii="Arial" w:cs="Arial" w:eastAsia="Arial" w:hAnsi="Arial"/>
          <w:sz w:val="18"/>
          <w:szCs w:val="18"/>
          <w:color w:val="auto"/>
        </w:rPr>
      </w:pPr>
      <w:r>
        <w:rPr>
          <w:rFonts w:ascii="Arial" w:cs="Arial" w:eastAsia="Arial" w:hAnsi="Arial"/>
          <w:sz w:val="18"/>
          <w:szCs w:val="18"/>
          <w:color w:val="auto"/>
        </w:rPr>
        <w:t>Attn: T. Gaillard Uhlhorn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guhlhorn@bassberry.com</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if to the Administrative Agent, JPMCB in its capacity as an Issuing Bank or the Swingline Lender, to JPMorgan Chase Bank, N.A. at:</w:t>
      </w:r>
    </w:p>
    <w:p>
      <w:pPr>
        <w:spacing w:after="0" w:line="14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JPMorgan Chase Bank, N.A.</w:t>
      </w:r>
    </w:p>
    <w:p>
      <w:pPr>
        <w:spacing w:after="0" w:line="23" w:lineRule="exact"/>
        <w:rPr>
          <w:rFonts w:ascii="Arial" w:cs="Arial" w:eastAsia="Arial" w:hAnsi="Arial"/>
          <w:sz w:val="16"/>
          <w:szCs w:val="16"/>
          <w:color w:val="auto"/>
        </w:rPr>
      </w:pPr>
    </w:p>
    <w:p>
      <w:pPr>
        <w:ind w:left="980" w:right="7660"/>
        <w:spacing w:after="0" w:line="250" w:lineRule="auto"/>
        <w:rPr>
          <w:rFonts w:ascii="Arial" w:cs="Arial" w:eastAsia="Arial" w:hAnsi="Arial"/>
          <w:sz w:val="16"/>
          <w:szCs w:val="16"/>
          <w:color w:val="auto"/>
        </w:rPr>
      </w:pPr>
      <w:r>
        <w:rPr>
          <w:rFonts w:ascii="Arial" w:cs="Arial" w:eastAsia="Arial" w:hAnsi="Arial"/>
          <w:sz w:val="18"/>
          <w:szCs w:val="18"/>
          <w:color w:val="auto"/>
        </w:rPr>
        <w:t>2200 Ross Avenue, 9th Floor Dallas, TX 75201</w:t>
      </w:r>
    </w:p>
    <w:p>
      <w:pPr>
        <w:ind w:left="980"/>
        <w:spacing w:after="0"/>
        <w:rPr>
          <w:rFonts w:ascii="Arial" w:cs="Arial" w:eastAsia="Arial" w:hAnsi="Arial"/>
          <w:sz w:val="16"/>
          <w:szCs w:val="16"/>
          <w:color w:val="auto"/>
        </w:rPr>
      </w:pPr>
      <w:r>
        <w:rPr>
          <w:rFonts w:ascii="Arial" w:cs="Arial" w:eastAsia="Arial" w:hAnsi="Arial"/>
          <w:sz w:val="18"/>
          <w:szCs w:val="18"/>
          <w:color w:val="auto"/>
        </w:rPr>
        <w:t>Attention: Credit Risk Manager for NN, Inc.</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Facsimile No: 214-965-2594</w:t>
      </w:r>
    </w:p>
    <w:p>
      <w:pPr>
        <w:spacing w:after="0" w:line="10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With a copy to (which shall not constitute notice):</w:t>
      </w:r>
    </w:p>
    <w:p>
      <w:pPr>
        <w:spacing w:after="0" w:line="117"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King &amp; Spalding LLP</w:t>
      </w:r>
    </w:p>
    <w:p>
      <w:pPr>
        <w:spacing w:after="0" w:line="23" w:lineRule="exact"/>
        <w:rPr>
          <w:rFonts w:ascii="Arial" w:cs="Arial" w:eastAsia="Arial" w:hAnsi="Arial"/>
          <w:sz w:val="16"/>
          <w:szCs w:val="16"/>
          <w:color w:val="auto"/>
        </w:rPr>
      </w:pPr>
    </w:p>
    <w:p>
      <w:pPr>
        <w:ind w:left="980" w:right="7860"/>
        <w:spacing w:after="0" w:line="250" w:lineRule="auto"/>
        <w:rPr>
          <w:rFonts w:ascii="Arial" w:cs="Arial" w:eastAsia="Arial" w:hAnsi="Arial"/>
          <w:sz w:val="16"/>
          <w:szCs w:val="16"/>
          <w:color w:val="auto"/>
        </w:rPr>
      </w:pPr>
      <w:r>
        <w:rPr>
          <w:rFonts w:ascii="Arial" w:cs="Arial" w:eastAsia="Arial" w:hAnsi="Arial"/>
          <w:sz w:val="18"/>
          <w:szCs w:val="18"/>
          <w:color w:val="auto"/>
        </w:rPr>
        <w:t>1180 Peachtree Street, NE Suite 1600</w:t>
      </w:r>
    </w:p>
    <w:p>
      <w:pPr>
        <w:ind w:left="980" w:right="8380"/>
        <w:spacing w:after="0" w:line="281" w:lineRule="auto"/>
        <w:rPr>
          <w:rFonts w:ascii="Arial" w:cs="Arial" w:eastAsia="Arial" w:hAnsi="Arial"/>
          <w:sz w:val="16"/>
          <w:szCs w:val="16"/>
          <w:color w:val="auto"/>
        </w:rPr>
      </w:pPr>
      <w:r>
        <w:rPr>
          <w:rFonts w:ascii="Arial" w:cs="Arial" w:eastAsia="Arial" w:hAnsi="Arial"/>
          <w:sz w:val="16"/>
          <w:szCs w:val="16"/>
          <w:color w:val="auto"/>
        </w:rPr>
        <w:t>Atlanta, GA 30309 Attn: J. Craig Lee</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Email: craiglee@kslaw.com</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facsimile number set forth in its Administrative Questionnaire.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740"/>
          </w:cols>
          <w:pgMar w:left="440" w:top="274" w:right="719" w:bottom="1440" w:gutter="0" w:footer="0" w:header="0"/>
        </w:sectPr>
      </w:pPr>
    </w:p>
    <w:bookmarkStart w:id="353" w:name="page354"/>
    <w:bookmarkEnd w:id="353"/>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188" w:lineRule="exact"/>
        <w:rPr>
          <w:sz w:val="20"/>
          <w:szCs w:val="20"/>
          <w:color w:val="auto"/>
        </w:rPr>
      </w:pPr>
    </w:p>
    <w:p>
      <w:pPr>
        <w:ind w:left="4" w:right="20" w:firstLine="436"/>
        <w:spacing w:after="0" w:line="283" w:lineRule="auto"/>
        <w:tabs>
          <w:tab w:leader="none" w:pos="699" w:val="left"/>
        </w:tabs>
        <w:numPr>
          <w:ilvl w:val="1"/>
          <w:numId w:val="438"/>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Borrower, any Loan Party, the Lenders and the Issuing Banks hereunder may be delivered or furnished by using Electronic Systems or Approved Electronic Platforms, as applicable, or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Article II or to Compliance Certificates delivered pursuant to Section 5.01(d) unless otherwise agreed by the Administrative Agent and the applicable Lender. Each of the Administrative Agent and the Borrower (on behalf of the Loan Parties) may, in its discretion, agree to accept notices and other communications to it hereunder by Electronic Systems or Approved Electronic Platforms, as applicable,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w:t>
      </w:r>
    </w:p>
    <w:p>
      <w:pPr>
        <w:spacing w:after="0" w:line="2" w:lineRule="exact"/>
        <w:rPr>
          <w:rFonts w:ascii="Arial" w:cs="Arial" w:eastAsia="Arial" w:hAnsi="Arial"/>
          <w:sz w:val="16"/>
          <w:szCs w:val="16"/>
          <w:color w:val="auto"/>
        </w:rPr>
      </w:pPr>
    </w:p>
    <w:p>
      <w:pPr>
        <w:ind w:left="4" w:right="940" w:hanging="4"/>
        <w:spacing w:after="0" w:line="290" w:lineRule="auto"/>
        <w:tabs>
          <w:tab w:leader="none" w:pos="219" w:val="left"/>
        </w:tabs>
        <w:numPr>
          <w:ilvl w:val="0"/>
          <w:numId w:val="439"/>
        </w:numPr>
        <w:rPr>
          <w:rFonts w:ascii="Arial" w:cs="Arial" w:eastAsia="Arial" w:hAnsi="Arial"/>
          <w:sz w:val="17"/>
          <w:szCs w:val="17"/>
          <w:color w:val="auto"/>
        </w:rPr>
      </w:pPr>
      <w:r>
        <w:rPr>
          <w:rFonts w:ascii="Arial" w:cs="Arial" w:eastAsia="Arial" w:hAnsi="Arial"/>
          <w:sz w:val="17"/>
          <w:szCs w:val="17"/>
          <w:color w:val="auto"/>
        </w:rPr>
        <w:t>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61" w:lineRule="exact"/>
        <w:rPr>
          <w:rFonts w:ascii="Arial" w:cs="Arial" w:eastAsia="Arial" w:hAnsi="Arial"/>
          <w:sz w:val="17"/>
          <w:szCs w:val="17"/>
          <w:color w:val="auto"/>
        </w:rPr>
      </w:pPr>
    </w:p>
    <w:p>
      <w:pPr>
        <w:ind w:left="4" w:right="60" w:firstLine="436"/>
        <w:spacing w:after="0" w:line="277" w:lineRule="auto"/>
        <w:tabs>
          <w:tab w:leader="none" w:pos="689"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Any party hereto may change its address, facsimile number or e-mail address for notices and other communications hereunder by notice to the other parties hereto.</w:t>
      </w:r>
    </w:p>
    <w:p>
      <w:pPr>
        <w:spacing w:after="0" w:line="170"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4"/>
          </w:cols>
          <w:pgMar w:left="436" w:top="274" w:right="479" w:bottom="1440" w:gutter="0" w:footer="0" w:header="0"/>
        </w:sectPr>
      </w:pPr>
    </w:p>
    <w:bookmarkStart w:id="354" w:name="page355"/>
    <w:bookmarkEnd w:id="354"/>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4" w:lineRule="exact"/>
        <w:rPr>
          <w:sz w:val="20"/>
          <w:szCs w:val="20"/>
          <w:color w:val="auto"/>
        </w:rPr>
      </w:pPr>
    </w:p>
    <w:p>
      <w:pPr>
        <w:ind w:left="704" w:hanging="264"/>
        <w:spacing w:after="0"/>
        <w:tabs>
          <w:tab w:leader="none" w:pos="704" w:val="left"/>
        </w:tabs>
        <w:numPr>
          <w:ilvl w:val="1"/>
          <w:numId w:val="440"/>
        </w:numPr>
        <w:rPr>
          <w:rFonts w:ascii="Arial" w:cs="Arial" w:eastAsia="Arial" w:hAnsi="Arial"/>
          <w:sz w:val="16"/>
          <w:szCs w:val="16"/>
          <w:color w:val="auto"/>
        </w:rPr>
      </w:pPr>
      <w:r>
        <w:rPr>
          <w:rFonts w:ascii="Arial" w:cs="Arial" w:eastAsia="Arial" w:hAnsi="Arial"/>
          <w:sz w:val="16"/>
          <w:szCs w:val="16"/>
          <w:color w:val="auto"/>
        </w:rPr>
        <w:t>Except as provided in the first sentence of Section 2.09(f) (with respect to any commitment increase) and subject to Section 2.14(c), (d) and</w:t>
      </w:r>
    </w:p>
    <w:p>
      <w:pPr>
        <w:spacing w:after="0" w:line="46" w:lineRule="exact"/>
        <w:rPr>
          <w:rFonts w:ascii="Arial" w:cs="Arial" w:eastAsia="Arial" w:hAnsi="Arial"/>
          <w:sz w:val="16"/>
          <w:szCs w:val="16"/>
          <w:color w:val="auto"/>
        </w:rPr>
      </w:pPr>
    </w:p>
    <w:p>
      <w:pPr>
        <w:ind w:left="4" w:hanging="4"/>
        <w:spacing w:after="0" w:line="283" w:lineRule="auto"/>
        <w:tabs>
          <w:tab w:leader="none" w:pos="24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and Section 9.02(e) below,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2.09(d) or Section 2.18(b) or (d) in a manner that would alter the ratable reduction of Commitments or the manner in which payments are shared, without the written consent of each Lender (other than any Defaulting Lender), (E) increase the advance rates set forth in the definition of Borrowing Base or add new categories of eligible assets, without the written consent of the Supermajority Revolving Lenders and the Administrative Agent,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(G) release any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the provisions of Section 2.06 without the prior written consent of the Administrative Agent and the Issuing Banks. The Administrative Agent may also amend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xml:space="preserve"> to reflect assignments entered into pursuant to Section 9.04. Any amendment, waiver or other modification of this Agreement or any other Loan Document that by</w:t>
      </w:r>
    </w:p>
    <w:p>
      <w:pPr>
        <w:spacing w:after="0" w:line="3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84"/>
          </w:cols>
          <w:pgMar w:left="436" w:top="274" w:right="479" w:bottom="1440" w:gutter="0" w:footer="0" w:header="0"/>
        </w:sectPr>
      </w:pPr>
    </w:p>
    <w:bookmarkStart w:id="355" w:name="page356"/>
    <w:bookmarkEnd w:id="355"/>
    <w:p>
      <w:pPr>
        <w:ind w:left="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187" w:lineRule="exact"/>
        <w:rPr>
          <w:sz w:val="20"/>
          <w:szCs w:val="20"/>
          <w:color w:val="auto"/>
        </w:rPr>
      </w:pPr>
    </w:p>
    <w:p>
      <w:pPr>
        <w:ind w:left="4" w:right="60" w:firstLine="436"/>
        <w:spacing w:after="0" w:line="287" w:lineRule="auto"/>
        <w:tabs>
          <w:tab w:leader="none" w:pos="68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that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67" w:lineRule="exact"/>
        <w:rPr>
          <w:rFonts w:ascii="Arial" w:cs="Arial" w:eastAsia="Arial" w:hAnsi="Arial"/>
          <w:sz w:val="16"/>
          <w:szCs w:val="16"/>
          <w:color w:val="auto"/>
        </w:rPr>
      </w:pPr>
    </w:p>
    <w:p>
      <w:pPr>
        <w:ind w:left="4" w:firstLine="436"/>
        <w:spacing w:after="0" w:line="284" w:lineRule="auto"/>
        <w:tabs>
          <w:tab w:leader="none" w:pos="69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that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w:t>
      </w:r>
    </w:p>
    <w:p>
      <w:pPr>
        <w:spacing w:after="0" w:line="2" w:lineRule="exact"/>
        <w:rPr>
          <w:rFonts w:ascii="Arial" w:cs="Arial" w:eastAsia="Arial" w:hAnsi="Arial"/>
          <w:sz w:val="16"/>
          <w:szCs w:val="16"/>
          <w:color w:val="auto"/>
        </w:rPr>
      </w:pPr>
    </w:p>
    <w:p>
      <w:pPr>
        <w:ind w:left="4" w:right="100" w:hanging="4"/>
        <w:spacing w:after="0" w:line="269" w:lineRule="auto"/>
        <w:tabs>
          <w:tab w:leader="none" w:pos="269"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that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4"/>
          </w:cols>
          <w:pgMar w:left="436" w:top="274" w:right="459" w:bottom="1440" w:gutter="0" w:footer="0" w:header="0"/>
        </w:sectPr>
      </w:pPr>
    </w:p>
    <w:bookmarkStart w:id="356" w:name="page357"/>
    <w:bookmarkEnd w:id="356"/>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88" w:lineRule="exact"/>
        <w:rPr>
          <w:sz w:val="20"/>
          <w:szCs w:val="20"/>
          <w:color w:val="auto"/>
        </w:rPr>
      </w:pPr>
    </w:p>
    <w:p>
      <w:pPr>
        <w:ind w:left="4" w:right="440" w:firstLine="436"/>
        <w:spacing w:after="0" w:line="308" w:lineRule="auto"/>
        <w:tabs>
          <w:tab w:leader="none" w:pos="68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Limitation of Liability; Indemnity; Etc.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Expenses</w:t>
      </w:r>
      <w:r>
        <w:rPr>
          <w:rFonts w:ascii="Arial" w:cs="Arial" w:eastAsia="Arial" w:hAnsi="Arial"/>
          <w:sz w:val="18"/>
          <w:szCs w:val="18"/>
          <w:color w:val="auto"/>
        </w:rPr>
        <w:t>. The Loan Parties shall, jointly and severally, pay all</w:t>
      </w:r>
    </w:p>
    <w:p>
      <w:pPr>
        <w:spacing w:after="0" w:line="23" w:lineRule="exact"/>
        <w:rPr>
          <w:sz w:val="20"/>
          <w:szCs w:val="20"/>
          <w:color w:val="auto"/>
        </w:rPr>
      </w:pPr>
    </w:p>
    <w:p>
      <w:pPr>
        <w:ind w:left="4" w:right="100" w:hanging="4"/>
        <w:spacing w:after="0" w:line="267" w:lineRule="auto"/>
        <w:tabs>
          <w:tab w:leader="none" w:pos="219" w:val="left"/>
        </w:tabs>
        <w:numPr>
          <w:ilvl w:val="0"/>
          <w:numId w:val="445"/>
        </w:numPr>
        <w:rPr>
          <w:rFonts w:ascii="Arial" w:cs="Arial" w:eastAsia="Arial" w:hAnsi="Arial"/>
          <w:sz w:val="17"/>
          <w:szCs w:val="17"/>
          <w:color w:val="auto"/>
        </w:rPr>
      </w:pPr>
      <w:r>
        <w:rPr>
          <w:rFonts w:ascii="Arial" w:cs="Arial" w:eastAsia="Arial" w:hAnsi="Arial"/>
          <w:sz w:val="17"/>
          <w:szCs w:val="17"/>
          <w:color w:val="auto"/>
        </w:rPr>
        <w:t>reasonable, documented (in summary form) and invoiced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documented (in summary form) and invoiced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76" w:lineRule="exact"/>
        <w:rPr>
          <w:rFonts w:ascii="Arial" w:cs="Arial" w:eastAsia="Arial" w:hAnsi="Arial"/>
          <w:sz w:val="17"/>
          <w:szCs w:val="17"/>
          <w:color w:val="auto"/>
        </w:rPr>
      </w:pPr>
    </w:p>
    <w:p>
      <w:pPr>
        <w:ind w:left="1684" w:hanging="292"/>
        <w:spacing w:after="0"/>
        <w:tabs>
          <w:tab w:leader="none" w:pos="168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appraisals and insurance reviews;</w:t>
      </w:r>
    </w:p>
    <w:p>
      <w:pPr>
        <w:spacing w:after="0" w:line="117" w:lineRule="exact"/>
        <w:rPr>
          <w:rFonts w:ascii="Arial" w:cs="Arial" w:eastAsia="Arial" w:hAnsi="Arial"/>
          <w:sz w:val="18"/>
          <w:szCs w:val="18"/>
          <w:color w:val="auto"/>
        </w:rPr>
      </w:pPr>
    </w:p>
    <w:p>
      <w:pPr>
        <w:ind w:left="984" w:firstLine="408"/>
        <w:spacing w:after="0" w:line="293" w:lineRule="auto"/>
        <w:tabs>
          <w:tab w:leader="none" w:pos="167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field examinations and the preparation of Reports based on the fees charged by a third party retained by the Administrative Agent or the internally allocated fees for each Person employed by the Administrative Agent with respect to each field examination, together with the reasonable, documented (in summary form) and invoiced fees and expenses associated with collateral monitoring services performed by the Administrative Agent (and the Loan Parties agree to modify or adjust the computation of the Borrowing Base (which may include maintaining additional Reserves, modifying the advance rates or modifying the eligibility criteria for the components of the Borrowing Base) to the extent required by the Administrative Agent as a result of any such evaluation, appraisal or monitoring);</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4"/>
          </w:cols>
          <w:pgMar w:left="436" w:top="274" w:right="459" w:bottom="1440" w:gutter="0" w:footer="0" w:header="0"/>
        </w:sectPr>
      </w:pPr>
    </w:p>
    <w:bookmarkStart w:id="357" w:name="page358"/>
    <w:bookmarkEnd w:id="357"/>
    <w:p>
      <w:pPr>
        <w:ind w:left="980" w:right="40" w:firstLine="408"/>
        <w:spacing w:after="0" w:line="277" w:lineRule="auto"/>
        <w:tabs>
          <w:tab w:leader="none" w:pos="1666" w:val="left"/>
        </w:tabs>
        <w:numPr>
          <w:ilvl w:val="0"/>
          <w:numId w:val="4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background checks regarding senior management and/or key investors, as deemed necessary or appropriate in the sole discretion of the Administrative Agent;</w:t>
      </w:r>
    </w:p>
    <w:p>
      <w:pPr>
        <w:spacing w:after="0" w:line="62" w:lineRule="exact"/>
        <w:rPr>
          <w:rFonts w:ascii="Arial" w:cs="Arial" w:eastAsia="Arial" w:hAnsi="Arial"/>
          <w:sz w:val="18"/>
          <w:szCs w:val="18"/>
          <w:color w:val="auto"/>
        </w:rPr>
      </w:pPr>
    </w:p>
    <w:p>
      <w:pPr>
        <w:ind w:left="980" w:right="140" w:firstLine="408"/>
        <w:spacing w:after="0" w:line="308" w:lineRule="auto"/>
        <w:tabs>
          <w:tab w:leader="none" w:pos="1676"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Taxes, fees and other charges for (1) lien and title searches and title insurance and (2) recording the Mortgages, filing financing statements and continuations, and other actions to perfect, protect, and continue the Administrative Agent’s Liens;</w:t>
      </w:r>
    </w:p>
    <w:p>
      <w:pPr>
        <w:spacing w:after="0" w:line="38" w:lineRule="exact"/>
        <w:rPr>
          <w:rFonts w:ascii="Arial" w:cs="Arial" w:eastAsia="Arial" w:hAnsi="Arial"/>
          <w:sz w:val="17"/>
          <w:szCs w:val="17"/>
          <w:color w:val="auto"/>
        </w:rPr>
      </w:pPr>
    </w:p>
    <w:p>
      <w:pPr>
        <w:ind w:left="980" w:right="80" w:firstLine="408"/>
        <w:spacing w:after="0" w:line="277" w:lineRule="auto"/>
        <w:tabs>
          <w:tab w:leader="none" w:pos="16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sums paid or incurred to take any action required of any Loan Party under the Loan Documents that such Loan Party fails to pay or take; and</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64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of the foregoing fees, costs and expenses may be charged to the Borrower as Revolving Loans or to another deposit account, all as described in Section 2.18(c).</w:t>
      </w:r>
    </w:p>
    <w:p>
      <w:pPr>
        <w:spacing w:after="0" w:line="170" w:lineRule="exact"/>
        <w:rPr>
          <w:sz w:val="20"/>
          <w:szCs w:val="20"/>
          <w:color w:val="auto"/>
        </w:rPr>
      </w:pPr>
    </w:p>
    <w:p>
      <w:pPr>
        <w:ind w:firstLine="436"/>
        <w:spacing w:after="0" w:line="269" w:lineRule="auto"/>
        <w:tabs>
          <w:tab w:leader="none" w:pos="695"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extent permitted by applicable law (i) neither the Borrower nor any Loan Party shall assert, and the Borrower and each Loan Party hereby waives, any claim against the Administrative Agent, the Arranger, any Issuing Bank and any Lender, and any Related Party of any of the foregoing Persons (each such Person being called a “</w:t>
      </w:r>
      <w:r>
        <w:rPr>
          <w:rFonts w:ascii="Arial" w:cs="Arial" w:eastAsia="Arial" w:hAnsi="Arial"/>
          <w:sz w:val="17"/>
          <w:szCs w:val="17"/>
          <w:u w:val="single" w:color="auto"/>
          <w:color w:val="auto"/>
        </w:rPr>
        <w:t>Lender-Related Person</w:t>
      </w:r>
      <w:r>
        <w:rPr>
          <w:rFonts w:ascii="Arial" w:cs="Arial" w:eastAsia="Arial" w:hAnsi="Arial"/>
          <w:sz w:val="17"/>
          <w:szCs w:val="17"/>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185" w:lineRule="exact"/>
        <w:rPr>
          <w:rFonts w:ascii="Arial" w:cs="Arial" w:eastAsia="Arial" w:hAnsi="Arial"/>
          <w:sz w:val="17"/>
          <w:szCs w:val="17"/>
          <w:color w:val="auto"/>
        </w:rPr>
      </w:pPr>
    </w:p>
    <w:p>
      <w:pPr>
        <w:ind w:firstLine="436"/>
        <w:spacing w:after="0" w:line="271" w:lineRule="auto"/>
        <w:tabs>
          <w:tab w:leader="none" w:pos="685"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Loan Parties shall, jointly and severally, indemnify the Administrative Agent, the Arranger, the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reasonable, documented (in summary form) and invoiced out of pocket Liabilities and related expenses (limited to reasonable (for items (i), (ii), and (iv), below), documented (in summary form) and invoiced legal fees of a single firm of counsel for all Indemnitees, taken as a whole, and, if necessary, one firm of counsel in each appropriate jurisdiction (which may include a single special counsel acting in multiple jurisdictions) for all Indemnitees taken as a whole (and, in the case of an actual or perceived conflict of interest, where the Indemnitee affected by such conflict informs the Borrower of such conflict and thereafter retains its own counsel, of an additional counsel for each group of affected Indemnitees similarly situated taken as a whole)), in connection with, or as a result of (i) the execution or delivery of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80"/>
          </w:cols>
          <w:pgMar w:left="440" w:top="274" w:right="479" w:bottom="1440" w:gutter="0" w:footer="0" w:header="0"/>
        </w:sectPr>
      </w:pPr>
    </w:p>
    <w:bookmarkStart w:id="358" w:name="page359"/>
    <w:bookmarkEnd w:id="35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a Loan Party for Taxes pursuant to Section 2.17,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Indemnitee will be indemnified for any loss, claim, damage, liability, cost or expense to the extent it: (i) has been determined by a final, non-appealable judgment of a court of competent jurisdiction to have resulted primarily from (x) the gross negligence, bad faith or willful misconduct of such Indemnitee or any of its Related Parties or (y) a material breach of the obligations of such Indemnitee or Related Parties under the Loan Documents or (ii) relates to any proceeding between or among Indemnitees other than (A) claims against the Administrative Agent or its Affiliates, in each case, in their capacity or in fulfilling their role as the agent, arranger, syndication agent or documentation agent or any other similar role under the Revolving Facility (excluding their role as a Lender) to the extent such Persons are otherwise entitled to receive indemnification under section (iii) above or (B) claims arising out of any act or omission on the part of the Borrower or its Affiliates. This Section 9.03(c) shall not apply with respect to Taxes other than any Taxes that represent losses or damages arising from any non-Tax claim.</w:t>
      </w:r>
    </w:p>
    <w:p>
      <w:pPr>
        <w:spacing w:after="0" w:line="174" w:lineRule="exact"/>
        <w:rPr>
          <w:sz w:val="20"/>
          <w:szCs w:val="20"/>
          <w:color w:val="auto"/>
        </w:rPr>
      </w:pPr>
    </w:p>
    <w:p>
      <w:pPr>
        <w:ind w:left="704" w:hanging="264"/>
        <w:spacing w:after="0"/>
        <w:tabs>
          <w:tab w:leader="none" w:pos="704"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Lender Reimbursement</w:t>
      </w:r>
      <w:r>
        <w:rPr>
          <w:rFonts w:ascii="Arial" w:cs="Arial" w:eastAsia="Arial" w:hAnsi="Arial"/>
          <w:sz w:val="16"/>
          <w:szCs w:val="16"/>
          <w:color w:val="auto"/>
        </w:rPr>
        <w:t>. Each Lender severally agrees to pay any amount required to be paid by any Loan Party under paragraphs (a), (b) or</w:t>
      </w:r>
    </w:p>
    <w:p>
      <w:pPr>
        <w:spacing w:after="0" w:line="46" w:lineRule="exact"/>
        <w:rPr>
          <w:rFonts w:ascii="Arial" w:cs="Arial" w:eastAsia="Arial" w:hAnsi="Arial"/>
          <w:sz w:val="16"/>
          <w:szCs w:val="16"/>
          <w:color w:val="auto"/>
        </w:rPr>
      </w:pPr>
    </w:p>
    <w:p>
      <w:pPr>
        <w:ind w:left="4" w:right="40" w:hanging="4"/>
        <w:spacing w:after="0" w:line="285" w:lineRule="auto"/>
        <w:tabs>
          <w:tab w:leader="none" w:pos="249" w:val="left"/>
        </w:tabs>
        <w:numPr>
          <w:ilvl w:val="0"/>
          <w:numId w:val="449"/>
        </w:numPr>
        <w:rPr>
          <w:rFonts w:ascii="Arial" w:cs="Arial" w:eastAsia="Arial" w:hAnsi="Arial"/>
          <w:sz w:val="16"/>
          <w:szCs w:val="16"/>
          <w:color w:val="auto"/>
        </w:rPr>
      </w:pPr>
      <w:r>
        <w:rPr>
          <w:rFonts w:ascii="Arial" w:cs="Arial" w:eastAsia="Arial" w:hAnsi="Arial"/>
          <w:sz w:val="16"/>
          <w:szCs w:val="16"/>
          <w:color w:val="auto"/>
        </w:rPr>
        <w:t>of this Section 9.03 to the Administrative Agent, each Issuing Bank and the Swingline Lender, and each Related Party of any of the foregoing Persons (each, an “</w:t>
      </w:r>
      <w:r>
        <w:rPr>
          <w:rFonts w:ascii="Arial" w:cs="Arial" w:eastAsia="Arial" w:hAnsi="Arial"/>
          <w:sz w:val="16"/>
          <w:szCs w:val="16"/>
          <w:u w:val="single" w:color="auto"/>
          <w:color w:val="auto"/>
        </w:rPr>
        <w:t>Agent-Related Person</w:t>
      </w:r>
      <w:r>
        <w:rPr>
          <w:rFonts w:ascii="Arial" w:cs="Arial" w:eastAsia="Arial" w:hAnsi="Arial"/>
          <w:sz w:val="16"/>
          <w:szCs w:val="16"/>
          <w:color w:val="auto"/>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in Full of the Secured Obligations.</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64"/>
          </w:cols>
          <w:pgMar w:left="436" w:top="274" w:right="499" w:bottom="1440" w:gutter="0" w:footer="0" w:header="0"/>
        </w:sectPr>
      </w:pPr>
    </w:p>
    <w:bookmarkStart w:id="359" w:name="page360"/>
    <w:bookmarkEnd w:id="35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 </w:t>
      </w: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9.03 shall be payable not later than 10 days after written demand therefor.</w:t>
      </w:r>
    </w:p>
    <w:p>
      <w:pPr>
        <w:spacing w:after="0" w:line="225"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the Issuing Bank that issues any Letter of Credit), except that</w:t>
      </w:r>
    </w:p>
    <w:p>
      <w:pPr>
        <w:ind w:left="4" w:hanging="4"/>
        <w:spacing w:after="0" w:line="252" w:lineRule="auto"/>
        <w:tabs>
          <w:tab w:leader="none" w:pos="219"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rFonts w:ascii="Arial" w:cs="Arial" w:eastAsia="Arial" w:hAnsi="Arial"/>
          <w:sz w:val="18"/>
          <w:szCs w:val="18"/>
          <w:color w:val="auto"/>
        </w:rPr>
      </w:pPr>
    </w:p>
    <w:p>
      <w:pPr>
        <w:ind w:left="4" w:right="180" w:firstLine="436"/>
        <w:spacing w:after="0" w:line="311" w:lineRule="auto"/>
        <w:tabs>
          <w:tab w:leader="none" w:pos="699"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delayed or conditioned) of:</w:t>
      </w:r>
    </w:p>
    <w:p>
      <w:pPr>
        <w:spacing w:after="0" w:line="40" w:lineRule="exact"/>
        <w:rPr>
          <w:rFonts w:ascii="Arial" w:cs="Arial" w:eastAsia="Arial" w:hAnsi="Arial"/>
          <w:sz w:val="16"/>
          <w:szCs w:val="16"/>
          <w:color w:val="auto"/>
        </w:rPr>
      </w:pPr>
    </w:p>
    <w:p>
      <w:pPr>
        <w:jc w:val="both"/>
        <w:ind w:left="984" w:right="240" w:firstLine="408"/>
        <w:spacing w:after="0" w:line="301" w:lineRule="auto"/>
        <w:tabs>
          <w:tab w:leader="none" w:pos="1680" w:val="left"/>
        </w:tabs>
        <w:numPr>
          <w:ilvl w:val="3"/>
          <w:numId w:val="450"/>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of all or a portion of the Revolving Loans and Commitments unless it shall object thereto by written notice to the Administrative Agent within ten (10) Business Days after having received notice thereof,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consent of the Borrower shall be required for an assignment to a Lender, an Affiliate of a Lender, an Approved Fund or, if an Event of Default has occurred and is continuing, any other assignee;</w:t>
      </w:r>
    </w:p>
    <w:p>
      <w:pPr>
        <w:spacing w:after="0" w:line="49" w:lineRule="exact"/>
        <w:rPr>
          <w:rFonts w:ascii="Arial" w:cs="Arial" w:eastAsia="Arial" w:hAnsi="Arial"/>
          <w:sz w:val="16"/>
          <w:szCs w:val="16"/>
          <w:color w:val="auto"/>
        </w:rPr>
      </w:pPr>
    </w:p>
    <w:p>
      <w:pPr>
        <w:ind w:left="1684" w:hanging="292"/>
        <w:spacing w:after="0"/>
        <w:tabs>
          <w:tab w:leader="none" w:pos="1684" w:val="left"/>
        </w:tabs>
        <w:numPr>
          <w:ilvl w:val="3"/>
          <w:numId w:val="450"/>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3"/>
          <w:numId w:val="450"/>
        </w:numPr>
        <w:rPr>
          <w:rFonts w:ascii="Arial" w:cs="Arial" w:eastAsia="Arial" w:hAnsi="Arial"/>
          <w:sz w:val="18"/>
          <w:szCs w:val="18"/>
          <w:color w:val="auto"/>
        </w:rPr>
      </w:pPr>
      <w:r>
        <w:rPr>
          <w:rFonts w:ascii="Arial" w:cs="Arial" w:eastAsia="Arial" w:hAnsi="Arial"/>
          <w:sz w:val="18"/>
          <w:szCs w:val="18"/>
          <w:color w:val="auto"/>
        </w:rPr>
        <w:t>the Issuing Bank; and</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3"/>
          <w:numId w:val="450"/>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2"/>
          <w:numId w:val="450"/>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84" w:right="20" w:firstLine="408"/>
        <w:spacing w:after="0" w:line="296" w:lineRule="auto"/>
        <w:tabs>
          <w:tab w:leader="none" w:pos="1680" w:val="left"/>
        </w:tabs>
        <w:numPr>
          <w:ilvl w:val="3"/>
          <w:numId w:val="450"/>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4"/>
          </w:cols>
          <w:pgMar w:left="436" w:top="274" w:right="459" w:bottom="1440" w:gutter="0" w:footer="0" w:header="0"/>
        </w:sectPr>
      </w:pPr>
    </w:p>
    <w:bookmarkStart w:id="360" w:name="page361"/>
    <w:bookmarkEnd w:id="360"/>
    <w:p>
      <w:pPr>
        <w:ind w:left="980" w:right="860" w:firstLine="408"/>
        <w:spacing w:after="0" w:line="277" w:lineRule="auto"/>
        <w:tabs>
          <w:tab w:leader="none" w:pos="1666"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980" w:right="80" w:firstLine="408"/>
        <w:spacing w:after="0" w:line="259" w:lineRule="auto"/>
        <w:tabs>
          <w:tab w:leader="none" w:pos="166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78" w:lineRule="exact"/>
        <w:rPr>
          <w:rFonts w:ascii="Arial" w:cs="Arial" w:eastAsia="Arial" w:hAnsi="Arial"/>
          <w:sz w:val="18"/>
          <w:szCs w:val="18"/>
          <w:color w:val="auto"/>
        </w:rPr>
      </w:pPr>
    </w:p>
    <w:p>
      <w:pPr>
        <w:ind w:left="980" w:right="160" w:firstLine="408"/>
        <w:spacing w:after="0" w:line="257" w:lineRule="auto"/>
        <w:tabs>
          <w:tab w:leader="none" w:pos="167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Section 9.04(b),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xml:space="preserve">” means (a) a natural person, (b) a Defaulting Lender or its Lender Parent, (c) a company, investment vehicle or trust for, or owned and operated for the primary benefit of, a natural person or relative(s)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 of a Loan Party or (e) direct operating competitors of the Loan Parties, in each case identified in writing by the Borrower to the Administrative Agent from time to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361" w:name="page362"/>
    <w:bookmarkEnd w:id="361"/>
    <w:p>
      <w:pPr>
        <w:ind w:left="420" w:right="80" w:firstLine="419"/>
        <w:spacing w:after="0" w:line="290" w:lineRule="auto"/>
        <w:tabs>
          <w:tab w:leader="none" w:pos="1158" w:val="left"/>
        </w:tabs>
        <w:numPr>
          <w:ilvl w:val="0"/>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57" w:lineRule="exact"/>
        <w:rPr>
          <w:rFonts w:ascii="Arial" w:cs="Arial" w:eastAsia="Arial" w:hAnsi="Arial"/>
          <w:sz w:val="16"/>
          <w:szCs w:val="16"/>
          <w:color w:val="auto"/>
        </w:rPr>
      </w:pPr>
    </w:p>
    <w:p>
      <w:pPr>
        <w:ind w:left="420" w:right="40" w:firstLine="419"/>
        <w:spacing w:after="0" w:line="272" w:lineRule="auto"/>
        <w:tabs>
          <w:tab w:leader="none" w:pos="114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69" w:lineRule="exact"/>
        <w:rPr>
          <w:rFonts w:ascii="Arial" w:cs="Arial" w:eastAsia="Arial" w:hAnsi="Arial"/>
          <w:sz w:val="17"/>
          <w:szCs w:val="17"/>
          <w:color w:val="auto"/>
        </w:rPr>
      </w:pPr>
    </w:p>
    <w:p>
      <w:pPr>
        <w:ind w:left="420" w:right="140" w:firstLine="419"/>
        <w:spacing w:after="0" w:line="288" w:lineRule="auto"/>
        <w:tabs>
          <w:tab w:leader="none" w:pos="1098"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sz w:val="20"/>
          <w:szCs w:val="20"/>
          <w:color w:val="auto"/>
        </w:rPr>
      </w:pPr>
    </w:p>
    <w:p>
      <w:pPr>
        <w:ind w:left="-20" w:firstLine="436"/>
        <w:spacing w:after="0" w:line="257" w:lineRule="auto"/>
        <w:tabs>
          <w:tab w:leader="none" w:pos="66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Lender may, without the consent of, or notice to, the Borrower, the Administrative Agent, the Issuing Bank or the Swingline Lender,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other than an Ineligible Institution in all or a portion of such Lender’s rights and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80"/>
          </w:cols>
          <w:pgMar w:left="460" w:top="274" w:right="459" w:bottom="1440" w:gutter="0" w:footer="0" w:header="0"/>
        </w:sectPr>
      </w:pPr>
    </w:p>
    <w:bookmarkStart w:id="362" w:name="page363"/>
    <w:bookmarkEnd w:id="36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w:t>
      </w:r>
    </w:p>
    <w:p>
      <w:pPr>
        <w:spacing w:after="0" w:line="4" w:lineRule="exact"/>
        <w:rPr>
          <w:sz w:val="20"/>
          <w:szCs w:val="20"/>
          <w:color w:val="auto"/>
        </w:rPr>
      </w:pPr>
    </w:p>
    <w:p>
      <w:pPr>
        <w:ind w:left="4" w:right="260"/>
        <w:spacing w:after="0" w:line="281" w:lineRule="auto"/>
        <w:rPr>
          <w:sz w:val="20"/>
          <w:szCs w:val="20"/>
          <w:color w:val="auto"/>
        </w:rPr>
      </w:pPr>
      <w:r>
        <w:rPr>
          <w:rFonts w:ascii="Arial" w:cs="Arial" w:eastAsia="Arial" w:hAnsi="Arial"/>
          <w:sz w:val="16"/>
          <w:szCs w:val="16"/>
          <w:color w:val="auto"/>
        </w:rPr>
        <w:t xml:space="preserve">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w:t>
      </w:r>
    </w:p>
    <w:p>
      <w:pPr>
        <w:spacing w:after="0" w:line="1" w:lineRule="exact"/>
        <w:rPr>
          <w:sz w:val="20"/>
          <w:szCs w:val="20"/>
          <w:color w:val="auto"/>
        </w:rPr>
      </w:pPr>
    </w:p>
    <w:p>
      <w:pPr>
        <w:ind w:left="4" w:right="340" w:hanging="4"/>
        <w:spacing w:after="0" w:line="253" w:lineRule="auto"/>
        <w:tabs>
          <w:tab w:leader="none" w:pos="299"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3"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 xml:space="preserve">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Section 2.18(b)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6" w:lineRule="exact"/>
        <w:rPr>
          <w:sz w:val="20"/>
          <w:szCs w:val="20"/>
          <w:color w:val="auto"/>
        </w:rPr>
      </w:pPr>
    </w:p>
    <w:p>
      <w:pPr>
        <w:ind w:left="4" w:right="40" w:firstLine="436"/>
        <w:spacing w:after="0" w:line="279" w:lineRule="auto"/>
        <w:tabs>
          <w:tab w:leader="none" w:pos="699"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4"/>
          </w:cols>
          <w:pgMar w:left="436" w:top="274" w:right="459" w:bottom="1440" w:gutter="0" w:footer="0" w:header="0"/>
        </w:sectPr>
      </w:pPr>
    </w:p>
    <w:bookmarkStart w:id="363" w:name="page364"/>
    <w:bookmarkEnd w:id="363"/>
    <w:p>
      <w:pPr>
        <w:ind w:right="8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6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(or its counsel)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65" w:lineRule="exact"/>
        <w:rPr>
          <w:sz w:val="20"/>
          <w:szCs w:val="20"/>
          <w:color w:val="auto"/>
        </w:rPr>
      </w:pPr>
    </w:p>
    <w:p>
      <w:pPr>
        <w:ind w:firstLine="436"/>
        <w:spacing w:after="0" w:line="269" w:lineRule="auto"/>
        <w:tabs>
          <w:tab w:leader="none" w:pos="69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7"/>
          <w:szCs w:val="17"/>
          <w:u w:val="single" w:color="auto"/>
          <w:color w:val="auto"/>
        </w:rPr>
        <w:t>Ancillary Document</w:t>
      </w:r>
      <w:r>
        <w:rPr>
          <w:rFonts w:ascii="Arial" w:cs="Arial" w:eastAsia="Arial" w:hAnsi="Arial"/>
          <w:sz w:val="17"/>
          <w:szCs w:val="17"/>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364" w:name="page365"/>
    <w:bookmarkEnd w:id="36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any form or format without its prior written consent and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365" w:name="page366"/>
    <w:bookmarkEnd w:id="365"/>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8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84" w:lineRule="exact"/>
        <w:rPr>
          <w:sz w:val="20"/>
          <w:szCs w:val="20"/>
          <w:color w:val="auto"/>
        </w:rPr>
      </w:pPr>
    </w:p>
    <w:p>
      <w:pPr>
        <w:ind w:firstLine="436"/>
        <w:spacing w:after="0" w:line="259" w:lineRule="auto"/>
        <w:tabs>
          <w:tab w:leader="none" w:pos="69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auto"/>
        </w:rPr>
      </w:pPr>
    </w:p>
    <w:p>
      <w:pPr>
        <w:ind w:firstLine="436"/>
        <w:spacing w:after="0" w:line="289" w:lineRule="auto"/>
        <w:tabs>
          <w:tab w:leader="none" w:pos="68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66" w:lineRule="exact"/>
        <w:rPr>
          <w:rFonts w:ascii="Arial" w:cs="Arial" w:eastAsia="Arial" w:hAnsi="Arial"/>
          <w:sz w:val="16"/>
          <w:szCs w:val="16"/>
          <w:color w:val="auto"/>
        </w:rPr>
      </w:pPr>
    </w:p>
    <w:p>
      <w:pPr>
        <w:ind w:right="100" w:firstLine="436"/>
        <w:spacing w:after="0" w:line="279" w:lineRule="auto"/>
        <w:tabs>
          <w:tab w:leader="none" w:pos="695" w:val="left"/>
        </w:tabs>
        <w:numPr>
          <w:ilvl w:val="0"/>
          <w:numId w:val="457"/>
        </w:numPr>
        <w:rPr>
          <w:rFonts w:ascii="Arial" w:cs="Arial" w:eastAsia="Arial" w:hAnsi="Arial"/>
          <w:sz w:val="17"/>
          <w:szCs w:val="17"/>
          <w:color w:val="auto"/>
        </w:rPr>
      </w:pPr>
      <w:r>
        <w:rPr>
          <w:rFonts w:ascii="Arial" w:cs="Arial" w:eastAsia="Arial" w:hAnsi="Arial"/>
          <w:sz w:val="17"/>
          <w:szCs w:val="17"/>
          <w:color w:val="auto"/>
        </w:rPr>
        <w:t>Each Loan Party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4" w:right="459" w:bottom="1440" w:gutter="0" w:footer="0" w:header="0"/>
        </w:sectPr>
      </w:pPr>
    </w:p>
    <w:bookmarkStart w:id="366" w:name="page367"/>
    <w:bookmarkEnd w:id="366"/>
    <w:p>
      <w:pPr>
        <w:ind w:right="340" w:firstLine="436"/>
        <w:spacing w:after="0" w:line="342" w:lineRule="auto"/>
        <w:tabs>
          <w:tab w:leader="none" w:pos="685" w:val="left"/>
        </w:tabs>
        <w:numPr>
          <w:ilvl w:val="0"/>
          <w:numId w:val="4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2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(h) to the extent such Information (i) becomes publicly available other than as a result of a breach of this Section or (ii) becomes available to the Administrative Agent, the Issuing Bank or any Lender on a non-confidential basis from a source other than the Borrower, or (i)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367" w:name="page368"/>
    <w:bookmarkEnd w:id="36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Borrower relating to the Borrower or their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Several Obligations; Nonreliance; Violation of Law</w:t>
      </w:r>
      <w:r>
        <w:rPr>
          <w:rFonts w:ascii="Arial" w:cs="Arial" w:eastAsia="Arial" w:hAnsi="Arial"/>
          <w:sz w:val="17"/>
          <w:szCs w:val="17"/>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368" w:name="page369"/>
    <w:bookmarkEnd w:id="368"/>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Disclosure</w:t>
      </w:r>
      <w:r>
        <w:rPr>
          <w:rFonts w:ascii="Arial" w:cs="Arial" w:eastAsia="Arial" w:hAnsi="Arial"/>
          <w:sz w:val="16"/>
          <w:szCs w:val="16"/>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In addition, each Loan Party and each Lender hereby acknowledges JPMCB or an Affiliated thereof may have also purchased certain Equity Interests in the Borrower or invested in a fund that has invested debt or equity directly or indirectly in the Borrower.</w:t>
      </w:r>
    </w:p>
    <w:p>
      <w:pPr>
        <w:spacing w:after="0" w:line="15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each other Lender as its agent for the purpose of perfecting Liens, for the benefit of the Administrative Agent and the other Secured Parties, in assets that,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that are treated as interest on such Loan under applicable law (collectively the “Charges”),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Marketing Consent</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Borrower hereby authorizes JPMCB and its affiliates (collectively, the “</w:t>
      </w:r>
      <w:r>
        <w:rPr>
          <w:rFonts w:ascii="Arial" w:cs="Arial" w:eastAsia="Arial" w:hAnsi="Arial"/>
          <w:sz w:val="17"/>
          <w:szCs w:val="17"/>
          <w:u w:val="single" w:color="auto"/>
          <w:color w:val="auto"/>
        </w:rPr>
        <w:t>JPMCB Parties</w:t>
      </w:r>
      <w:r>
        <w:rPr>
          <w:rFonts w:ascii="Arial" w:cs="Arial" w:eastAsia="Arial" w:hAnsi="Arial"/>
          <w:sz w:val="17"/>
          <w:szCs w:val="17"/>
          <w:color w:val="auto"/>
        </w:rPr>
        <w:t>”), at their respective sole expense, and without any prior approval by the Borrower, to include the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notifies JPMCB in writing that such authorization is revoked.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0"/>
          </w:cols>
          <w:pgMar w:left="440" w:top="274" w:right="459" w:bottom="1440" w:gutter="0" w:footer="0" w:header="0"/>
        </w:sectPr>
      </w:pPr>
    </w:p>
    <w:bookmarkStart w:id="369" w:name="page370"/>
    <w:bookmarkEnd w:id="36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Loan Guaranty</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Guaranty</w:t>
      </w:r>
      <w:r>
        <w:rPr>
          <w:rFonts w:ascii="Arial" w:cs="Arial" w:eastAsia="Arial" w:hAnsi="Arial"/>
          <w:sz w:val="16"/>
          <w:szCs w:val="16"/>
          <w:color w:val="auto"/>
        </w:rPr>
        <w:t>. Each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documented (in summary form) and invoiced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the Borrower, any Guarantor or any other guarantor of all or any part of the Secured Obligations (such costs and expenses, together with the Secured Obligations, collectively the “Guaranteed Obligations”; provided, however, that the definition of “Guaranteed Obligations” shall not create any guarantee by any Guarantor of (or grant of security interest by any Guarantor to support, as applicable) any Excluded Swap Obligations of such Guarantor for purposes of determining any obligations of any Guarantor). Each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68"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This Loan Guaranty is a guaranty of payment and not of collection. Each Guarantor waives any right to require the Administrative Agent, the Issuing Bank or any Lender to sue the Borrower, any Guarantor, any other guarantor of, or any other Person obligated for, all or any part of the Guaranteed Obligations (each, an “</w:t>
      </w:r>
      <w:r>
        <w:rPr>
          <w:rFonts w:ascii="Arial" w:cs="Arial" w:eastAsia="Arial" w:hAnsi="Arial"/>
          <w:sz w:val="18"/>
          <w:szCs w:val="18"/>
          <w:u w:val="single" w:color="auto"/>
          <w:color w:val="auto"/>
        </w:rPr>
        <w:t>Obligated Party</w:t>
      </w:r>
      <w:r>
        <w:rPr>
          <w:rFonts w:ascii="Arial" w:cs="Arial" w:eastAsia="Arial" w:hAnsi="Arial"/>
          <w:sz w:val="18"/>
          <w:szCs w:val="18"/>
          <w:color w:val="auto"/>
        </w:rPr>
        <w:t>”), or otherwise to enforce its payment against any collateral securing all or any part of the Guaranteed Obligations.</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No Discharge or Diminishment of Loan Guaranty</w:t>
      </w:r>
      <w:r>
        <w:rPr>
          <w:rFonts w:ascii="Arial" w:cs="Arial" w:eastAsia="Arial" w:hAnsi="Arial"/>
          <w:sz w:val="17"/>
          <w:szCs w:val="17"/>
          <w:color w:val="auto"/>
        </w:rPr>
        <w:t>. (a) Except as otherwise provided for herein, the obligations of each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that any Guarantor may have at any time against any Obligated Party, the Administrative Agent, the Issuing Bank, any Lender or any other Person, whether in connection herewith or in any unrelated transactions.</w:t>
      </w:r>
    </w:p>
    <w:p>
      <w:pPr>
        <w:spacing w:after="0" w:line="178" w:lineRule="exact"/>
        <w:rPr>
          <w:sz w:val="20"/>
          <w:szCs w:val="20"/>
          <w:color w:val="auto"/>
        </w:rPr>
      </w:pPr>
    </w:p>
    <w:p>
      <w:pPr>
        <w:ind w:firstLine="436"/>
        <w:spacing w:after="0" w:line="263" w:lineRule="auto"/>
        <w:tabs>
          <w:tab w:leader="none" w:pos="69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obligations of each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80"/>
          </w:cols>
          <w:pgMar w:left="440" w:top="274" w:right="479" w:bottom="1440" w:gutter="0" w:footer="0" w:header="0"/>
        </w:sectPr>
      </w:pPr>
    </w:p>
    <w:bookmarkStart w:id="370" w:name="page371"/>
    <w:bookmarkEnd w:id="370"/>
    <w:p>
      <w:pPr>
        <w:ind w:left="684" w:hanging="244"/>
        <w:spacing w:after="0"/>
        <w:tabs>
          <w:tab w:leader="none" w:pos="6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the obligations of any Guarantor hereunder are not discharged or impaired or otherwise affected by: (i) the failure of the</w:t>
      </w:r>
    </w:p>
    <w:p>
      <w:pPr>
        <w:spacing w:after="0" w:line="23" w:lineRule="exact"/>
        <w:rPr>
          <w:rFonts w:ascii="Arial" w:cs="Arial" w:eastAsia="Arial" w:hAnsi="Arial"/>
          <w:sz w:val="18"/>
          <w:szCs w:val="18"/>
          <w:color w:val="auto"/>
        </w:rPr>
      </w:pPr>
    </w:p>
    <w:p>
      <w:pPr>
        <w:ind w:left="4" w:right="320"/>
        <w:spacing w:after="0" w:line="281" w:lineRule="auto"/>
        <w:rPr>
          <w:rFonts w:ascii="Arial" w:cs="Arial" w:eastAsia="Arial" w:hAnsi="Arial"/>
          <w:sz w:val="18"/>
          <w:szCs w:val="18"/>
          <w:color w:val="auto"/>
        </w:rPr>
      </w:pPr>
      <w:r>
        <w:rPr>
          <w:rFonts w:ascii="Arial" w:cs="Arial" w:eastAsia="Arial" w:hAnsi="Arial"/>
          <w:sz w:val="16"/>
          <w:szCs w:val="16"/>
          <w:color w:val="auto"/>
        </w:rPr>
        <w:t>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1" w:lineRule="exact"/>
        <w:rPr>
          <w:rFonts w:ascii="Arial" w:cs="Arial" w:eastAsia="Arial" w:hAnsi="Arial"/>
          <w:sz w:val="18"/>
          <w:szCs w:val="18"/>
          <w:color w:val="auto"/>
        </w:rPr>
      </w:pPr>
    </w:p>
    <w:p>
      <w:pPr>
        <w:ind w:left="4" w:right="20" w:hanging="4"/>
        <w:spacing w:after="0" w:line="270" w:lineRule="auto"/>
        <w:tabs>
          <w:tab w:leader="none" w:pos="319"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Guarantor or that would otherwise operate as a discharge of any Guarantor as a matter of law or equity (other than Payment in Full of the Guaranteed Obligations).</w:t>
      </w:r>
    </w:p>
    <w:p>
      <w:pPr>
        <w:spacing w:after="0" w:line="178"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Defenses Waived</w:t>
      </w:r>
      <w:r>
        <w:rPr>
          <w:rFonts w:ascii="Arial" w:cs="Arial" w:eastAsia="Arial" w:hAnsi="Arial"/>
          <w:sz w:val="16"/>
          <w:szCs w:val="16"/>
          <w:color w:val="auto"/>
        </w:rPr>
        <w:t>. To the fullest extent permitted by applicable law, each Guarantor hereby waives any defense based on or arising out of any defense of the Borrower or any Guarantor or the unenforceability of all or any part of the Guaranteed Obligations from any cause, or the cessation from any cause of the liability of the Borrower, any Guarantor or any other Obligated Party, other than Payment in Full of the Guaranteed Obligations. Without limiting the generality of the foregoing, each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Guarantor under this Loan Guaranty except to the extent the Guaranteed Obligations have been Paid in Full. To the fullest extent permitted by applicable law, each Guarantor waives any defense arising out of any such election even though that election may operate, pursuant to applicable law, to impair or extinguish any right of reimbursement or subrogation or other right or remedy of any Guarantor against any Obligated Party or any security.</w:t>
      </w:r>
    </w:p>
    <w:p>
      <w:pPr>
        <w:spacing w:after="0" w:line="174"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Guarantor will assert any right, claim or cause of action, including, without limitation, a claim of subrogation, contribution or indemnification, that it has against any Obligated Party or any collateral, until the Loan Parties and the Guarantors have fully performed all their obligations to the Administrative Agent, the Issuing Bank and the Lenders.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64"/>
          </w:cols>
          <w:pgMar w:left="436" w:top="274" w:right="499" w:bottom="1440" w:gutter="0" w:footer="0" w:header="0"/>
        </w:sectPr>
      </w:pPr>
    </w:p>
    <w:bookmarkStart w:id="371" w:name="page372"/>
    <w:bookmarkEnd w:id="371"/>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10.06 </w:t>
      </w:r>
      <w:r>
        <w:rPr>
          <w:rFonts w:ascii="Arial" w:cs="Arial" w:eastAsia="Arial" w:hAnsi="Arial"/>
          <w:sz w:val="17"/>
          <w:szCs w:val="17"/>
          <w:u w:val="single" w:color="auto"/>
          <w:color w:val="auto"/>
        </w:rPr>
        <w:t>Reinstatement; Stay of Acceleration</w:t>
      </w:r>
      <w:r>
        <w:rPr>
          <w:rFonts w:ascii="Arial" w:cs="Arial" w:eastAsia="Arial" w:hAnsi="Arial"/>
          <w:sz w:val="17"/>
          <w:szCs w:val="17"/>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Guarantors forthwith on demand by the Administrative Agent.</w:t>
      </w:r>
    </w:p>
    <w:p>
      <w:pPr>
        <w:spacing w:after="0" w:line="17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Information</w:t>
      </w:r>
      <w:r>
        <w:rPr>
          <w:rFonts w:ascii="Arial" w:cs="Arial" w:eastAsia="Arial" w:hAnsi="Arial"/>
          <w:sz w:val="17"/>
          <w:szCs w:val="17"/>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Loan Guaranty, and agrees that none of the Administrative Agent, the Issuing Bank or any Lender shall have any duty to advise any Guarantor of information known to it regarding those circumstances or risks.</w:t>
      </w:r>
    </w:p>
    <w:p>
      <w:pPr>
        <w:spacing w:after="0" w:line="17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Termination</w:t>
      </w:r>
      <w:r>
        <w:rPr>
          <w:rFonts w:ascii="Arial" w:cs="Arial" w:eastAsia="Arial" w:hAnsi="Arial"/>
          <w:sz w:val="17"/>
          <w:szCs w:val="17"/>
          <w:color w:val="auto"/>
        </w:rPr>
        <w:t>. Each of the Lenders and the Issuing Bank may continue to make loans or extend credit to the Borrower based on this Loan Guaranty until five (5) days after it receives written notice of termination from any Guarantor. Notwithstanding receipt of any such notice, each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17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Taxes</w:t>
      </w:r>
      <w:r>
        <w:rPr>
          <w:rFonts w:ascii="Arial" w:cs="Arial" w:eastAsia="Arial" w:hAnsi="Arial"/>
          <w:sz w:val="16"/>
          <w:szCs w:val="16"/>
          <w:color w:val="auto"/>
        </w:rPr>
        <w:t>. Each payment of the Guaranteed Obligations will be made by each Guarantor without withholding for any Taxes, unless such withholding is required by law. If any Guarantor determines, in its sole discretion exercised in good faith, that it is so required to withhold Taxes, then such Guarantor may so withhold and shall timely pay the full amount of withheld Taxes to the relevant Governmental Authority in accordance with applicable law. If such Taxes are Indemnified Taxes, then the amount payable by such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Maximum Liability</w:t>
      </w:r>
      <w:r>
        <w:rPr>
          <w:rFonts w:ascii="Arial" w:cs="Arial" w:eastAsia="Arial" w:hAnsi="Arial"/>
          <w:sz w:val="17"/>
          <w:szCs w:val="17"/>
          <w:color w:val="auto"/>
        </w:rPr>
        <w:t>. Notwithstanding any other provision of this Loan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Guarantor’s obligations hereunder pursuant to the preceding sentence, it is the intention of the parties hereto that any rights of subrogation, indemnification or contribution that such Guarantor may have under this Loan Guaranty, any other agreement or applicable law shall be taken into account.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0"/>
          </w:cols>
          <w:pgMar w:left="440" w:top="274" w:right="459" w:bottom="1440" w:gutter="0" w:footer="0" w:header="0"/>
        </w:sectPr>
      </w:pPr>
    </w:p>
    <w:bookmarkStart w:id="372" w:name="page373"/>
    <w:bookmarkEnd w:id="3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90" w:lineRule="auto"/>
        <w:tabs>
          <w:tab w:leader="none" w:pos="68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To the extent that any Guarantor shall make a payment under this Loan Guaranty (a “</w:t>
      </w:r>
      <w:r>
        <w:rPr>
          <w:rFonts w:ascii="Arial" w:cs="Arial" w:eastAsia="Arial" w:hAnsi="Arial"/>
          <w:sz w:val="16"/>
          <w:szCs w:val="16"/>
          <w:u w:val="single" w:color="auto"/>
          <w:color w:val="auto"/>
        </w:rPr>
        <w:t>Guarantor Payment</w:t>
      </w:r>
      <w:r>
        <w:rPr>
          <w:rFonts w:ascii="Arial" w:cs="Arial" w:eastAsia="Arial" w:hAnsi="Arial"/>
          <w:sz w:val="16"/>
          <w:szCs w:val="16"/>
          <w:color w:val="auto"/>
        </w:rPr>
        <w:t>”) that, taking into account all other Guarantor Payments then previously or concurrently made by any other Guarantor, exceeds the amount that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Guarantor Payment and the Payment in Full of the Guaranteed Obligations and the termination of this Agreement,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65" w:lineRule="exact"/>
        <w:rPr>
          <w:rFonts w:ascii="Arial" w:cs="Arial" w:eastAsia="Arial" w:hAnsi="Arial"/>
          <w:sz w:val="16"/>
          <w:szCs w:val="16"/>
          <w:color w:val="auto"/>
        </w:rPr>
      </w:pPr>
    </w:p>
    <w:p>
      <w:pPr>
        <w:ind w:firstLine="436"/>
        <w:spacing w:after="0" w:line="301" w:lineRule="auto"/>
        <w:tabs>
          <w:tab w:leader="none" w:pos="69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7" w:lineRule="exact"/>
        <w:rPr>
          <w:rFonts w:ascii="Arial" w:cs="Arial" w:eastAsia="Arial" w:hAnsi="Arial"/>
          <w:sz w:val="16"/>
          <w:szCs w:val="16"/>
          <w:color w:val="auto"/>
        </w:rPr>
      </w:pPr>
    </w:p>
    <w:p>
      <w:pPr>
        <w:ind w:right="140" w:firstLine="436"/>
        <w:spacing w:after="0" w:line="263" w:lineRule="auto"/>
        <w:tabs>
          <w:tab w:leader="none" w:pos="68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This Section 10.11 is intended only to define the relative rights of the Guarantors, and nothing set forth in this Section 10.11 is intended to or shall impair the obligations of the Guarantors, jointly and severally, to pay any amounts as and when the same shall become due and payable in accordance with the terms of this Loan Guaranty.</w:t>
      </w:r>
    </w:p>
    <w:p>
      <w:pPr>
        <w:spacing w:after="0" w:line="183"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10.11 shall be exercisable upon the Payment in Full of the Guaranteed Obligations and the termination of this Agreement.</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Liability Cumulative</w:t>
      </w:r>
      <w:r>
        <w:rPr>
          <w:rFonts w:ascii="Arial" w:cs="Arial" w:eastAsia="Arial" w:hAnsi="Arial"/>
          <w:sz w:val="17"/>
          <w:szCs w:val="17"/>
          <w:color w:val="auto"/>
        </w:rPr>
        <w:t>. The liability of each Loan Party as a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60"/>
          </w:cols>
          <w:pgMar w:left="440" w:top="274" w:right="499" w:bottom="1440" w:gutter="0" w:footer="0" w:header="0"/>
        </w:sectPr>
      </w:pPr>
    </w:p>
    <w:bookmarkStart w:id="373" w:name="page374"/>
    <w:bookmarkEnd w:id="373"/>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10.13 </w:t>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40"/>
          </w:cols>
          <w:pgMar w:left="440" w:top="274" w:right="519" w:bottom="1440" w:gutter="0" w:footer="0" w:header="0"/>
        </w:sectPr>
      </w:pPr>
    </w:p>
    <w:bookmarkStart w:id="374" w:name="page375"/>
    <w:bookmarkEnd w:id="374"/>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D. DeByle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Thomas D. DeByle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w w:val="97"/>
              </w:rPr>
              <w:t>Senior Vice President and Chief Financial Officer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OTHER LOAN PARTIES: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Precision Plastics,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Caprock Manufacturing,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Caprock Enclosures,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Brainin-Advance Industries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Wauconda Tool &amp; Engineering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General Metal Finishing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Advanced Precision Products,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HowesTemco,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Premco,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Profiles Incorporated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Holmed,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Southern California Technical Arts,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Autocam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Autocam-Pax,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Polymetallurgical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Power Solutions Holdings,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Power Solutions, LLC</w:t>
      </w:r>
    </w:p>
    <w:p>
      <w:pPr>
        <w:spacing w:after="0" w:line="238"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Secretary</w:t>
      </w:r>
    </w:p>
    <w:p>
      <w:pPr>
        <w:spacing w:after="0" w:line="14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020"/>
          </w:cols>
          <w:pgMar w:left="440" w:top="274" w:right="439" w:bottom="1440" w:gutter="0" w:footer="0" w:header="0"/>
        </w:sectPr>
      </w:pPr>
    </w:p>
    <w:bookmarkStart w:id="375" w:name="page376"/>
    <w:bookmarkEnd w:id="37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 individually and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Administrative Agent, Issuing Bank and Swingline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26574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Philip VanFossan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40"/>
          </w:cols>
          <w:pgMar w:left="1440" w:top="274" w:right="619" w:bottom="1440" w:gutter="0" w:footer="0" w:header="0"/>
        </w:sectPr>
      </w:pPr>
    </w:p>
    <w:bookmarkStart w:id="376" w:name="page377"/>
    <w:bookmarkEnd w:id="37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COMMITMENT SCHEDULE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5440" w:type="dxa"/>
            <w:vAlign w:val="bottom"/>
          </w:tcPr>
          <w:p>
            <w:pPr>
              <w:spacing w:after="0"/>
              <w:rPr>
                <w:sz w:val="16"/>
                <w:szCs w:val="16"/>
                <w:color w:val="auto"/>
              </w:rPr>
            </w:pPr>
          </w:p>
        </w:tc>
        <w:tc>
          <w:tcPr>
            <w:tcW w:w="3600" w:type="dxa"/>
            <w:vAlign w:val="bottom"/>
            <w:gridSpan w:val="3"/>
          </w:tcPr>
          <w:p>
            <w:pPr>
              <w:ind w:left="20"/>
              <w:spacing w:after="0"/>
              <w:rPr>
                <w:sz w:val="20"/>
                <w:szCs w:val="20"/>
                <w:color w:val="auto"/>
              </w:rPr>
            </w:pPr>
            <w:r>
              <w:rPr>
                <w:rFonts w:ascii="Arial" w:cs="Arial" w:eastAsia="Arial" w:hAnsi="Arial"/>
                <w:sz w:val="14"/>
                <w:szCs w:val="14"/>
                <w:b w:val="1"/>
                <w:bCs w:val="1"/>
                <w:color w:val="auto"/>
              </w:rPr>
              <w:t>Revolving Commitment</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w w:val="96"/>
              </w:rPr>
              <w:t>Swingline Commitment</w:t>
            </w: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2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5440" w:type="dxa"/>
            <w:vAlign w:val="bottom"/>
          </w:tcPr>
          <w:p>
            <w:pPr>
              <w:ind w:left="12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2"/>
          </w:tcPr>
          <w:p>
            <w:pPr>
              <w:jc w:val="right"/>
              <w:ind w:right="2120"/>
              <w:spacing w:after="0"/>
              <w:rPr>
                <w:sz w:val="20"/>
                <w:szCs w:val="20"/>
                <w:color w:val="auto"/>
              </w:rPr>
            </w:pPr>
            <w:r>
              <w:rPr>
                <w:rFonts w:ascii="Arial" w:cs="Arial" w:eastAsia="Arial" w:hAnsi="Arial"/>
                <w:sz w:val="18"/>
                <w:szCs w:val="18"/>
                <w:color w:val="auto"/>
              </w:rPr>
              <w:t>50,000,000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r>
    </w:tbl>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Commitment Schedule</w:t>
      </w:r>
    </w:p>
    <w:p>
      <w:pPr>
        <w:sectPr>
          <w:pgSz w:w="11900" w:h="16838" w:orient="portrait"/>
          <w:cols w:equalWidth="0" w:num="1">
            <w:col w:w="11020"/>
          </w:cols>
          <w:pgMar w:left="440" w:top="274" w:right="439" w:bottom="1440" w:gutter="0" w:footer="0" w:header="0"/>
        </w:sectPr>
      </w:pPr>
    </w:p>
    <w:bookmarkStart w:id="377" w:name="page378"/>
    <w:bookmarkEnd w:id="37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w:t>
      </w:r>
    </w:p>
    <w:p>
      <w:pPr>
        <w:spacing w:after="0" w:line="5" w:lineRule="exact"/>
        <w:rPr>
          <w:sz w:val="20"/>
          <w:szCs w:val="20"/>
          <w:color w:val="auto"/>
        </w:rPr>
      </w:pPr>
    </w:p>
    <w:p>
      <w:pPr>
        <w:ind w:left="4" w:right="360" w:hanging="4"/>
        <w:spacing w:after="0" w:line="260" w:lineRule="auto"/>
        <w:tabs>
          <w:tab w:leader="none" w:pos="21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212" w:lineRule="exact"/>
        <w:rPr>
          <w:sz w:val="20"/>
          <w:szCs w:val="20"/>
          <w:color w:val="auto"/>
        </w:rPr>
      </w:pPr>
    </w:p>
    <w:p>
      <w:pPr>
        <w:ind w:left="244" w:hanging="244"/>
        <w:spacing w:after="0"/>
        <w:tabs>
          <w:tab w:leader="none" w:pos="24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Assignor:</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14605</wp:posOffset>
            </wp:positionV>
            <wp:extent cx="56578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-190500</wp:posOffset>
            </wp:positionV>
            <wp:extent cx="56578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920" w:type="dxa"/>
            <w:vAlign w:val="bottom"/>
          </w:tcPr>
          <w:p>
            <w:pPr>
              <w:ind w:left="12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1920" w:type="dxa"/>
            <w:vAlign w:val="bottom"/>
          </w:tcPr>
          <w:p>
            <w:pPr>
              <w:ind w:left="60"/>
              <w:spacing w:after="0"/>
              <w:rPr>
                <w:sz w:val="20"/>
                <w:szCs w:val="20"/>
                <w:color w:val="auto"/>
              </w:rPr>
            </w:pPr>
            <w:r>
              <w:rPr>
                <w:rFonts w:ascii="Arial" w:cs="Arial" w:eastAsia="Arial" w:hAnsi="Arial"/>
                <w:sz w:val="18"/>
                <w:szCs w:val="18"/>
                <w:color w:val="auto"/>
              </w:rPr>
              <w:t>Borrower:</w:t>
            </w:r>
          </w:p>
        </w:tc>
        <w:tc>
          <w:tcPr>
            <w:tcW w:w="8920" w:type="dxa"/>
            <w:vAlign w:val="bottom"/>
            <w:tcBorders>
              <w:bottom w:val="single" w:sz="8" w:color="auto"/>
            </w:tcBorders>
          </w:tcPr>
          <w:p>
            <w:pPr>
              <w:spacing w:after="0"/>
              <w:rPr>
                <w:sz w:val="24"/>
                <w:szCs w:val="24"/>
                <w:color w:val="auto"/>
              </w:rPr>
            </w:pPr>
          </w:p>
        </w:tc>
      </w:tr>
      <w:tr>
        <w:trPr>
          <w:trHeight w:val="30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1920" w:type="dxa"/>
            <w:vAlign w:val="bottom"/>
          </w:tcPr>
          <w:p>
            <w:pPr>
              <w:ind w:left="60"/>
              <w:spacing w:after="0"/>
              <w:rPr>
                <w:sz w:val="20"/>
                <w:szCs w:val="20"/>
                <w:color w:val="auto"/>
              </w:rPr>
            </w:pPr>
            <w:r>
              <w:rPr>
                <w:rFonts w:ascii="Arial" w:cs="Arial" w:eastAsia="Arial" w:hAnsi="Arial"/>
                <w:sz w:val="18"/>
                <w:szCs w:val="18"/>
                <w:color w:val="auto"/>
              </w:rPr>
              <w:t>Administrative Agent:</w:t>
            </w:r>
          </w:p>
        </w:tc>
        <w:tc>
          <w:tcPr>
            <w:tcW w:w="8920" w:type="dxa"/>
            <w:vAlign w:val="bottom"/>
          </w:tcPr>
          <w:p>
            <w:pPr>
              <w:ind w:left="12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310"/>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920" w:type="dxa"/>
            <w:vAlign w:val="bottom"/>
          </w:tcPr>
          <w:p>
            <w:pPr>
              <w:ind w:left="60"/>
              <w:spacing w:after="0"/>
              <w:rPr>
                <w:sz w:val="20"/>
                <w:szCs w:val="20"/>
                <w:color w:val="auto"/>
              </w:rPr>
            </w:pPr>
            <w:r>
              <w:rPr>
                <w:rFonts w:ascii="Arial" w:cs="Arial" w:eastAsia="Arial" w:hAnsi="Arial"/>
                <w:sz w:val="18"/>
                <w:szCs w:val="18"/>
                <w:color w:val="auto"/>
              </w:rPr>
              <w:t>Credit Agreement:</w:t>
            </w:r>
          </w:p>
        </w:tc>
        <w:tc>
          <w:tcPr>
            <w:tcW w:w="8920" w:type="dxa"/>
            <w:vAlign w:val="bottom"/>
          </w:tcPr>
          <w:p>
            <w:pPr>
              <w:ind w:left="120"/>
              <w:spacing w:after="0"/>
              <w:rPr>
                <w:sz w:val="20"/>
                <w:szCs w:val="20"/>
                <w:color w:val="auto"/>
              </w:rPr>
            </w:pPr>
            <w:r>
              <w:rPr>
                <w:rFonts w:ascii="Arial" w:cs="Arial" w:eastAsia="Arial" w:hAnsi="Arial"/>
                <w:sz w:val="18"/>
                <w:szCs w:val="18"/>
                <w:color w:val="auto"/>
                <w:w w:val="94"/>
              </w:rPr>
              <w:t>The Credit Agreement dated as of March 22, 2021 among NN, Inc., the other Loan Parties party thereto, the Lenders</w:t>
            </w:r>
          </w:p>
        </w:tc>
      </w:tr>
      <w:tr>
        <w:trPr>
          <w:trHeight w:val="230"/>
        </w:trPr>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920" w:type="dxa"/>
            <w:vAlign w:val="bottom"/>
          </w:tcPr>
          <w:p>
            <w:pPr>
              <w:ind w:left="120"/>
              <w:spacing w:after="0"/>
              <w:rPr>
                <w:sz w:val="20"/>
                <w:szCs w:val="20"/>
                <w:color w:val="auto"/>
              </w:rPr>
            </w:pPr>
            <w:r>
              <w:rPr>
                <w:rFonts w:ascii="Arial" w:cs="Arial" w:eastAsia="Arial" w:hAnsi="Arial"/>
                <w:sz w:val="18"/>
                <w:szCs w:val="18"/>
                <w:color w:val="auto"/>
              </w:rPr>
              <w:t>parties thereto, JPMorgan Chase Bank, N.A., as Administrative Agent, and the other agents parties thereto</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920" w:type="dxa"/>
            <w:vAlign w:val="bottom"/>
          </w:tcPr>
          <w:p>
            <w:pPr>
              <w:ind w:left="60"/>
              <w:spacing w:after="0"/>
              <w:rPr>
                <w:sz w:val="20"/>
                <w:szCs w:val="20"/>
                <w:color w:val="auto"/>
              </w:rPr>
            </w:pPr>
            <w:r>
              <w:rPr>
                <w:rFonts w:ascii="Arial" w:cs="Arial" w:eastAsia="Arial" w:hAnsi="Arial"/>
                <w:sz w:val="18"/>
                <w:szCs w:val="18"/>
                <w:color w:val="auto"/>
              </w:rPr>
              <w:t>AssignedInterest:</w:t>
            </w:r>
          </w:p>
        </w:tc>
        <w:tc>
          <w:tcPr>
            <w:tcW w:w="8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65"/>
        </w:numPr>
        <w:rPr>
          <w:rFonts w:ascii="Arial" w:cs="Arial" w:eastAsia="Arial" w:hAnsi="Arial"/>
          <w:sz w:val="15"/>
          <w:szCs w:val="15"/>
          <w:color w:val="auto"/>
        </w:rPr>
      </w:pPr>
      <w:r>
        <w:rPr>
          <w:rFonts w:ascii="Arial" w:cs="Arial" w:eastAsia="Arial" w:hAnsi="Arial"/>
          <w:sz w:val="18"/>
          <w:szCs w:val="18"/>
          <w:color w:val="auto"/>
        </w:rPr>
        <w:t>Select as applicable.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024"/>
          </w:cols>
          <w:pgMar w:left="436" w:top="274" w:right="439" w:bottom="1440" w:gutter="0" w:footer="0" w:header="0"/>
        </w:sectPr>
      </w:pPr>
    </w:p>
    <w:bookmarkStart w:id="378" w:name="page379"/>
    <w:bookmarkEnd w:id="378"/>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gridSpan w:val="2"/>
          </w:tcPr>
          <w:p>
            <w:pPr>
              <w:ind w:left="2160"/>
              <w:spacing w:after="0"/>
              <w:rPr>
                <w:sz w:val="20"/>
                <w:szCs w:val="20"/>
                <w:color w:val="auto"/>
              </w:rPr>
            </w:pPr>
            <w:r>
              <w:rPr>
                <w:rFonts w:ascii="Arial" w:cs="Arial" w:eastAsia="Arial" w:hAnsi="Arial"/>
                <w:sz w:val="14"/>
                <w:szCs w:val="14"/>
                <w:color w:val="auto"/>
                <w:w w:val="93"/>
              </w:rPr>
              <w:t>Aggregate Amount of</w:t>
            </w: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800" w:type="dxa"/>
            <w:vAlign w:val="bottom"/>
          </w:tcPr>
          <w:p>
            <w:pPr>
              <w:spacing w:after="0"/>
              <w:rPr>
                <w:sz w:val="14"/>
                <w:szCs w:val="14"/>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4"/>
                <w:szCs w:val="14"/>
                <w:color w:val="auto"/>
                <w:w w:val="88"/>
              </w:rPr>
              <w:t>Percentage Assigned</w:t>
            </w:r>
          </w:p>
        </w:tc>
        <w:tc>
          <w:tcPr>
            <w:tcW w:w="0" w:type="dxa"/>
            <w:vAlign w:val="bottom"/>
          </w:tcPr>
          <w:p>
            <w:pPr>
              <w:spacing w:after="0"/>
              <w:rPr>
                <w:sz w:val="1"/>
                <w:szCs w:val="1"/>
                <w:color w:val="auto"/>
              </w:rPr>
            </w:pPr>
          </w:p>
        </w:tc>
      </w:tr>
      <w:tr>
        <w:trPr>
          <w:trHeight w:val="148"/>
        </w:trPr>
        <w:tc>
          <w:tcPr>
            <w:tcW w:w="1960" w:type="dxa"/>
            <w:vAlign w:val="bottom"/>
            <w:gridSpan w:val="3"/>
            <w:vMerge w:val="restart"/>
          </w:tcPr>
          <w:p>
            <w:pPr>
              <w:ind w:left="880"/>
              <w:spacing w:after="0"/>
              <w:rPr>
                <w:sz w:val="20"/>
                <w:szCs w:val="20"/>
                <w:color w:val="auto"/>
              </w:rPr>
            </w:pPr>
            <w:r>
              <w:rPr>
                <w:rFonts w:ascii="Arial" w:cs="Arial" w:eastAsia="Arial" w:hAnsi="Arial"/>
                <w:sz w:val="14"/>
                <w:szCs w:val="14"/>
                <w:color w:val="auto"/>
                <w:w w:val="94"/>
              </w:rPr>
              <w:t>Facility Assigned</w:t>
            </w:r>
            <w:r>
              <w:rPr>
                <w:rFonts w:ascii="Arial" w:cs="Arial" w:eastAsia="Arial" w:hAnsi="Arial"/>
                <w:sz w:val="12"/>
                <w:szCs w:val="12"/>
                <w:color w:val="auto"/>
                <w:w w:val="94"/>
              </w:rPr>
              <w:t>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Commitment/Loans</w:t>
            </w:r>
          </w:p>
        </w:tc>
        <w:tc>
          <w:tcPr>
            <w:tcW w:w="1980" w:type="dxa"/>
            <w:vAlign w:val="bottom"/>
            <w:gridSpan w:val="2"/>
          </w:tcPr>
          <w:p>
            <w:pPr>
              <w:jc w:val="center"/>
              <w:ind w:left="716"/>
              <w:spacing w:after="0" w:line="149" w:lineRule="exact"/>
              <w:rPr>
                <w:sz w:val="20"/>
                <w:szCs w:val="20"/>
                <w:color w:val="auto"/>
              </w:rPr>
            </w:pPr>
            <w:r>
              <w:rPr>
                <w:rFonts w:ascii="Arial" w:cs="Arial" w:eastAsia="Arial" w:hAnsi="Arial"/>
                <w:sz w:val="14"/>
                <w:szCs w:val="14"/>
                <w:color w:val="auto"/>
                <w:w w:val="93"/>
              </w:rPr>
              <w:t>Commitment/Loans</w:t>
            </w:r>
          </w:p>
        </w:tc>
        <w:tc>
          <w:tcPr>
            <w:tcW w:w="800" w:type="dxa"/>
            <w:vAlign w:val="bottom"/>
          </w:tcPr>
          <w:p>
            <w:pPr>
              <w:spacing w:after="0"/>
              <w:rPr>
                <w:sz w:val="12"/>
                <w:szCs w:val="12"/>
                <w:color w:val="auto"/>
              </w:rPr>
            </w:pPr>
          </w:p>
        </w:tc>
        <w:tc>
          <w:tcPr>
            <w:tcW w:w="2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61"/>
        </w:trPr>
        <w:tc>
          <w:tcPr>
            <w:tcW w:w="1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tcPr>
          <w:p>
            <w:pPr>
              <w:jc w:val="center"/>
              <w:spacing w:after="0" w:line="154" w:lineRule="exact"/>
              <w:rPr>
                <w:sz w:val="20"/>
                <w:szCs w:val="20"/>
                <w:color w:val="auto"/>
              </w:rPr>
            </w:pPr>
            <w:r>
              <w:rPr>
                <w:rFonts w:ascii="Arial" w:cs="Arial" w:eastAsia="Arial" w:hAnsi="Arial"/>
                <w:sz w:val="14"/>
                <w:szCs w:val="14"/>
                <w:color w:val="auto"/>
                <w:w w:val="96"/>
              </w:rPr>
              <w:t>for all Lenders</w:t>
            </w:r>
          </w:p>
        </w:tc>
        <w:tc>
          <w:tcPr>
            <w:tcW w:w="820" w:type="dxa"/>
            <w:vAlign w:val="bottom"/>
          </w:tcPr>
          <w:p>
            <w:pPr>
              <w:spacing w:after="0"/>
              <w:rPr>
                <w:sz w:val="13"/>
                <w:szCs w:val="13"/>
                <w:color w:val="auto"/>
              </w:rPr>
            </w:pPr>
          </w:p>
        </w:tc>
        <w:tc>
          <w:tcPr>
            <w:tcW w:w="1160" w:type="dxa"/>
            <w:vAlign w:val="bottom"/>
          </w:tcPr>
          <w:p>
            <w:pPr>
              <w:jc w:val="center"/>
              <w:spacing w:after="0" w:line="154" w:lineRule="exact"/>
              <w:rPr>
                <w:sz w:val="20"/>
                <w:szCs w:val="20"/>
                <w:color w:val="auto"/>
              </w:rPr>
            </w:pPr>
            <w:r>
              <w:rPr>
                <w:rFonts w:ascii="Arial" w:cs="Arial" w:eastAsia="Arial" w:hAnsi="Arial"/>
                <w:sz w:val="14"/>
                <w:szCs w:val="14"/>
                <w:color w:val="auto"/>
                <w:w w:val="93"/>
              </w:rPr>
              <w:t>Assigned</w:t>
            </w:r>
          </w:p>
        </w:tc>
        <w:tc>
          <w:tcPr>
            <w:tcW w:w="2800" w:type="dxa"/>
            <w:vAlign w:val="bottom"/>
            <w:gridSpan w:val="3"/>
          </w:tcPr>
          <w:p>
            <w:pPr>
              <w:jc w:val="right"/>
              <w:ind w:right="780"/>
              <w:spacing w:after="0" w:line="154" w:lineRule="exact"/>
              <w:rPr>
                <w:sz w:val="20"/>
                <w:szCs w:val="20"/>
                <w:color w:val="auto"/>
              </w:rPr>
            </w:pPr>
            <w:r>
              <w:rPr>
                <w:rFonts w:ascii="Arial" w:cs="Arial" w:eastAsia="Arial" w:hAnsi="Arial"/>
                <w:sz w:val="14"/>
                <w:szCs w:val="14"/>
                <w:color w:val="auto"/>
              </w:rPr>
              <w:t>Commitment/Loans</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8"/>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2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40" w:type="dxa"/>
            <w:vAlign w:val="bottom"/>
            <w:gridSpan w:val="2"/>
          </w:tcPr>
          <w:p>
            <w:pPr>
              <w:spacing w:after="0"/>
              <w:rPr>
                <w:sz w:val="20"/>
                <w:szCs w:val="20"/>
                <w:color w:val="auto"/>
              </w:rPr>
            </w:pPr>
            <w:r>
              <w:rPr>
                <w:rFonts w:ascii="Arial" w:cs="Arial" w:eastAsia="Arial" w:hAnsi="Arial"/>
                <w:sz w:val="18"/>
                <w:szCs w:val="18"/>
                <w:color w:val="auto"/>
                <w:w w:val="95"/>
              </w:rPr>
              <w:t>Effective Date:</w:t>
            </w:r>
          </w:p>
        </w:tc>
        <w:tc>
          <w:tcPr>
            <w:tcW w:w="820" w:type="dxa"/>
            <w:vAlign w:val="bottom"/>
          </w:tcPr>
          <w:p>
            <w:pPr>
              <w:spacing w:after="0"/>
              <w:rPr>
                <w:sz w:val="24"/>
                <w:szCs w:val="24"/>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 20</w:t>
            </w:r>
          </w:p>
        </w:tc>
        <w:tc>
          <w:tcPr>
            <w:tcW w:w="8200" w:type="dxa"/>
            <w:vAlign w:val="bottom"/>
            <w:gridSpan w:val="7"/>
          </w:tcPr>
          <w:p>
            <w:pPr>
              <w:ind w:left="40"/>
              <w:spacing w:after="0"/>
              <w:rPr>
                <w:sz w:val="20"/>
                <w:szCs w:val="20"/>
                <w:color w:val="auto"/>
              </w:rPr>
            </w:pPr>
            <w:r>
              <w:rPr>
                <w:rFonts w:ascii="Arial" w:cs="Arial" w:eastAsia="Arial" w:hAnsi="Arial"/>
                <w:sz w:val="18"/>
                <w:szCs w:val="18"/>
                <w:color w:val="auto"/>
                <w:w w:val="97"/>
              </w:rPr>
              <w:t>[TO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gridSpan w:val="8"/>
          </w:tcPr>
          <w:p>
            <w:pPr>
              <w:spacing w:after="0"/>
              <w:rPr>
                <w:sz w:val="20"/>
                <w:szCs w:val="20"/>
                <w:color w:val="auto"/>
              </w:rPr>
            </w:pPr>
            <w:r>
              <w:rPr>
                <w:rFonts w:ascii="Arial" w:cs="Arial" w:eastAsia="Arial" w:hAnsi="Arial"/>
                <w:sz w:val="18"/>
                <w:szCs w:val="18"/>
                <w:color w:val="auto"/>
              </w:rPr>
              <w:t>RECORDATION OF TRANSFER IN THE REGISTER THEREFOR.]</w:t>
            </w: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line="279" w:lineRule="auto"/>
        <w:rPr>
          <w:sz w:val="20"/>
          <w:szCs w:val="20"/>
          <w:color w:val="auto"/>
        </w:rPr>
      </w:pPr>
      <w:r>
        <w:rPr>
          <w:rFonts w:ascii="Arial" w:cs="Arial" w:eastAsia="Arial" w:hAnsi="Arial"/>
          <w:sz w:val="17"/>
          <w:szCs w:val="17"/>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14605</wp:posOffset>
            </wp:positionV>
            <wp:extent cx="25203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14605</wp:posOffset>
            </wp:positionV>
            <wp:extent cx="25203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424" w:hanging="424"/>
        <w:spacing w:after="0"/>
        <w:tabs>
          <w:tab w:leader="none" w:pos="424" w:val="left"/>
        </w:tabs>
        <w:numPr>
          <w:ilvl w:val="0"/>
          <w:numId w:val="466"/>
        </w:numPr>
        <w:rPr>
          <w:rFonts w:ascii="Arial" w:cs="Arial" w:eastAsia="Arial" w:hAnsi="Arial"/>
          <w:sz w:val="14"/>
          <w:szCs w:val="14"/>
          <w:color w:val="auto"/>
        </w:rPr>
      </w:pPr>
      <w:r>
        <w:rPr>
          <w:rFonts w:ascii="Arial" w:cs="Arial" w:eastAsia="Arial" w:hAnsi="Arial"/>
          <w:sz w:val="17"/>
          <w:szCs w:val="17"/>
          <w:color w:val="auto"/>
        </w:rPr>
        <w:t>Fill in the appropriate terminology for the types of facilities under the Credit Agreement that are being assigned under this Assignment (e.g.</w:t>
      </w:r>
    </w:p>
    <w:p>
      <w:pPr>
        <w:spacing w:after="0" w:line="35" w:lineRule="exact"/>
        <w:rPr>
          <w:sz w:val="20"/>
          <w:szCs w:val="20"/>
          <w:color w:val="auto"/>
        </w:rPr>
      </w:pPr>
    </w:p>
    <w:p>
      <w:pPr>
        <w:ind w:left="424"/>
        <w:spacing w:after="0"/>
        <w:rPr>
          <w:sz w:val="20"/>
          <w:szCs w:val="20"/>
          <w:color w:val="auto"/>
        </w:rPr>
      </w:pPr>
      <w:r>
        <w:rPr>
          <w:rFonts w:ascii="Arial" w:cs="Arial" w:eastAsia="Arial" w:hAnsi="Arial"/>
          <w:sz w:val="18"/>
          <w:szCs w:val="18"/>
          <w:color w:val="auto"/>
        </w:rPr>
        <w:t>“Revolving Commitment,” etc.)</w:t>
      </w:r>
    </w:p>
    <w:p>
      <w:pPr>
        <w:spacing w:after="0" w:line="8" w:lineRule="exact"/>
        <w:rPr>
          <w:sz w:val="20"/>
          <w:szCs w:val="20"/>
          <w:color w:val="auto"/>
        </w:rPr>
      </w:pPr>
    </w:p>
    <w:p>
      <w:pPr>
        <w:ind w:left="4984" w:right="3320" w:hanging="4984"/>
        <w:spacing w:after="0" w:line="434" w:lineRule="auto"/>
        <w:tabs>
          <w:tab w:leader="none" w:pos="430" w:val="left"/>
        </w:tabs>
        <w:numPr>
          <w:ilvl w:val="0"/>
          <w:numId w:val="467"/>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 EXHIBIT A-2</w:t>
      </w:r>
    </w:p>
    <w:p>
      <w:pPr>
        <w:sectPr>
          <w:pgSz w:w="11900" w:h="16838" w:orient="portrait"/>
          <w:cols w:equalWidth="0" w:num="1">
            <w:col w:w="11004"/>
          </w:cols>
          <w:pgMar w:left="436" w:top="257" w:right="459" w:bottom="1440" w:gutter="0" w:footer="0" w:header="0"/>
        </w:sectPr>
      </w:pPr>
    </w:p>
    <w:bookmarkStart w:id="379" w:name="page380"/>
    <w:bookmarkEnd w:id="37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[Consented to and]</w:t>
      </w:r>
      <w:r>
        <w:rPr>
          <w:rFonts w:ascii="Arial" w:cs="Arial" w:eastAsia="Arial" w:hAnsi="Arial"/>
          <w:sz w:val="15"/>
          <w:szCs w:val="15"/>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 as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Issuing Bank and Swingline Lender]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14605</wp:posOffset>
            </wp:positionV>
            <wp:extent cx="26314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304"/>
        <w:spacing w:after="0"/>
        <w:rPr>
          <w:sz w:val="20"/>
          <w:szCs w:val="20"/>
          <w:color w:val="auto"/>
        </w:rPr>
      </w:pPr>
      <w:r>
        <w:rPr>
          <w:rFonts w:ascii="Arial" w:cs="Arial" w:eastAsia="Arial" w:hAnsi="Arial"/>
          <w:sz w:val="18"/>
          <w:szCs w:val="18"/>
          <w:color w:val="auto"/>
        </w:rPr>
        <w:t>Title:</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5</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14605</wp:posOffset>
            </wp:positionV>
            <wp:extent cx="26314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30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24" w:hanging="424"/>
        <w:spacing w:after="0" w:line="258" w:lineRule="auto"/>
        <w:tabs>
          <w:tab w:leader="none" w:pos="424" w:val="left"/>
        </w:tabs>
        <w:numPr>
          <w:ilvl w:val="0"/>
          <w:numId w:val="468"/>
        </w:numPr>
        <w:rPr>
          <w:rFonts w:ascii="Arial" w:cs="Arial" w:eastAsia="Arial" w:hAnsi="Arial"/>
          <w:sz w:val="15"/>
          <w:szCs w:val="15"/>
          <w:color w:val="auto"/>
        </w:rPr>
      </w:pPr>
      <w:r>
        <w:rPr>
          <w:rFonts w:ascii="Arial" w:cs="Arial" w:eastAsia="Arial" w:hAnsi="Arial"/>
          <w:sz w:val="18"/>
          <w:szCs w:val="18"/>
          <w:color w:val="auto"/>
        </w:rPr>
        <w:t>To be added only if the consent of the Administrative Agent, Issuing Bank and/or Swingline Lender, as applicable, is required by the terms of the Credit Agreement.</w:t>
      </w:r>
    </w:p>
    <w:p>
      <w:pPr>
        <w:ind w:left="424" w:right="80" w:hanging="424"/>
        <w:spacing w:after="0" w:line="262" w:lineRule="auto"/>
        <w:tabs>
          <w:tab w:leader="none" w:pos="424" w:val="left"/>
        </w:tabs>
        <w:numPr>
          <w:ilvl w:val="0"/>
          <w:numId w:val="469"/>
        </w:numPr>
        <w:rPr>
          <w:rFonts w:ascii="Arial" w:cs="Arial" w:eastAsia="Arial" w:hAnsi="Arial"/>
          <w:sz w:val="15"/>
          <w:szCs w:val="15"/>
          <w:color w:val="auto"/>
        </w:rPr>
      </w:pPr>
      <w:r>
        <w:rPr>
          <w:rFonts w:ascii="Arial" w:cs="Arial" w:eastAsia="Arial" w:hAnsi="Arial"/>
          <w:sz w:val="18"/>
          <w:szCs w:val="18"/>
          <w:color w:val="auto"/>
        </w:rPr>
        <w:t>To be added only if the consent of the Borrower and/or other parties (e.g. Swingline Lender, Issuing Bank) is required by the terms of the Credit Agreement.</w:t>
      </w:r>
    </w:p>
    <w:p>
      <w:pPr>
        <w:spacing w:after="0" w:line="11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0884"/>
          </w:cols>
          <w:pgMar w:left="436" w:top="274" w:right="579" w:bottom="1440" w:gutter="0" w:footer="0" w:header="0"/>
        </w:sectPr>
      </w:pPr>
    </w:p>
    <w:bookmarkStart w:id="380" w:name="page381"/>
    <w:bookmarkEnd w:id="38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84" w:hanging="184"/>
        <w:spacing w:after="0"/>
        <w:tabs>
          <w:tab w:leader="none" w:pos="184"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the Borrower, any of its Subsidiaries or Affiliates or any other Person of any of their respective obligations under any Loan Document.</w:t>
      </w:r>
    </w:p>
    <w:p>
      <w:pPr>
        <w:spacing w:after="0" w:line="196"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left="4" w:hanging="4"/>
        <w:spacing w:after="0" w:line="284" w:lineRule="auto"/>
        <w:tabs>
          <w:tab w:leader="none" w:pos="269" w:val="left"/>
        </w:tabs>
        <w:numPr>
          <w:ilvl w:val="0"/>
          <w:numId w:val="471"/>
        </w:numPr>
        <w:rPr>
          <w:rFonts w:ascii="Arial" w:cs="Arial" w:eastAsia="Arial" w:hAnsi="Arial"/>
          <w:sz w:val="16"/>
          <w:szCs w:val="16"/>
          <w:color w:val="auto"/>
        </w:rPr>
      </w:pPr>
      <w:r>
        <w:rPr>
          <w:rFonts w:ascii="Arial" w:cs="Arial" w:eastAsia="Arial" w:hAnsi="Arial"/>
          <w:sz w:val="16"/>
          <w:szCs w:val="16"/>
          <w:color w:val="auto"/>
        </w:rPr>
        <w:t>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004"/>
          </w:cols>
          <w:pgMar w:left="436" w:top="274" w:right="459" w:bottom="1440" w:gutter="0" w:footer="0" w:header="0"/>
        </w:sectPr>
      </w:pPr>
    </w:p>
    <w:bookmarkStart w:id="381" w:name="page382"/>
    <w:bookmarkEnd w:id="381"/>
    <w:p>
      <w:pPr>
        <w:ind w:left="4" w:right="340" w:hanging="4"/>
        <w:spacing w:after="0" w:line="263" w:lineRule="auto"/>
        <w:tabs>
          <w:tab w:leader="none" w:pos="184"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that have accrued to but excluding the Effective Date and to the Assignee for amounts that have accrued from and after the Effective Date.</w:t>
      </w:r>
    </w:p>
    <w:p>
      <w:pPr>
        <w:spacing w:after="0" w:line="183" w:lineRule="exact"/>
        <w:rPr>
          <w:rFonts w:ascii="Arial" w:cs="Arial" w:eastAsia="Arial" w:hAnsi="Arial"/>
          <w:sz w:val="18"/>
          <w:szCs w:val="18"/>
          <w:color w:val="auto"/>
        </w:rPr>
      </w:pPr>
    </w:p>
    <w:p>
      <w:pPr>
        <w:ind w:left="4" w:right="600" w:hanging="4"/>
        <w:spacing w:after="0" w:line="263" w:lineRule="auto"/>
        <w:tabs>
          <w:tab w:leader="none" w:pos="184"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024"/>
          </w:cols>
          <w:pgMar w:left="436" w:top="274" w:right="4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169545</wp:posOffset>
            </wp:positionV>
            <wp:extent cx="1697355" cy="3771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gridSpan w:val="7"/>
          </w:tcPr>
          <w:p>
            <w:pPr>
              <w:ind w:left="140"/>
              <w:spacing w:after="0"/>
              <w:rPr>
                <w:sz w:val="20"/>
                <w:szCs w:val="20"/>
                <w:color w:val="auto"/>
              </w:rPr>
            </w:pPr>
            <w:r>
              <w:rPr>
                <w:rFonts w:ascii="Arial" w:cs="Arial" w:eastAsia="Arial" w:hAnsi="Arial"/>
                <w:sz w:val="18"/>
                <w:szCs w:val="18"/>
                <w:b w:val="1"/>
                <w:bCs w:val="1"/>
                <w:color w:val="auto"/>
              </w:rPr>
              <w:t>BORROWING BASE REPORT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Rpt#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Obligor Number:</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Date: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97"/>
        </w:trPr>
        <w:tc>
          <w:tcPr>
            <w:tcW w:w="3120" w:type="dxa"/>
            <w:vAlign w:val="bottom"/>
            <w:gridSpan w:val="2"/>
          </w:tcPr>
          <w:p>
            <w:pPr>
              <w:spacing w:after="0"/>
              <w:rPr>
                <w:sz w:val="20"/>
                <w:szCs w:val="20"/>
                <w:color w:val="auto"/>
              </w:rPr>
            </w:pPr>
            <w:r>
              <w:rPr>
                <w:rFonts w:ascii="Arial" w:cs="Arial" w:eastAsia="Arial" w:hAnsi="Arial"/>
                <w:sz w:val="18"/>
                <w:szCs w:val="18"/>
                <w:color w:val="auto"/>
              </w:rPr>
              <w:t>Loan Number:</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Period Covered:</w:t>
            </w:r>
          </w:p>
        </w:tc>
        <w:tc>
          <w:tcPr>
            <w:tcW w:w="62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8"/>
                <w:szCs w:val="18"/>
                <w:color w:val="auto"/>
              </w:rPr>
              <w:t>to</w:t>
            </w: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9"/>
        </w:trPr>
        <w:tc>
          <w:tcPr>
            <w:tcW w:w="128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COLLATERAL CATEGORY</w:t>
            </w:r>
          </w:p>
        </w:tc>
        <w:tc>
          <w:tcPr>
            <w:tcW w:w="1420" w:type="dxa"/>
            <w:vAlign w:val="bottom"/>
          </w:tcPr>
          <w:p>
            <w:pPr>
              <w:spacing w:after="0"/>
              <w:rPr>
                <w:sz w:val="24"/>
                <w:szCs w:val="2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A/RInventory</w:t>
            </w:r>
          </w:p>
        </w:tc>
        <w:tc>
          <w:tcPr>
            <w:tcW w:w="280" w:type="dxa"/>
            <w:vAlign w:val="bottom"/>
          </w:tcPr>
          <w:p>
            <w:pPr>
              <w:spacing w:after="0"/>
              <w:rPr>
                <w:sz w:val="24"/>
                <w:szCs w:val="24"/>
                <w:color w:val="auto"/>
              </w:rPr>
            </w:pPr>
          </w:p>
        </w:tc>
        <w:tc>
          <w:tcPr>
            <w:tcW w:w="3500" w:type="dxa"/>
            <w:vAlign w:val="bottom"/>
            <w:gridSpan w:val="4"/>
          </w:tcPr>
          <w:p>
            <w:pPr>
              <w:ind w:left="280"/>
              <w:spacing w:after="0"/>
              <w:rPr>
                <w:sz w:val="20"/>
                <w:szCs w:val="20"/>
                <w:color w:val="auto"/>
              </w:rPr>
            </w:pPr>
            <w:r>
              <w:rPr>
                <w:rFonts w:ascii="Arial" w:cs="Arial" w:eastAsia="Arial" w:hAnsi="Arial"/>
                <w:sz w:val="14"/>
                <w:szCs w:val="14"/>
                <w:b w:val="1"/>
                <w:bCs w:val="1"/>
                <w:color w:val="auto"/>
              </w:rPr>
              <w:t>Total Eligible Collateral</w:t>
            </w:r>
          </w:p>
        </w:tc>
      </w:tr>
      <w:tr>
        <w:trPr>
          <w:trHeight w:val="137"/>
        </w:trPr>
        <w:tc>
          <w:tcPr>
            <w:tcW w:w="1280" w:type="dxa"/>
            <w:vAlign w:val="bottom"/>
          </w:tcPr>
          <w:p>
            <w:pPr>
              <w:spacing w:after="0"/>
              <w:rPr>
                <w:sz w:val="11"/>
                <w:szCs w:val="11"/>
                <w:color w:val="auto"/>
              </w:rPr>
            </w:pPr>
          </w:p>
        </w:tc>
        <w:tc>
          <w:tcPr>
            <w:tcW w:w="1840" w:type="dxa"/>
            <w:vAlign w:val="bottom"/>
          </w:tcPr>
          <w:p>
            <w:pPr>
              <w:jc w:val="center"/>
              <w:spacing w:after="0" w:line="137" w:lineRule="exact"/>
              <w:rPr>
                <w:sz w:val="20"/>
                <w:szCs w:val="20"/>
                <w:color w:val="auto"/>
              </w:rPr>
            </w:pPr>
            <w:r>
              <w:rPr>
                <w:rFonts w:ascii="Arial" w:cs="Arial" w:eastAsia="Arial" w:hAnsi="Arial"/>
                <w:sz w:val="14"/>
                <w:szCs w:val="14"/>
                <w:b w:val="1"/>
                <w:bCs w:val="1"/>
                <w:i w:val="1"/>
                <w:iCs w:val="1"/>
                <w:color w:val="auto"/>
                <w:w w:val="88"/>
              </w:rPr>
              <w:t>Description</w:t>
            </w:r>
          </w:p>
        </w:tc>
        <w:tc>
          <w:tcPr>
            <w:tcW w:w="14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Beginning Balance (Previous report—Line 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 Additions to Collateral (Gross Sales or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 Other Additions (Add back any non-A/R cash in line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Deductions to Collateral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5 Deductions to Collateral (Discounts,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 Deductions to Collateral (Credit Memos,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7 Other </w:t>
      </w:r>
      <w:r>
        <w:rPr>
          <w:rFonts w:ascii="Arial" w:cs="Arial" w:eastAsia="Arial" w:hAnsi="Arial"/>
          <w:sz w:val="18"/>
          <w:szCs w:val="18"/>
          <w:b w:val="1"/>
          <w:bCs w:val="1"/>
          <w:color w:val="auto"/>
        </w:rPr>
        <w:t>non-cash</w:t>
      </w:r>
      <w:r>
        <w:rPr>
          <w:rFonts w:ascii="Arial" w:cs="Arial" w:eastAsia="Arial" w:hAnsi="Arial"/>
          <w:sz w:val="18"/>
          <w:szCs w:val="18"/>
          <w:color w:val="auto"/>
        </w:rPr>
        <w:t xml:space="preserve"> credits to 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Total Ending Collateral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9 Less Ineligible—Past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Less Ineligible —Cross-age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 Less Ineligible – Foreign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Less Ineligible – Contra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13 Less Ineligible—Other (attached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Total Ineligibles—Accounts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15 Less Ineligible — Inventory Slow-moving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Less Ineligible — Inventory Offsite not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17 Less Ineligible — Inventory WIP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Less Ineligible – Consigned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 Less Ineligible — Other (attached schedule)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020"/>
          </w:cols>
          <w:pgMar w:left="440" w:top="274" w:right="4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b w:val="1"/>
                <w:bCs w:val="1"/>
                <w:color w:val="auto"/>
              </w:rPr>
              <w:t>Total Ineligible Inventory</w:t>
            </w:r>
          </w:p>
        </w:tc>
        <w:tc>
          <w:tcPr>
            <w:tcW w:w="63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Total Eligible Collateral</w:t>
            </w:r>
          </w:p>
        </w:tc>
        <w:tc>
          <w:tcPr>
            <w:tcW w:w="63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22</w:t>
            </w: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Rate Percentage</w:t>
            </w:r>
          </w:p>
        </w:tc>
        <w:tc>
          <w:tcPr>
            <w:tcW w:w="634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rPr>
              <w:t>%   %</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Net Available—Borrowing Base Value</w:t>
            </w:r>
          </w:p>
        </w:tc>
        <w:tc>
          <w:tcPr>
            <w:tcW w:w="63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24</w:t>
            </w: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(other)</w:t>
            </w:r>
          </w:p>
        </w:tc>
        <w:tc>
          <w:tcPr>
            <w:tcW w:w="63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Total Borrowing Base Value</w:t>
            </w:r>
          </w:p>
        </w:tc>
        <w:tc>
          <w:tcPr>
            <w:tcW w:w="634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25A </w:t>
            </w:r>
            <w:r>
              <w:rPr>
                <w:rFonts w:ascii="Arial" w:cs="Arial" w:eastAsia="Arial" w:hAnsi="Arial"/>
                <w:sz w:val="18"/>
                <w:szCs w:val="18"/>
                <w:b w:val="1"/>
                <w:bCs w:val="1"/>
                <w:color w:val="auto"/>
              </w:rPr>
              <w:t>Total Availability/CAPS</w:t>
            </w:r>
          </w:p>
        </w:tc>
        <w:tc>
          <w:tcPr>
            <w:tcW w:w="6340" w:type="dxa"/>
            <w:vAlign w:val="bottom"/>
            <w:shd w:val="clear" w:color="auto" w:fill="CCEEFF"/>
          </w:tcPr>
          <w:p>
            <w:pPr>
              <w:spacing w:after="0"/>
              <w:rPr>
                <w:sz w:val="18"/>
                <w:szCs w:val="18"/>
                <w:color w:val="auto"/>
              </w:rPr>
            </w:pPr>
          </w:p>
        </w:tc>
      </w:tr>
      <w:tr>
        <w:trPr>
          <w:trHeight w:val="198"/>
        </w:trPr>
        <w:tc>
          <w:tcPr>
            <w:tcW w:w="4680" w:type="dxa"/>
            <w:vAlign w:val="bottom"/>
            <w:gridSpan w:val="2"/>
          </w:tcPr>
          <w:p>
            <w:pPr>
              <w:spacing w:after="0" w:line="198" w:lineRule="exact"/>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Revolver Line</w:t>
            </w:r>
          </w:p>
        </w:tc>
        <w:tc>
          <w:tcPr>
            <w:tcW w:w="6340" w:type="dxa"/>
            <w:vAlign w:val="bottom"/>
          </w:tcPr>
          <w:p>
            <w:pPr>
              <w:ind w:left="1400"/>
              <w:spacing w:after="0" w:line="198" w:lineRule="exact"/>
              <w:rPr>
                <w:sz w:val="20"/>
                <w:szCs w:val="20"/>
                <w:color w:val="auto"/>
              </w:rPr>
            </w:pPr>
            <w:r>
              <w:rPr>
                <w:rFonts w:ascii="Arial" w:cs="Arial" w:eastAsia="Arial" w:hAnsi="Arial"/>
                <w:sz w:val="18"/>
                <w:szCs w:val="18"/>
                <w:b w:val="1"/>
                <w:bCs w:val="1"/>
                <w:color w:val="auto"/>
              </w:rPr>
              <w:t>Total Revolver</w:t>
            </w:r>
          </w:p>
        </w:tc>
      </w:tr>
      <w:tr>
        <w:trPr>
          <w:trHeight w:val="241"/>
        </w:trPr>
        <w:tc>
          <w:tcPr>
            <w:tcW w:w="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340" w:type="dxa"/>
            <w:vAlign w:val="bottom"/>
          </w:tcPr>
          <w:p>
            <w:pPr>
              <w:ind w:left="1400"/>
              <w:spacing w:after="0"/>
              <w:rPr>
                <w:sz w:val="20"/>
                <w:szCs w:val="20"/>
                <w:color w:val="auto"/>
              </w:rPr>
            </w:pPr>
            <w:r>
              <w:rPr>
                <w:rFonts w:ascii="Arial" w:cs="Arial" w:eastAsia="Arial" w:hAnsi="Arial"/>
                <w:sz w:val="18"/>
                <w:szCs w:val="18"/>
                <w:b w:val="1"/>
                <w:bCs w:val="1"/>
                <w:color w:val="auto"/>
              </w:rPr>
              <w:t>Line</w:t>
            </w:r>
          </w:p>
        </w:tc>
      </w:tr>
      <w:tr>
        <w:trPr>
          <w:trHeight w:val="223"/>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Maximum Borrowing Limit (Lesser of 25 or 26)*</w:t>
            </w:r>
          </w:p>
        </w:tc>
        <w:tc>
          <w:tcPr>
            <w:tcW w:w="634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Total Available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 xml:space="preserve">27A </w:t>
            </w:r>
            <w:r>
              <w:rPr>
                <w:rFonts w:ascii="Arial" w:cs="Arial" w:eastAsia="Arial" w:hAnsi="Arial"/>
                <w:sz w:val="18"/>
                <w:szCs w:val="18"/>
                <w:b w:val="1"/>
                <w:bCs w:val="1"/>
                <w:color w:val="auto"/>
              </w:rPr>
              <w:t>Suppressed Availability</w:t>
            </w:r>
          </w:p>
        </w:tc>
        <w:tc>
          <w:tcPr>
            <w:tcW w:w="63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448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LOAN STATUS</w:t>
            </w:r>
          </w:p>
        </w:tc>
        <w:tc>
          <w:tcPr>
            <w:tcW w:w="634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28</w:t>
            </w:r>
          </w:p>
        </w:tc>
        <w:tc>
          <w:tcPr>
            <w:tcW w:w="4480" w:type="dxa"/>
            <w:vAlign w:val="bottom"/>
          </w:tcPr>
          <w:p>
            <w:pPr>
              <w:ind w:left="20"/>
              <w:spacing w:after="0"/>
              <w:rPr>
                <w:sz w:val="20"/>
                <w:szCs w:val="20"/>
                <w:color w:val="auto"/>
              </w:rPr>
            </w:pPr>
            <w:r>
              <w:rPr>
                <w:rFonts w:ascii="Arial" w:cs="Arial" w:eastAsia="Arial" w:hAnsi="Arial"/>
                <w:sz w:val="18"/>
                <w:szCs w:val="18"/>
                <w:color w:val="auto"/>
              </w:rPr>
              <w:t>Previous Loan Balance (Previous Report Line 31)</w:t>
            </w:r>
          </w:p>
        </w:tc>
        <w:tc>
          <w:tcPr>
            <w:tcW w:w="634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29</w:t>
            </w: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 Net Collections (Same as line 4)</w:t>
            </w:r>
          </w:p>
        </w:tc>
        <w:tc>
          <w:tcPr>
            <w:tcW w:w="6340" w:type="dxa"/>
            <w:vAlign w:val="bottom"/>
            <w:shd w:val="clear" w:color="auto" w:fill="CCEEFF"/>
          </w:tcPr>
          <w:p>
            <w:pPr>
              <w:spacing w:after="0"/>
              <w:rPr>
                <w:sz w:val="18"/>
                <w:szCs w:val="18"/>
                <w:color w:val="auto"/>
              </w:rPr>
            </w:pPr>
          </w:p>
        </w:tc>
      </w:tr>
    </w:tbl>
    <w:p>
      <w:pPr>
        <w:jc w:val="right"/>
        <w:ind w:right="8800" w:firstLine="644"/>
        <w:spacing w:after="0" w:line="281" w:lineRule="auto"/>
        <w:tabs>
          <w:tab w:leader="none" w:pos="858" w:val="left"/>
        </w:tabs>
        <w:numPr>
          <w:ilvl w:val="0"/>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Adjustments/Other 30 Add: A. Request for Funds B. Adjustments/Other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 New Loan Balance</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32 Letter of Credit/BA’s outstanding</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Availability Not Borrowed (Lines 27 less 31 &amp;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-679450</wp:posOffset>
            </wp:positionV>
            <wp:extent cx="6995160" cy="137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-405130</wp:posOffset>
            </wp:positionV>
            <wp:extent cx="6995160" cy="137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699516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Term Loan</w:t>
            </w:r>
          </w:p>
        </w:tc>
        <w:tc>
          <w:tcPr>
            <w:tcW w:w="6200" w:type="dxa"/>
            <w:vAlign w:val="bottom"/>
          </w:tcPr>
          <w:p>
            <w:pPr>
              <w:ind w:left="1260"/>
              <w:spacing w:after="0"/>
              <w:rPr>
                <w:sz w:val="20"/>
                <w:szCs w:val="20"/>
                <w:color w:val="auto"/>
              </w:rPr>
            </w:pPr>
            <w:r>
              <w:rPr>
                <w:rFonts w:ascii="Arial" w:cs="Arial" w:eastAsia="Arial" w:hAnsi="Arial"/>
                <w:sz w:val="18"/>
                <w:szCs w:val="18"/>
                <w:b w:val="1"/>
                <w:bCs w:val="1"/>
                <w:color w:val="auto"/>
              </w:rPr>
              <w:t>Total New Loan Balance:</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OVERALL EXPOSURE (lines 31, 32 &amp; 34)</w:t>
            </w:r>
          </w:p>
        </w:tc>
        <w:tc>
          <w:tcPr>
            <w:tcW w:w="6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Pursuant to, and in accordance with, the terms and provisions of that certain Credit Agreement dated as of March 22, 2021 (as it may be amended or modified from time to time, the “Agreement”) among NN, Inc. (the “</w:t>
      </w:r>
      <w:r>
        <w:rPr>
          <w:rFonts w:ascii="Arial" w:cs="Arial" w:eastAsia="Arial" w:hAnsi="Arial"/>
          <w:sz w:val="16"/>
          <w:szCs w:val="16"/>
          <w:u w:val="single" w:color="auto"/>
          <w:color w:val="auto"/>
        </w:rPr>
        <w:t>Borrower</w:t>
      </w:r>
      <w:r>
        <w:rPr>
          <w:rFonts w:ascii="Arial" w:cs="Arial" w:eastAsia="Arial" w:hAnsi="Arial"/>
          <w:sz w:val="16"/>
          <w:szCs w:val="16"/>
          <w:color w:val="auto"/>
        </w:rPr>
        <w:t>”), the other Loan Parties, the Lenders party thereto and JPMorgan Chase Bank, N.A., as Administrative Agent for the Lenders, the Borrower is executing and delivering to the Administrative Agent this Borrowing Base Report accompanied by supporting data (collectively referred to as the “</w:t>
      </w:r>
      <w:r>
        <w:rPr>
          <w:rFonts w:ascii="Arial" w:cs="Arial" w:eastAsia="Arial" w:hAnsi="Arial"/>
          <w:sz w:val="16"/>
          <w:szCs w:val="16"/>
          <w:u w:val="single" w:color="auto"/>
          <w:color w:val="auto"/>
        </w:rPr>
        <w:t>Report</w:t>
      </w:r>
      <w:r>
        <w:rPr>
          <w:rFonts w:ascii="Arial" w:cs="Arial" w:eastAsia="Arial" w:hAnsi="Arial"/>
          <w:sz w:val="16"/>
          <w:szCs w:val="16"/>
          <w:color w:val="auto"/>
        </w:rPr>
        <w:t>”). The Borrower represents and warrants to the Administrative Agent that this Report is true and correct, and is based on information contained in Borrower’s own financial accounting records. The Borrower, by the execution of</w:t>
      </w:r>
    </w:p>
    <w:p>
      <w:pPr>
        <w:spacing w:after="0" w:line="2"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this Report, hereby ratifies, confirms and affirms all of the terms, conditions and provisions of the Agreement, and certifies on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-19050</wp:posOffset>
            </wp:positionV>
            <wp:extent cx="2286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right="560" w:firstLine="716"/>
        <w:spacing w:after="0" w:line="260" w:lineRule="auto"/>
        <w:tabs>
          <w:tab w:leader="none" w:pos="81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202_, that the Borrower is in compliance with the Agreement. Unless otherwise defined herein, capitalized terms used herein have the meanings ascribed thereto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4572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1020"/>
          </w:cols>
          <w:pgMar w:left="440" w:top="288" w:right="439" w:bottom="1440" w:gutter="0" w:footer="0" w:header="0"/>
        </w:sectPr>
      </w:pPr>
    </w:p>
    <w:bookmarkStart w:id="384" w:name="page385"/>
    <w:bookmarkEnd w:id="384"/>
    <w:p>
      <w:pPr>
        <w:spacing w:after="0"/>
        <w:tabs>
          <w:tab w:leader="none" w:pos="5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NAME:</w:t>
      </w:r>
      <w:r>
        <w:rPr>
          <w:sz w:val="20"/>
          <w:szCs w:val="20"/>
          <w:color w:val="auto"/>
        </w:rPr>
        <w:tab/>
      </w:r>
      <w:r>
        <w:rPr>
          <w:rFonts w:ascii="Arial" w:cs="Arial" w:eastAsia="Arial" w:hAnsi="Arial"/>
          <w:sz w:val="17"/>
          <w:szCs w:val="17"/>
          <w:color w:val="auto"/>
        </w:rPr>
        <w:t>AUTHORIZED SIGNATURE:</w:t>
      </w:r>
    </w:p>
    <w:p>
      <w:pPr>
        <w:sectPr>
          <w:pgSz w:w="11900" w:h="16838" w:orient="portrait"/>
          <w:cols w:equalWidth="0" w:num="1">
            <w:col w:w="10019"/>
          </w:cols>
          <w:pgMar w:left="440" w:top="274" w:right="1440" w:bottom="1440" w:gutter="0" w:footer="0" w:header="0"/>
        </w:sectPr>
      </w:pP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EXHIBIT B-3</w:t>
      </w:r>
    </w:p>
    <w:p>
      <w:pPr>
        <w:sectPr>
          <w:pgSz w:w="11900" w:h="16838" w:orient="portrait"/>
          <w:cols w:equalWidth="0" w:num="1">
            <w:col w:w="10019"/>
          </w:cols>
          <w:pgMar w:left="440" w:top="274" w:right="1440" w:bottom="1440" w:gutter="0" w:footer="0" w:header="0"/>
          <w:type w:val="continuous"/>
        </w:sectPr>
      </w:pPr>
    </w:p>
    <w:bookmarkStart w:id="385" w:name="page386"/>
    <w:bookmarkEnd w:id="385"/>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COMPLIANCE CERTIFICATE</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Lenders parties to the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Credit Agreement Described Below</w:t>
      </w:r>
    </w:p>
    <w:p>
      <w:pPr>
        <w:spacing w:after="0" w:line="225" w:lineRule="exact"/>
        <w:rPr>
          <w:sz w:val="20"/>
          <w:szCs w:val="20"/>
          <w:color w:val="auto"/>
        </w:rPr>
      </w:pPr>
    </w:p>
    <w:p>
      <w:pPr>
        <w:ind w:left="4" w:right="300" w:firstLine="991"/>
        <w:spacing w:after="0" w:line="259" w:lineRule="auto"/>
        <w:rPr>
          <w:sz w:val="20"/>
          <w:szCs w:val="20"/>
          <w:color w:val="auto"/>
        </w:rPr>
      </w:pPr>
      <w:r>
        <w:rPr>
          <w:rFonts w:ascii="Arial" w:cs="Arial" w:eastAsia="Arial" w:hAnsi="Arial"/>
          <w:sz w:val="18"/>
          <w:szCs w:val="18"/>
          <w:color w:val="auto"/>
        </w:rPr>
        <w:t>This Compliance Certificate is furnished pursuant to that certain Credit Agreement dated as of March 22, 2021 (as amended, modified, renewed or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UNDERSIGNED HEREBY CERTIFIES, ON ITS BEHALF AND ON BEHALF OF THE BORROWER, THAT:</w:t>
      </w:r>
    </w:p>
    <w:p>
      <w:pPr>
        <w:spacing w:after="0" w:line="225" w:lineRule="exact"/>
        <w:rPr>
          <w:sz w:val="20"/>
          <w:szCs w:val="20"/>
          <w:color w:val="auto"/>
        </w:rPr>
      </w:pPr>
    </w:p>
    <w:p>
      <w:pPr>
        <w:ind w:left="984"/>
        <w:spacing w:after="0"/>
        <w:tabs>
          <w:tab w:leader="none" w:pos="3284" w:val="left"/>
        </w:tabs>
        <w:rPr>
          <w:sz w:val="20"/>
          <w:szCs w:val="20"/>
          <w:color w:val="auto"/>
        </w:rPr>
      </w:pPr>
      <w:r>
        <w:rPr>
          <w:rFonts w:ascii="Arial" w:cs="Arial" w:eastAsia="Arial" w:hAnsi="Arial"/>
          <w:sz w:val="18"/>
          <w:szCs w:val="18"/>
          <w:color w:val="auto"/>
        </w:rPr>
        <w:t>1. I am the duly elected</w:t>
      </w:r>
      <w:r>
        <w:rPr>
          <w:sz w:val="20"/>
          <w:szCs w:val="20"/>
          <w:color w:val="auto"/>
        </w:rPr>
        <w:tab/>
      </w:r>
      <w:r>
        <w:rPr>
          <w:rFonts w:ascii="Arial" w:cs="Arial" w:eastAsia="Arial" w:hAnsi="Arial"/>
          <w:sz w:val="16"/>
          <w:szCs w:val="16"/>
          <w:color w:val="auto"/>
        </w:rPr>
        <w:t>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-10160</wp:posOffset>
            </wp:positionV>
            <wp:extent cx="3429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 w:firstLine="987"/>
        <w:spacing w:after="0" w:line="257" w:lineRule="auto"/>
        <w:tabs>
          <w:tab w:leader="none" w:pos="117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quarterly or monthly financial statements add: </w:t>
      </w:r>
      <w:r>
        <w:rPr>
          <w:rFonts w:ascii="Arial" w:cs="Arial" w:eastAsia="Arial" w:hAnsi="Arial"/>
          <w:sz w:val="18"/>
          <w:szCs w:val="18"/>
          <w:color w:val="auto"/>
        </w:rPr>
        <w:t>and such financial statements present fairly in all material respects the financial condition and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operations of the Borrower and its consolidated Subsidiaries on a consolidated basis in accordance with GAAP consistently applied, subject to normal year-end audit adjustments and the absence of footnotes];</w:t>
      </w:r>
    </w:p>
    <w:p>
      <w:pPr>
        <w:spacing w:after="0" w:line="187" w:lineRule="exact"/>
        <w:rPr>
          <w:rFonts w:ascii="Arial" w:cs="Arial" w:eastAsia="Arial" w:hAnsi="Arial"/>
          <w:sz w:val="18"/>
          <w:szCs w:val="18"/>
          <w:color w:val="auto"/>
        </w:rPr>
      </w:pPr>
    </w:p>
    <w:p>
      <w:pPr>
        <w:jc w:val="both"/>
        <w:ind w:left="4" w:right="200" w:firstLine="987"/>
        <w:spacing w:after="0" w:line="259" w:lineRule="auto"/>
        <w:tabs>
          <w:tab w:leader="none" w:pos="117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except as set forth below, and I have no knowledge of (i) the existence of any condition or event that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86" w:lineRule="exact"/>
        <w:rPr>
          <w:rFonts w:ascii="Arial" w:cs="Arial" w:eastAsia="Arial" w:hAnsi="Arial"/>
          <w:sz w:val="18"/>
          <w:szCs w:val="18"/>
          <w:color w:val="auto"/>
        </w:rPr>
      </w:pPr>
    </w:p>
    <w:p>
      <w:pPr>
        <w:ind w:left="4" w:right="140" w:firstLine="987"/>
        <w:spacing w:after="0" w:line="263" w:lineRule="auto"/>
        <w:tabs>
          <w:tab w:leader="none" w:pos="117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183" w:lineRule="exact"/>
        <w:rPr>
          <w:rFonts w:ascii="Arial" w:cs="Arial" w:eastAsia="Arial" w:hAnsi="Arial"/>
          <w:sz w:val="18"/>
          <w:szCs w:val="18"/>
          <w:color w:val="auto"/>
        </w:rPr>
      </w:pPr>
    </w:p>
    <w:p>
      <w:pPr>
        <w:ind w:left="4" w:right="180" w:firstLine="987"/>
        <w:spacing w:after="0" w:line="277" w:lineRule="auto"/>
        <w:tabs>
          <w:tab w:leader="none" w:pos="1175"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the Borrower’s compliance with certain covenants of the Agreement, all of which data and computations are true, complete and correct</w:t>
      </w:r>
      <w:r>
        <w:rPr>
          <w:rFonts w:ascii="Arial" w:cs="Arial" w:eastAsia="Arial" w:hAnsi="Arial"/>
          <w:sz w:val="15"/>
          <w:szCs w:val="15"/>
          <w:color w:val="auto"/>
        </w:rPr>
        <w:t>29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4984" w:right="2760" w:hanging="4984"/>
        <w:spacing w:after="0" w:line="449" w:lineRule="auto"/>
        <w:tabs>
          <w:tab w:leader="none" w:pos="425" w:val="left"/>
        </w:tabs>
        <w:numPr>
          <w:ilvl w:val="0"/>
          <w:numId w:val="476"/>
        </w:numPr>
        <w:rPr>
          <w:rFonts w:ascii="Arial" w:cs="Arial" w:eastAsia="Arial" w:hAnsi="Arial"/>
          <w:sz w:val="15"/>
          <w:szCs w:val="15"/>
          <w:color w:val="auto"/>
        </w:rPr>
      </w:pPr>
      <w:r>
        <w:rPr>
          <w:rFonts w:ascii="Arial" w:cs="Arial" w:eastAsia="Arial" w:hAnsi="Arial"/>
          <w:sz w:val="18"/>
          <w:szCs w:val="18"/>
          <w:color w:val="auto"/>
        </w:rPr>
        <w:t>Schedule I must include detailed calculation tables for all components of the financial covenant calculations. EXHIBIT C-1</w:t>
      </w:r>
    </w:p>
    <w:p>
      <w:pPr>
        <w:sectPr>
          <w:pgSz w:w="11900" w:h="16838" w:orient="portrait"/>
          <w:cols w:equalWidth="0" w:num="1">
            <w:col w:w="11004"/>
          </w:cols>
          <w:pgMar w:left="436" w:top="274" w:right="459" w:bottom="1440" w:gutter="0" w:footer="0" w:header="0"/>
        </w:sectPr>
      </w:pPr>
    </w:p>
    <w:bookmarkStart w:id="386" w:name="page387"/>
    <w:bookmarkEnd w:id="386"/>
    <w:p>
      <w:pPr>
        <w:ind w:right="240" w:firstLine="987"/>
        <w:spacing w:after="0" w:line="277" w:lineRule="auto"/>
        <w:tabs>
          <w:tab w:leader="none" w:pos="1171"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r>
        <w:rPr>
          <w:rFonts w:ascii="Arial" w:cs="Arial" w:eastAsia="Arial" w:hAnsi="Arial"/>
          <w:sz w:val="18"/>
          <w:szCs w:val="18"/>
          <w:color w:val="auto"/>
        </w:rPr>
        <w:t xml:space="preserve"> hereto sets forth (i) the computations necessary to determine the Applicable Rate commencing on the Business Day this certificate is delivered and (ii) the Category from the definition of Applicable Rate determined by the computations;</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Described below are the exceptions, if any, to paragraph 3 by listing, in detail, the (i) nature of the condition or event, the period during which it has existed and the action that the Borrower has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817245</wp:posOffset>
            </wp:positionV>
            <wp:extent cx="62922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542925</wp:posOffset>
            </wp:positionV>
            <wp:extent cx="629221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268605</wp:posOffset>
            </wp:positionV>
            <wp:extent cx="62922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00" w:firstLine="987"/>
        <w:spacing w:after="0" w:line="259" w:lineRule="auto"/>
        <w:tabs>
          <w:tab w:leader="none" w:pos="1171"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 of the date hereof, there have been no changes in the identity of the Immaterial Subsidiaries from those provided to the Administrative Agent and the Lenders on the Effective Date or the most recent fiscal year or period, as the case may be.][Described below are any changes as of the date hereof in the identity of the Immaterial Subsidiaries from those provided to the Administrative Agent and the Lenders on the Effective Date or the most recent fiscal year or period,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830580</wp:posOffset>
            </wp:positionV>
            <wp:extent cx="62922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556260</wp:posOffset>
            </wp:positionV>
            <wp:extent cx="62922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281940</wp:posOffset>
            </wp:positionV>
            <wp:extent cx="62922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987"/>
        <w:spacing w:after="0" w:line="296" w:lineRule="auto"/>
        <w:tabs>
          <w:tab w:leader="none" w:pos="1171"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[As of the date hereof, there have been no additional patents, trademarks, registered copyrights, service marks, and material license agreements owned by each Loan Party or Subsidiary or to which a Loan Party or Subsidiary is a party and that is not set forth on Schedule 3.05 of the Credit Agreement or on any previously delivered Compliance Certificate.][</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sets forth the identity of the additional patents, trademarks, registered copyrights, service marks, and material license agreements owned by each Loan Party or Subsidiary or to which a Loan Party or Subsidiary is a party and that is not set forth on Schedule 3.05 of the Credit Agreement or on any previously delivered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814705</wp:posOffset>
            </wp:positionV>
            <wp:extent cx="62922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540385</wp:posOffset>
            </wp:positionV>
            <wp:extent cx="62922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266065</wp:posOffset>
            </wp:positionV>
            <wp:extent cx="62922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10880"/>
          </w:cols>
          <w:pgMar w:left="440" w:top="274" w:right="579" w:bottom="1440" w:gutter="0" w:footer="0" w:header="0"/>
        </w:sectPr>
      </w:pPr>
    </w:p>
    <w:bookmarkStart w:id="387" w:name="page388"/>
    <w:bookmarkEnd w:id="38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certifications, together with the computations or information set forth in Schedule I, Schedule II and Schedule III hereto and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6"/>
          </w:tcPr>
          <w:p>
            <w:pPr>
              <w:spacing w:after="0"/>
              <w:rPr>
                <w:sz w:val="20"/>
                <w:szCs w:val="20"/>
                <w:color w:val="auto"/>
              </w:rPr>
            </w:pPr>
            <w:r>
              <w:rPr>
                <w:rFonts w:ascii="Arial" w:cs="Arial" w:eastAsia="Arial" w:hAnsi="Arial"/>
                <w:sz w:val="18"/>
                <w:szCs w:val="18"/>
                <w:color w:val="auto"/>
              </w:rPr>
              <w:t>financial statements delivered with this Certificate in support hereof, are made and delivered this   day of</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80"/>
        </w:trPr>
        <w:tc>
          <w:tcPr>
            <w:tcW w:w="8440" w:type="dxa"/>
            <w:vAlign w:val="bottom"/>
            <w:gridSpan w:val="6"/>
          </w:tcPr>
          <w:p>
            <w:pPr>
              <w:ind w:left="6620"/>
              <w:spacing w:after="0"/>
              <w:rPr>
                <w:sz w:val="20"/>
                <w:szCs w:val="20"/>
                <w:color w:val="auto"/>
              </w:rPr>
            </w:pPr>
            <w:r>
              <w:rPr>
                <w:rFonts w:ascii="Arial" w:cs="Arial" w:eastAsia="Arial" w:hAnsi="Arial"/>
                <w:sz w:val="18"/>
                <w:szCs w:val="18"/>
                <w:color w:val="auto"/>
              </w:rPr>
              <w:t>NN, Inc., as Borrower</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8440" w:type="dxa"/>
            <w:vAlign w:val="bottom"/>
            <w:gridSpan w:val="6"/>
          </w:tcPr>
          <w:p>
            <w:pPr>
              <w:ind w:left="66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9"/>
        </w:trPr>
        <w:tc>
          <w:tcPr>
            <w:tcW w:w="6900" w:type="dxa"/>
            <w:vAlign w:val="bottom"/>
          </w:tcPr>
          <w:p>
            <w:pPr>
              <w:spacing w:after="0"/>
              <w:rPr>
                <w:sz w:val="18"/>
                <w:szCs w:val="18"/>
                <w:color w:val="auto"/>
              </w:rPr>
            </w:pPr>
          </w:p>
        </w:tc>
        <w:tc>
          <w:tcPr>
            <w:tcW w:w="154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color w:val="auto"/>
              </w:rPr>
              <w:t>Name:</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09"/>
        </w:trPr>
        <w:tc>
          <w:tcPr>
            <w:tcW w:w="6900" w:type="dxa"/>
            <w:vAlign w:val="bottom"/>
          </w:tcPr>
          <w:p>
            <w:pPr>
              <w:spacing w:after="0"/>
              <w:rPr>
                <w:sz w:val="18"/>
                <w:szCs w:val="18"/>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Title:</w:t>
            </w: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r>
      <w:tr>
        <w:trPr>
          <w:trHeight w:val="358"/>
        </w:trPr>
        <w:tc>
          <w:tcPr>
            <w:tcW w:w="8440" w:type="dxa"/>
            <w:vAlign w:val="bottom"/>
            <w:gridSpan w:val="6"/>
          </w:tcPr>
          <w:p>
            <w:pPr>
              <w:ind w:left="4980"/>
              <w:spacing w:after="0"/>
              <w:rPr>
                <w:sz w:val="20"/>
                <w:szCs w:val="20"/>
                <w:color w:val="auto"/>
              </w:rPr>
            </w:pPr>
            <w:r>
              <w:rPr>
                <w:rFonts w:ascii="Arial" w:cs="Arial" w:eastAsia="Arial" w:hAnsi="Arial"/>
                <w:sz w:val="18"/>
                <w:szCs w:val="18"/>
                <w:color w:val="auto"/>
              </w:rPr>
              <w:t>EXHIBIT C-3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Compliance as of _________, ____ with</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Provisions of Section 6.13 of the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[Schedule I must include detailed calculation tables for all components of the financial covenant calculations.]</w:t>
      </w:r>
    </w:p>
    <w:p>
      <w:pPr>
        <w:spacing w:after="0" w:line="18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EXHIBIT C-4</w:t>
      </w:r>
    </w:p>
    <w:p>
      <w:pPr>
        <w:sectPr>
          <w:pgSz w:w="11900" w:h="16838" w:orient="portrait"/>
          <w:cols w:equalWidth="0" w:num="1">
            <w:col w:w="10020"/>
          </w:cols>
          <w:pgMar w:left="1440" w:top="274" w:right="4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Borrower’s Applicable Rate Calculation</w:t>
      </w:r>
    </w:p>
    <w:p>
      <w:pPr>
        <w:spacing w:after="0" w:line="131" w:lineRule="exact"/>
        <w:rPr>
          <w:sz w:val="20"/>
          <w:szCs w:val="20"/>
          <w:color w:val="auto"/>
        </w:rPr>
      </w:pPr>
    </w:p>
    <w:p>
      <w:pPr>
        <w:ind w:left="424" w:hanging="424"/>
        <w:spacing w:after="0"/>
        <w:tabs>
          <w:tab w:leader="none" w:pos="42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Computation: _____________</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Category from Grid in Definition of Applicable Rate: ________________</w:t>
      </w:r>
    </w:p>
    <w:p>
      <w:pPr>
        <w:spacing w:after="0" w:line="157" w:lineRule="exact"/>
        <w:rPr>
          <w:rFonts w:ascii="Arial" w:cs="Arial" w:eastAsia="Arial" w:hAnsi="Arial"/>
          <w:sz w:val="18"/>
          <w:szCs w:val="18"/>
          <w:color w:val="auto"/>
        </w:rPr>
      </w:pPr>
    </w:p>
    <w:p>
      <w:pPr>
        <w:ind w:left="4984"/>
        <w:spacing w:after="0"/>
        <w:rPr>
          <w:rFonts w:ascii="Arial" w:cs="Arial" w:eastAsia="Arial" w:hAnsi="Arial"/>
          <w:sz w:val="18"/>
          <w:szCs w:val="18"/>
          <w:color w:val="auto"/>
        </w:rPr>
      </w:pPr>
      <w:r>
        <w:rPr>
          <w:rFonts w:ascii="Arial" w:cs="Arial" w:eastAsia="Arial" w:hAnsi="Arial"/>
          <w:sz w:val="18"/>
          <w:szCs w:val="18"/>
          <w:color w:val="auto"/>
        </w:rPr>
        <w:t>EXHIBIT C-5</w:t>
      </w:r>
    </w:p>
    <w:p>
      <w:pPr>
        <w:sectPr>
          <w:pgSz w:w="11900" w:h="16838" w:orient="portrait"/>
          <w:cols w:equalWidth="0" w:num="1">
            <w:col w:w="11024"/>
          </w:cols>
          <w:pgMar w:left="436" w:top="274" w:right="4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Intellectual Property]</w:t>
      </w:r>
    </w:p>
    <w:p>
      <w:pPr>
        <w:spacing w:after="0" w:line="18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020"/>
          </w:cols>
          <w:pgMar w:left="1440" w:top="274" w:right="4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 ____, 20__, is entered into between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 a _________________ (the “</w:t>
      </w:r>
      <w:r>
        <w:rPr>
          <w:rFonts w:ascii="Arial" w:cs="Arial" w:eastAsia="Arial" w:hAnsi="Arial"/>
          <w:sz w:val="17"/>
          <w:szCs w:val="17"/>
          <w:u w:val="single" w:color="auto"/>
          <w:color w:val="auto"/>
        </w:rPr>
        <w:t>New Subsidiary</w:t>
      </w:r>
      <w:r>
        <w:rPr>
          <w:rFonts w:ascii="Arial" w:cs="Arial" w:eastAsia="Arial" w:hAnsi="Arial"/>
          <w:sz w:val="17"/>
          <w:szCs w:val="17"/>
          <w:color w:val="auto"/>
        </w:rPr>
        <w:t>”) and JPMORGAN CHASE BANK, N.A., in its capacity as</w:t>
      </w:r>
    </w:p>
    <w:p>
      <w:pPr>
        <w:spacing w:after="0" w:line="2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Credit Agreement dated as of March 22, 2021 (as the same may be amended, modified, extended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New Subsidiary and the Administrative Agent, for the benefit of the Lenders, hereby agree as follows:</w:t>
      </w:r>
    </w:p>
    <w:p>
      <w:pPr>
        <w:spacing w:after="0" w:line="225" w:lineRule="exact"/>
        <w:rPr>
          <w:sz w:val="20"/>
          <w:szCs w:val="20"/>
          <w:color w:val="auto"/>
        </w:rPr>
      </w:pPr>
    </w:p>
    <w:p>
      <w:pPr>
        <w:ind w:right="20" w:firstLine="436"/>
        <w:spacing w:after="0" w:line="268" w:lineRule="auto"/>
        <w:tabs>
          <w:tab w:leader="none" w:pos="62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The New Subsidiary hereby acknowledges, agrees and confirms that, by its execution of this Agreement, the New Subsidiary will be deemed to be a Loan Party under the Credit Agreement and a “Guarantor” for all purposes of the Credit Agreement and shall have all of the obligations of a Loan Party and a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w:t>
      </w:r>
      <w:r>
        <w:rPr>
          <w:rFonts w:ascii="Arial" w:cs="Arial" w:eastAsia="Arial" w:hAnsi="Arial"/>
          <w:sz w:val="17"/>
          <w:szCs w:val="17"/>
          <w:b w:val="1"/>
          <w:bCs w:val="1"/>
          <w:color w:val="auto"/>
        </w:rPr>
        <w:t>*[</w:t>
      </w:r>
      <w:r>
        <w:rPr>
          <w:rFonts w:ascii="Arial" w:cs="Arial" w:eastAsia="Arial" w:hAnsi="Arial"/>
          <w:sz w:val="17"/>
          <w:szCs w:val="17"/>
          <w:color w:val="auto"/>
        </w:rPr>
        <w:t>and</w:t>
      </w:r>
      <w:r>
        <w:rPr>
          <w:rFonts w:ascii="Arial" w:cs="Arial" w:eastAsia="Arial" w:hAnsi="Arial"/>
          <w:sz w:val="17"/>
          <w:szCs w:val="17"/>
          <w:b w:val="1"/>
          <w:bCs w:val="1"/>
          <w:color w:val="auto"/>
        </w:rPr>
        <w:t>]*</w:t>
      </w:r>
      <w:r>
        <w:rPr>
          <w:rFonts w:ascii="Arial" w:cs="Arial" w:eastAsia="Arial" w:hAnsi="Arial"/>
          <w:sz w:val="17"/>
          <w:szCs w:val="17"/>
          <w:color w:val="auto"/>
        </w:rPr>
        <w:t xml:space="preserve"> (b) all of the covenants set forth in Articles V and VI of the Credit Agreement </w:t>
      </w:r>
      <w:r>
        <w:rPr>
          <w:rFonts w:ascii="Arial" w:cs="Arial" w:eastAsia="Arial" w:hAnsi="Arial"/>
          <w:sz w:val="17"/>
          <w:szCs w:val="17"/>
          <w:b w:val="1"/>
          <w:bCs w:val="1"/>
          <w:color w:val="auto"/>
        </w:rPr>
        <w:t>*[</w:t>
      </w:r>
      <w:r>
        <w:rPr>
          <w:rFonts w:ascii="Arial" w:cs="Arial" w:eastAsia="Arial" w:hAnsi="Arial"/>
          <w:sz w:val="17"/>
          <w:szCs w:val="17"/>
          <w:color w:val="auto"/>
        </w:rPr>
        <w:t>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Arial" w:cs="Arial" w:eastAsia="Arial" w:hAnsi="Arial"/>
          <w:sz w:val="17"/>
          <w:szCs w:val="17"/>
          <w:b w:val="1"/>
          <w:bCs w:val="1"/>
          <w:color w:val="auto"/>
        </w:rPr>
        <w:t>]* *[</w:t>
      </w:r>
      <w:r>
        <w:rPr>
          <w:rFonts w:ascii="Arial" w:cs="Arial" w:eastAsia="Arial" w:hAnsi="Arial"/>
          <w:sz w:val="17"/>
          <w:szCs w:val="17"/>
          <w:color w:val="auto"/>
        </w:rPr>
        <w:t>The New Subsidiary has delivered to the Administrative Agent an executed Loan Guaranty.</w:t>
      </w:r>
      <w:r>
        <w:rPr>
          <w:rFonts w:ascii="Arial" w:cs="Arial" w:eastAsia="Arial" w:hAnsi="Arial"/>
          <w:sz w:val="17"/>
          <w:szCs w:val="17"/>
          <w:b w:val="1"/>
          <w:bCs w:val="1"/>
          <w:color w:val="auto"/>
        </w:rPr>
        <w:t>]*</w:t>
      </w:r>
    </w:p>
    <w:p>
      <w:pPr>
        <w:spacing w:after="0" w:line="181" w:lineRule="exact"/>
        <w:rPr>
          <w:rFonts w:ascii="Arial" w:cs="Arial" w:eastAsia="Arial" w:hAnsi="Arial"/>
          <w:sz w:val="17"/>
          <w:szCs w:val="17"/>
          <w:color w:val="auto"/>
        </w:rPr>
      </w:pPr>
    </w:p>
    <w:p>
      <w:pPr>
        <w:ind w:right="200" w:firstLine="436"/>
        <w:spacing w:after="0" w:line="308" w:lineRule="auto"/>
        <w:tabs>
          <w:tab w:leader="none" w:pos="62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46" w:lineRule="exact"/>
        <w:rPr>
          <w:rFonts w:ascii="Arial" w:cs="Arial" w:eastAsia="Arial" w:hAnsi="Arial"/>
          <w:sz w:val="17"/>
          <w:szCs w:val="17"/>
          <w:color w:val="auto"/>
        </w:rPr>
      </w:pPr>
    </w:p>
    <w:p>
      <w:pPr>
        <w:ind w:left="620" w:hanging="184"/>
        <w:spacing w:after="0"/>
        <w:tabs>
          <w:tab w:leader="none" w:pos="6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1020"/>
          </w:cols>
          <w:pgMar w:left="440" w:top="274" w:right="439" w:bottom="1440" w:gutter="0" w:footer="0" w:header="0"/>
        </w:sectPr>
      </w:pPr>
    </w:p>
    <w:bookmarkStart w:id="392" w:name="page393"/>
    <w:bookmarkEnd w:id="392"/>
    <w:p>
      <w:pPr>
        <w:ind w:right="40" w:firstLine="436"/>
        <w:spacing w:after="0" w:line="277" w:lineRule="auto"/>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2411095</wp:posOffset>
            </wp:positionH>
            <wp:positionV relativeFrom="page">
              <wp:posOffset>251460</wp:posOffset>
            </wp:positionV>
            <wp:extent cx="27260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page">
              <wp:posOffset>2411095</wp:posOffset>
            </wp:positionH>
            <wp:positionV relativeFrom="page">
              <wp:posOffset>508635</wp:posOffset>
            </wp:positionV>
            <wp:extent cx="27260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page">
              <wp:posOffset>2411095</wp:posOffset>
            </wp:positionH>
            <wp:positionV relativeFrom="page">
              <wp:posOffset>765810</wp:posOffset>
            </wp:positionV>
            <wp:extent cx="27260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26055" cy="8255"/>
                    </a:xfrm>
                    <a:prstGeom prst="rect">
                      <a:avLst/>
                    </a:prstGeom>
                    <a:noFill/>
                  </pic:spPr>
                </pic:pic>
              </a:graphicData>
            </a:graphic>
          </wp:anchor>
        </w:drawing>
        <w:t>The New Subsidiary hereby waives acceptance by the Administrative Agent and the Lenders of the guaranty by the New Subsidiary upon the execution of this Agreement by the New Subsidiary.</w:t>
      </w:r>
    </w:p>
    <w:p>
      <w:pPr>
        <w:spacing w:after="0" w:line="170" w:lineRule="exact"/>
        <w:rPr>
          <w:rFonts w:ascii="Arial" w:cs="Arial" w:eastAsia="Arial" w:hAnsi="Arial"/>
          <w:sz w:val="18"/>
          <w:szCs w:val="18"/>
          <w:color w:val="auto"/>
        </w:rPr>
      </w:pPr>
    </w:p>
    <w:p>
      <w:pPr>
        <w:ind w:firstLine="436"/>
        <w:spacing w:after="0" w:line="277" w:lineRule="auto"/>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so executed and delivered shall be an original, but all of which shall constitute one and the same instrument.</w:t>
      </w:r>
    </w:p>
    <w:p>
      <w:pPr>
        <w:spacing w:after="0" w:line="170" w:lineRule="exact"/>
        <w:rPr>
          <w:rFonts w:ascii="Arial" w:cs="Arial" w:eastAsia="Arial" w:hAnsi="Arial"/>
          <w:sz w:val="18"/>
          <w:szCs w:val="18"/>
          <w:color w:val="auto"/>
        </w:rPr>
      </w:pPr>
    </w:p>
    <w:p>
      <w:pPr>
        <w:ind w:right="260" w:firstLine="436"/>
        <w:spacing w:after="0" w:line="277" w:lineRule="auto"/>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HEREUNDER SHALL BE GOVERNED BY AND CONSTRUED AND INTERPRETED IN ACCORDANCE WITH THE LAWS OF THE STATE OF NEW YORK.</w:t>
      </w:r>
    </w:p>
    <w:p>
      <w:pPr>
        <w:spacing w:after="0" w:line="170"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 asAdministrative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D-2</w:t>
      </w:r>
    </w:p>
    <w:p>
      <w:pPr>
        <w:sectPr>
          <w:pgSz w:w="11900" w:h="16838" w:orient="portrait"/>
          <w:cols w:equalWidth="0" w:num="1">
            <w:col w:w="10840"/>
          </w:cols>
          <w:pgMar w:left="440" w:top="1421" w:right="61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TAX COMPLIANCE CERTIFICATE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Reference is hereby made to the Credit Agreement dated as of March 22,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JPMorgan Chase Bank, N.A., in its capacity as Administrative Agent for the Lenders.</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 (B) of the Code and (iv) it is not a controlled foreign corporation related to the Borrower as described in Section 881(c)(3)(C) of the Code.</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8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2974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440"/>
        <w:spacing w:after="0"/>
        <w:tabs>
          <w:tab w:leader="none" w:pos="1400" w:val="left"/>
          <w:tab w:leader="none" w:pos="1660" w:val="left"/>
          <w:tab w:leader="none" w:pos="2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tab/>
        <w:t>,20[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-10160</wp:posOffset>
            </wp:positionV>
            <wp:extent cx="5143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U.S. TAX COMPLIANCE CERTIFICATE</w:t>
      </w: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25"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Reference is hereby made to the Credit Agreement dated as of March 22,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JPMorgan Chase Bank, N.A., in its capacity as Administrative Agent for the Lenders.</w:t>
      </w:r>
    </w:p>
    <w:p>
      <w:pPr>
        <w:spacing w:after="0" w:line="184"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w:t>
      </w:r>
    </w:p>
    <w:p>
      <w:pPr>
        <w:ind w:left="4" w:right="360" w:hanging="4"/>
        <w:spacing w:after="0" w:line="260" w:lineRule="auto"/>
        <w:tabs>
          <w:tab w:leader="none" w:pos="31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85" w:lineRule="exact"/>
        <w:rPr>
          <w:sz w:val="20"/>
          <w:szCs w:val="20"/>
          <w:color w:val="auto"/>
        </w:rPr>
      </w:pPr>
    </w:p>
    <w:p>
      <w:pPr>
        <w:ind w:left="4" w:right="300" w:firstLine="440"/>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8"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484"/>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8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14605</wp:posOffset>
            </wp:positionV>
            <wp:extent cx="22974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844"/>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844"/>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444"/>
        <w:spacing w:after="0"/>
        <w:tabs>
          <w:tab w:leader="none" w:pos="1404" w:val="left"/>
          <w:tab w:leader="none" w:pos="1664" w:val="left"/>
          <w:tab w:leader="none" w:pos="21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tab/>
        <w:t>,20[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-10160</wp:posOffset>
            </wp:positionV>
            <wp:extent cx="5143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E-3</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ind w:left="3964"/>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5"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Reference is hereby made to the Credit Agreement dated as of March 22,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JPMorgan Chase Bank, N.A., in its capacity as Administrative Agent for the Lenders.</w:t>
      </w:r>
    </w:p>
    <w:p>
      <w:pPr>
        <w:spacing w:after="0" w:line="184" w:lineRule="exact"/>
        <w:rPr>
          <w:sz w:val="20"/>
          <w:szCs w:val="20"/>
          <w:color w:val="auto"/>
        </w:rPr>
      </w:pPr>
    </w:p>
    <w:p>
      <w:pPr>
        <w:ind w:left="4" w:right="260" w:firstLine="440"/>
        <w:spacing w:after="0" w:line="286"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jc w:val="both"/>
        <w:ind w:left="4" w:right="40" w:hanging="4"/>
        <w:spacing w:after="0" w:line="255" w:lineRule="auto"/>
        <w:tabs>
          <w:tab w:leader="none" w:pos="309" w:val="left"/>
        </w:tabs>
        <w:numPr>
          <w:ilvl w:val="0"/>
          <w:numId w:val="484"/>
        </w:numPr>
        <w:rPr>
          <w:rFonts w:ascii="Arial" w:cs="Arial" w:eastAsia="Arial" w:hAnsi="Arial"/>
          <w:sz w:val="18"/>
          <w:szCs w:val="18"/>
          <w:color w:val="auto"/>
        </w:rPr>
      </w:pPr>
      <w:r>
        <w:rPr>
          <w:rFonts w:ascii="Arial" w:cs="Arial" w:eastAsia="Arial" w:hAnsi="Arial"/>
          <w:sz w:val="18"/>
          <w:szCs w:val="18"/>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0" w:lineRule="exact"/>
        <w:rPr>
          <w:sz w:val="20"/>
          <w:szCs w:val="20"/>
          <w:color w:val="auto"/>
        </w:rPr>
      </w:pPr>
    </w:p>
    <w:p>
      <w:pPr>
        <w:jc w:val="both"/>
        <w:ind w:left="4" w:right="280" w:firstLine="440"/>
        <w:spacing w:after="0" w:line="286"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w:t>
      </w:r>
    </w:p>
    <w:p>
      <w:pPr>
        <w:spacing w:after="0" w:line="1" w:lineRule="exact"/>
        <w:rPr>
          <w:sz w:val="20"/>
          <w:szCs w:val="20"/>
          <w:color w:val="auto"/>
        </w:rPr>
      </w:pPr>
    </w:p>
    <w:p>
      <w:pPr>
        <w:ind w:left="4" w:right="100" w:hanging="4"/>
        <w:spacing w:after="0" w:line="255" w:lineRule="auto"/>
        <w:tabs>
          <w:tab w:leader="none" w:pos="259"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9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396" w:name="page397"/>
    <w:bookmarkEnd w:id="39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w:t>
      </w:r>
    </w:p>
    <w:p>
      <w:pPr>
        <w:spacing w:after="0" w:line="225" w:lineRule="exact"/>
        <w:rPr>
          <w:sz w:val="20"/>
          <w:szCs w:val="20"/>
          <w:color w:val="auto"/>
        </w:rPr>
      </w:pPr>
    </w:p>
    <w:p>
      <w:pPr>
        <w:ind w:left="3964"/>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25"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Reference is hereby made to the Credit Agreement dated as of March 22, 2021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NN,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JPMorgan Chase Bank, N.A., in its capacity as Administrative Agent for the Lenders.</w:t>
      </w:r>
    </w:p>
    <w:p>
      <w:pPr>
        <w:spacing w:after="0" w:line="184"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8"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w:t>
      </w:r>
    </w:p>
    <w:p>
      <w:pPr>
        <w:ind w:left="4" w:right="20" w:hanging="4"/>
        <w:spacing w:after="0" w:line="271" w:lineRule="auto"/>
        <w:tabs>
          <w:tab w:leader="none" w:pos="269" w:val="left"/>
        </w:tabs>
        <w:numPr>
          <w:ilvl w:val="0"/>
          <w:numId w:val="486"/>
        </w:numPr>
        <w:rPr>
          <w:rFonts w:ascii="Arial" w:cs="Arial" w:eastAsia="Arial" w:hAnsi="Arial"/>
          <w:sz w:val="17"/>
          <w:szCs w:val="17"/>
          <w:color w:val="auto"/>
        </w:rPr>
      </w:pPr>
      <w:r>
        <w:rPr>
          <w:rFonts w:ascii="Arial" w:cs="Arial" w:eastAsia="Arial" w:hAnsi="Arial"/>
          <w:sz w:val="17"/>
          <w:szCs w:val="17"/>
          <w:color w:val="auto"/>
        </w:rPr>
        <w:t>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78"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14605</wp:posOffset>
            </wp:positionV>
            <wp:extent cx="23228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 w:lineRule="exact"/>
        <w:rPr>
          <w:sz w:val="20"/>
          <w:szCs w:val="20"/>
          <w:color w:val="auto"/>
        </w:rPr>
      </w:pPr>
    </w:p>
    <w:p>
      <w:pPr>
        <w:ind w:left="80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0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44"/>
        <w:spacing w:after="0"/>
        <w:tabs>
          <w:tab w:leader="none" w:pos="1404" w:val="left"/>
          <w:tab w:leader="none" w:pos="1664" w:val="left"/>
          <w:tab w:leader="none" w:pos="21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tab/>
        <w:t>,20[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-10160</wp:posOffset>
            </wp:positionV>
            <wp:extent cx="5143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171450</wp:posOffset>
            </wp:positionV>
            <wp:extent cx="1843405" cy="5575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822960" cy="7969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SUCCESSFUL $265 MILLION FINANCING</w:t>
      </w:r>
    </w:p>
    <w:p>
      <w:pPr>
        <w:spacing w:after="0" w:line="22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New $50 Million Asset Based Credit Line, 5.5-Year $150 Million Term Loan, and $65 Million Preferred Offering Provide Flexibility to Continue Business Transformation</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Charlotte, N.C., March 22, 2021 – </w:t>
      </w:r>
      <w:r>
        <w:rPr>
          <w:rFonts w:ascii="Arial" w:cs="Arial" w:eastAsia="Arial" w:hAnsi="Arial"/>
          <w:sz w:val="17"/>
          <w:szCs w:val="17"/>
          <w:color w:val="auto"/>
        </w:rPr>
        <w:t>NN, Inc. (NASDAQ: NNBR), a diversified industrial company, today announced the completion of a new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with J.P. Morgan, funds managed by Oaktree Capital Management, L.P., and investment funds managed by Morgan Stanley Tactical Value to provide a $50 million asset-based credit line (ABL), a 5.5-year $150 million term loan, and a $65 million preferred stock issuance, respectively. Proceeds from the transaction will be used to repay the current principal balance of $70 million on its term loans due in 2022, to redeem its current $100 million outstanding preferred stock, prior to the increase in redemption premium at March 31, 2021, and pay off its fixed interest rate swap of $14 million. The transaction enables the Company to strengthen its balance sheet by extending its capital structure’s maturity at an attractive blended cost of capital, allowing the Company financial flexibility to continue its current business transformation efforts.</w:t>
      </w:r>
    </w:p>
    <w:p>
      <w:pPr>
        <w:spacing w:after="0" w:line="1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pleased to complete this financing that provides NN with a solid foundation and flexibility to continue pursuing our strategic initiatives toward transformational growth,” stated Warren Veltman, President and Chief Executive Officer. “We have positioned ourselves well to take advantage of the confluence of emerging vehicle electrification and the smart grid technologies necessary to power those vehicles. Supplemented by additional trends in aerospace and defense, we are confident these offerings will assist our efforts to drive future growth.”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$50 million ABL revolving credit facility includes the following provisions:</w:t>
      </w:r>
    </w:p>
    <w:p>
      <w:pPr>
        <w:spacing w:after="0" w:line="131" w:lineRule="exact"/>
        <w:rPr>
          <w:sz w:val="20"/>
          <w:szCs w:val="20"/>
          <w:color w:val="auto"/>
        </w:rPr>
      </w:pPr>
    </w:p>
    <w:p>
      <w:pPr>
        <w:ind w:left="960" w:hanging="532"/>
        <w:spacing w:after="0"/>
        <w:tabs>
          <w:tab w:leader="none" w:pos="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Interest rate of LIBOR +1.75% - 2.00%, with a 0.50% floor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Term of 5 years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Primarily secured by eligible receivables and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$150 million term loan includes the following provisions:</w:t>
      </w:r>
    </w:p>
    <w:p>
      <w:pPr>
        <w:spacing w:after="0" w:line="131" w:lineRule="exact"/>
        <w:rPr>
          <w:sz w:val="20"/>
          <w:szCs w:val="20"/>
          <w:color w:val="auto"/>
        </w:rPr>
      </w:pPr>
    </w:p>
    <w:p>
      <w:pPr>
        <w:ind w:left="960" w:hanging="532"/>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Interest rate of LIBOR + 6.875%, with a 1% floor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Term of 5.5 years</w:t>
      </w:r>
    </w:p>
    <w:p>
      <w:pPr>
        <w:spacing w:after="0" w:line="130" w:lineRule="exact"/>
        <w:rPr>
          <w:rFonts w:ascii="Arial" w:cs="Arial" w:eastAsia="Arial" w:hAnsi="Arial"/>
          <w:sz w:val="18"/>
          <w:szCs w:val="18"/>
          <w:color w:val="auto"/>
        </w:rPr>
      </w:pPr>
    </w:p>
    <w:p>
      <w:pPr>
        <w:ind w:left="5460" w:right="5060" w:hanging="5032"/>
        <w:spacing w:after="0" w:line="490" w:lineRule="auto"/>
        <w:tabs>
          <w:tab w:leader="none" w:pos="969" w:val="left"/>
        </w:tabs>
        <w:numPr>
          <w:ilvl w:val="0"/>
          <w:numId w:val="488"/>
        </w:numPr>
        <w:rPr>
          <w:rFonts w:ascii="Arial" w:cs="Arial" w:eastAsia="Arial" w:hAnsi="Arial"/>
          <w:sz w:val="17"/>
          <w:szCs w:val="17"/>
          <w:color w:val="auto"/>
        </w:rPr>
      </w:pPr>
      <w:r>
        <w:rPr>
          <w:rFonts w:ascii="Arial" w:cs="Arial" w:eastAsia="Arial" w:hAnsi="Arial"/>
          <w:sz w:val="17"/>
          <w:szCs w:val="17"/>
          <w:color w:val="auto"/>
        </w:rPr>
        <w:t>Minimal financial covenants, including maximum total leverage ratio 1</w:t>
      </w:r>
    </w:p>
    <w:p>
      <w:pPr>
        <w:sectPr>
          <w:pgSz w:w="11900" w:h="16838" w:orient="portrait"/>
          <w:cols w:equalWidth="0" w:num="1">
            <w:col w:w="11020"/>
          </w:cols>
          <w:pgMar w:left="440" w:top="121" w:right="4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$65 million preferred issuance includes the following provisions:</w:t>
      </w:r>
    </w:p>
    <w:p>
      <w:pPr>
        <w:spacing w:after="0" w:line="131" w:lineRule="exact"/>
        <w:rPr>
          <w:sz w:val="20"/>
          <w:szCs w:val="20"/>
          <w:color w:val="auto"/>
        </w:rPr>
      </w:pPr>
    </w:p>
    <w:p>
      <w:pPr>
        <w:ind w:left="960" w:hanging="532"/>
        <w:spacing w:after="0"/>
        <w:tabs>
          <w:tab w:leader="none" w:pos="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Perpetual maturity, redeemable at the greater of accrued value or 1.4x the investment amount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 10% annual cash dividend (or 12% PIK) payable quarterly, with a 2.5% increase after year five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Penny warrants to purchase 1.9 million common shares with a 6-year expiration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Board observer seat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Tom DeByle, NN Senior Vice President and CFO, commented, “With the reduction in leverage from the sale of Life Sciences in the fourth quarter, we sought to address the near-term debt maturities and outstanding preferred stock in a way that increased our ability to grow our business while maintaining an appropriate level of liquidity. This new agreement meets these needs while bringing in investment partners that understand our industry and are committed to our long-term strategy.”</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J.P. Morgan acted as administrative agent, sole bookrunner and sole lead arranger on the asset based credit line, advised on the term loan, and served as sole placement agent on the preferred issuance. Bass, Berry &amp; Sims PLC served as legal counsel to the Company on the transaction. Gibson, Dunn &amp; Crutcher LLP served as legal counsel to Morgan Stanley Tactical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Except as required by law, we undertake no obligation to update or revise any forward-looking statements we make in our press releases,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 Tryka,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jtryka@lambert.com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258-5766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C45E83"/>
    <w:multiLevelType w:val="hybridMultilevel"/>
    <w:lvl w:ilvl="0">
      <w:lvlJc w:val="left"/>
      <w:lvlText w:val="☐"/>
      <w:numFmt w:val="bullet"/>
      <w:start w:val="1"/>
    </w:lvl>
  </w:abstractNum>
  <w:abstractNum w:abstractNumId="1">
    <w:nsid w:val="17304A67"/>
    <w:multiLevelType w:val="hybridMultilevel"/>
    <w:lvl w:ilvl="0">
      <w:lvlJc w:val="left"/>
      <w:lvlText w:val="(%1)"/>
      <w:numFmt w:val="lowerRoman"/>
      <w:start w:val="1"/>
    </w:lvl>
  </w:abstractNum>
  <w:abstractNum w:abstractNumId="2">
    <w:nsid w:val="2BB180D8"/>
    <w:multiLevelType w:val="hybridMultilevel"/>
    <w:lvl w:ilvl="0">
      <w:lvlJc w:val="left"/>
      <w:lvlText w:val="(%1)"/>
      <w:numFmt w:val="decimal"/>
      <w:start w:val="2"/>
    </w:lvl>
  </w:abstractNum>
  <w:abstractNum w:abstractNumId="3">
    <w:nsid w:val="556B69ED"/>
    <w:multiLevelType w:val="hybridMultilevel"/>
    <w:lvl w:ilvl="0">
      <w:lvlJc w:val="left"/>
      <w:lvlText w:val="(%1)"/>
      <w:numFmt w:val="lowerRoman"/>
      <w:start w:val="2"/>
    </w:lvl>
  </w:abstractNum>
  <w:abstractNum w:abstractNumId="4">
    <w:nsid w:val="70836196"/>
    <w:multiLevelType w:val="hybridMultilevel"/>
    <w:lvl w:ilvl="0">
      <w:lvlJc w:val="left"/>
      <w:lvlText w:val="(%1)"/>
      <w:numFmt w:val="lowerRoman"/>
      <w:start w:val="2"/>
    </w:lvl>
  </w:abstractNum>
  <w:abstractNum w:abstractNumId="5">
    <w:nsid w:val="539F7F12"/>
    <w:multiLevelType w:val="hybridMultilevel"/>
    <w:lvl w:ilvl="0">
      <w:lvlJc w:val="left"/>
      <w:lvlText w:val="%1"/>
      <w:numFmt w:val="decimal"/>
      <w:start w:val="104"/>
    </w:lvl>
  </w:abstractNum>
  <w:abstractNum w:abstractNumId="6">
    <w:nsid w:val="2817E7EC"/>
    <w:multiLevelType w:val="hybridMultilevel"/>
    <w:lvl w:ilvl="0">
      <w:lvlJc w:val="left"/>
      <w:lvlText w:val="(%1)"/>
      <w:numFmt w:val="lowerRoman"/>
      <w:start w:val="1"/>
    </w:lvl>
  </w:abstractNum>
  <w:abstractNum w:abstractNumId="7">
    <w:nsid w:val="71482545"/>
    <w:multiLevelType w:val="hybridMultilevel"/>
    <w:lvl w:ilvl="0">
      <w:lvlJc w:val="left"/>
      <w:lvlText w:val="(%1)"/>
      <w:numFmt w:val="lowerRoman"/>
      <w:start w:val="3"/>
    </w:lvl>
  </w:abstractNum>
  <w:abstractNum w:abstractNumId="8">
    <w:nsid w:val="17D78639"/>
    <w:multiLevelType w:val="hybridMultilevel"/>
    <w:lvl w:ilvl="0">
      <w:lvlJc w:val="left"/>
      <w:lvlText w:val="%1"/>
      <w:numFmt w:val="decimal"/>
      <w:start w:val="1"/>
    </w:lvl>
    <w:lvl w:ilvl="1">
      <w:lvlJc w:val="left"/>
      <w:lvlText w:val="(%2)"/>
      <w:numFmt w:val="lowerRoman"/>
      <w:start w:val="1"/>
    </w:lvl>
  </w:abstractNum>
  <w:abstractNum w:abstractNumId="9">
    <w:nsid w:val="141D2302"/>
    <w:multiLevelType w:val="hybridMultilevel"/>
    <w:lvl w:ilvl="0">
      <w:lvlJc w:val="left"/>
      <w:lvlText w:val="(%1)"/>
      <w:numFmt w:val="decimal"/>
      <w:start w:val="60"/>
    </w:lvl>
    <w:lvl w:ilvl="1">
      <w:lvlJc w:val="left"/>
      <w:lvlText w:val="%2"/>
      <w:numFmt w:val="lowerRoman"/>
      <w:start w:val="1"/>
    </w:lvl>
  </w:abstractNum>
  <w:abstractNum w:abstractNumId="10">
    <w:nsid w:val="407168D8"/>
    <w:multiLevelType w:val="hybridMultilevel"/>
    <w:lvl w:ilvl="0">
      <w:lvlJc w:val="left"/>
      <w:lvlText w:val="(%1)"/>
      <w:numFmt w:val="lowerLetter"/>
      <w:start w:val="9"/>
    </w:lvl>
    <w:lvl w:ilvl="1">
      <w:lvlJc w:val="left"/>
      <w:lvlText w:val="(%2)"/>
      <w:numFmt w:val="lowerLetter"/>
      <w:start w:val="1"/>
    </w:lvl>
  </w:abstractNum>
  <w:abstractNum w:abstractNumId="11">
    <w:nsid w:val="6A1B45E5"/>
    <w:multiLevelType w:val="hybridMultilevel"/>
    <w:lvl w:ilvl="0">
      <w:lvlJc w:val="left"/>
      <w:lvlText w:val="%1"/>
      <w:numFmt w:val="lowerLetter"/>
      <w:start w:val="1"/>
    </w:lvl>
    <w:lvl w:ilvl="1">
      <w:lvlJc w:val="left"/>
      <w:lvlText w:val="(%2)"/>
      <w:numFmt w:val="lowerLetter"/>
      <w:start w:val="2"/>
    </w:lvl>
  </w:abstractNum>
  <w:abstractNum w:abstractNumId="12">
    <w:nsid w:val="567BD50A"/>
    <w:multiLevelType w:val="hybridMultilevel"/>
    <w:lvl w:ilvl="0">
      <w:lvlJc w:val="left"/>
      <w:lvlText w:val="(%1)"/>
      <w:numFmt w:val="lowerLetter"/>
      <w:start w:val="35"/>
    </w:lvl>
    <w:lvl w:ilvl="1">
      <w:lvlJc w:val="left"/>
      <w:lvlText w:val="%2"/>
      <w:numFmt w:val="lowerLetter"/>
      <w:start w:val="1"/>
    </w:lvl>
  </w:abstractNum>
  <w:abstractNum w:abstractNumId="13">
    <w:nsid w:val="73BBD7F8"/>
    <w:multiLevelType w:val="hybridMultilevel"/>
    <w:lvl w:ilvl="0">
      <w:lvlJc w:val="left"/>
      <w:lvlText w:val="%1."/>
      <w:numFmt w:val="decimal"/>
      <w:start w:val="2"/>
    </w:lvl>
  </w:abstractNum>
  <w:abstractNum w:abstractNumId="14">
    <w:nsid w:val="1876589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327FAC77"/>
    <w:multiLevelType w:val="hybridMultilevel"/>
    <w:lvl w:ilvl="0">
      <w:lvlJc w:val="left"/>
      <w:lvlText w:val="(%1)"/>
      <w:numFmt w:val="lowerLetter"/>
      <w:start w:val="7"/>
    </w:lvl>
  </w:abstractNum>
  <w:abstractNum w:abstractNumId="16">
    <w:nsid w:val="5A606509"/>
    <w:multiLevelType w:val="hybridMultilevel"/>
    <w:lvl w:ilvl="0">
      <w:lvlJc w:val="left"/>
      <w:lvlText w:val="%1."/>
      <w:numFmt w:val="decimal"/>
      <w:start w:val="4"/>
    </w:lvl>
    <w:lvl w:ilvl="1">
      <w:lvlJc w:val="left"/>
      <w:lvlText w:val="(%2)"/>
      <w:numFmt w:val="lowerLetter"/>
      <w:start w:val="1"/>
    </w:lvl>
  </w:abstractNum>
  <w:abstractNum w:abstractNumId="17">
    <w:nsid w:val="6F38E6D1"/>
    <w:multiLevelType w:val="hybridMultilevel"/>
    <w:lvl w:ilvl="0">
      <w:lvlJc w:val="left"/>
      <w:lvlText w:val="(%1)"/>
      <w:numFmt w:val="lowerRoman"/>
      <w:start w:val="1"/>
    </w:lvl>
  </w:abstractNum>
  <w:abstractNum w:abstractNumId="18">
    <w:nsid w:val="46111BA5"/>
    <w:multiLevelType w:val="hybridMultilevel"/>
    <w:lvl w:ilvl="0">
      <w:lvlJc w:val="left"/>
      <w:lvlText w:val="(%1)"/>
      <w:numFmt w:val="lowerLetter"/>
      <w:start w:val="3"/>
    </w:lvl>
    <w:lvl w:ilvl="1">
      <w:lvlJc w:val="left"/>
      <w:lvlText w:val="(%2)"/>
      <w:numFmt w:val="lowerRoman"/>
      <w:start w:val="1"/>
    </w:lvl>
  </w:abstractNum>
  <w:abstractNum w:abstractNumId="19">
    <w:nsid w:val="5E963896"/>
    <w:multiLevelType w:val="hybridMultilevel"/>
    <w:lvl w:ilvl="0">
      <w:lvlJc w:val="left"/>
      <w:lvlText w:val="(%1)"/>
      <w:numFmt w:val="lowerRoman"/>
      <w:start w:val="2"/>
    </w:lvl>
  </w:abstractNum>
  <w:abstractNum w:abstractNumId="20">
    <w:nsid w:val="775BA7C1"/>
    <w:multiLevelType w:val="hybridMultilevel"/>
    <w:lvl w:ilvl="0">
      <w:lvlJc w:val="left"/>
      <w:lvlText w:val="(%1)"/>
      <w:numFmt w:val="upperLetter"/>
      <w:start w:val="1"/>
    </w:lvl>
  </w:abstractNum>
  <w:abstractNum w:abstractNumId="21">
    <w:nsid w:val="1DD6D6F4"/>
    <w:multiLevelType w:val="hybridMultilevel"/>
    <w:lvl w:ilvl="0">
      <w:lvlJc w:val="left"/>
      <w:lvlText w:val="%1."/>
      <w:numFmt w:val="decimal"/>
      <w:start w:val="5"/>
    </w:lvl>
  </w:abstractNum>
  <w:abstractNum w:abstractNumId="22">
    <w:nsid w:val="769A091F"/>
    <w:multiLevelType w:val="hybridMultilevel"/>
    <w:lvl w:ilvl="0">
      <w:lvlJc w:val="left"/>
      <w:lvlText w:val="%1."/>
      <w:numFmt w:val="decimal"/>
      <w:start w:val="7"/>
    </w:lvl>
    <w:lvl w:ilvl="1">
      <w:lvlJc w:val="left"/>
      <w:lvlText w:val="(%2)"/>
      <w:numFmt w:val="lowerLetter"/>
      <w:start w:val="1"/>
    </w:lvl>
  </w:abstractNum>
  <w:abstractNum w:abstractNumId="23">
    <w:nsid w:val="4695AE95"/>
    <w:multiLevelType w:val="hybridMultilevel"/>
    <w:lvl w:ilvl="0">
      <w:lvlJc w:val="left"/>
      <w:lvlText w:val="%1."/>
      <w:numFmt w:val="decimal"/>
      <w:start w:val="9"/>
    </w:lvl>
  </w:abstractNum>
  <w:abstractNum w:abstractNumId="24">
    <w:nsid w:val="777A4EAA"/>
    <w:multiLevelType w:val="hybridMultilevel"/>
    <w:lvl w:ilvl="0">
      <w:lvlJc w:val="left"/>
      <w:lvlText w:val="%1."/>
      <w:numFmt w:val="decimal"/>
      <w:start w:val="10"/>
    </w:lvl>
  </w:abstractNum>
  <w:abstractNum w:abstractNumId="25">
    <w:nsid w:val="3F48B982"/>
    <w:multiLevelType w:val="hybridMultilevel"/>
    <w:lvl w:ilvl="0">
      <w:lvlJc w:val="left"/>
      <w:lvlText w:val="%1."/>
      <w:numFmt w:val="decimal"/>
      <w:start w:val="11"/>
    </w:lvl>
  </w:abstractNum>
  <w:abstractNum w:abstractNumId="26">
    <w:nsid w:val="46BA8FCA"/>
    <w:multiLevelType w:val="hybridMultilevel"/>
    <w:lvl w:ilvl="0">
      <w:lvlJc w:val="left"/>
      <w:lvlText w:val="%1."/>
      <w:numFmt w:val="decimal"/>
      <w:start w:val="16"/>
    </w:lvl>
  </w:abstractNum>
  <w:abstractNum w:abstractNumId="27">
    <w:nsid w:val="7835626C"/>
    <w:multiLevelType w:val="hybridMultilevel"/>
    <w:lvl w:ilvl="0">
      <w:lvlJc w:val="left"/>
      <w:lvlText w:val="☐"/>
      <w:numFmt w:val="bullet"/>
      <w:start w:val="1"/>
    </w:lvl>
  </w:abstractNum>
  <w:abstractNum w:abstractNumId="28">
    <w:nsid w:val="665ACA49"/>
    <w:multiLevelType w:val="hybridMultilevel"/>
    <w:lvl w:ilvl="0">
      <w:lvlJc w:val="left"/>
      <w:lvlText w:val="%1)"/>
      <w:numFmt w:val="lowerLetter"/>
      <w:start w:val="1"/>
    </w:lvl>
  </w:abstractNum>
  <w:abstractNum w:abstractNumId="29">
    <w:nsid w:val="6835B2AE"/>
    <w:multiLevelType w:val="hybridMultilevel"/>
    <w:lvl w:ilvl="0">
      <w:lvlJc w:val="left"/>
      <w:lvlText w:val="%1)"/>
      <w:numFmt w:val="lowerLetter"/>
      <w:start w:val="3"/>
    </w:lvl>
  </w:abstractNum>
  <w:abstractNum w:abstractNumId="30">
    <w:nsid w:val="4C187C90"/>
    <w:multiLevelType w:val="hybridMultilevel"/>
    <w:lvl w:ilvl="0">
      <w:lvlJc w:val="left"/>
      <w:lvlText w:val="(%1)"/>
      <w:numFmt w:val="lowerLetter"/>
      <w:start w:val="1"/>
    </w:lvl>
  </w:abstractNum>
  <w:abstractNum w:abstractNumId="31">
    <w:nsid w:val="541F28CD"/>
    <w:multiLevelType w:val="hybridMultilevel"/>
    <w:lvl w:ilvl="0">
      <w:lvlJc w:val="left"/>
      <w:lvlText w:val="(%1)"/>
      <w:numFmt w:val="lowerRoman"/>
      <w:start w:val="2"/>
    </w:lvl>
  </w:abstractNum>
  <w:abstractNum w:abstractNumId="32">
    <w:nsid w:val="7F65FD16"/>
    <w:multiLevelType w:val="hybridMultilevel"/>
    <w:lvl w:ilvl="0">
      <w:lvlJc w:val="left"/>
      <w:lvlText w:val="(%1)"/>
      <w:numFmt w:val="lowerLetter"/>
      <w:start w:val="1"/>
    </w:lvl>
  </w:abstractNum>
  <w:abstractNum w:abstractNumId="33">
    <w:nsid w:val="77C9FD68"/>
    <w:multiLevelType w:val="hybridMultilevel"/>
    <w:lvl w:ilvl="0">
      <w:lvlJc w:val="left"/>
      <w:lvlText w:val="(%1)"/>
      <w:numFmt w:val="lowerLetter"/>
      <w:start w:val="1"/>
    </w:lvl>
  </w:abstractNum>
  <w:abstractNum w:abstractNumId="34">
    <w:nsid w:val="298A92BA"/>
    <w:multiLevelType w:val="hybridMultilevel"/>
    <w:lvl w:ilvl="0">
      <w:lvlJc w:val="left"/>
      <w:lvlText w:val="(%1)"/>
      <w:numFmt w:val="lowerLetter"/>
      <w:start w:val="1"/>
    </w:lvl>
  </w:abstractNum>
  <w:abstractNum w:abstractNumId="35">
    <w:nsid w:val="6FE95EAC"/>
    <w:multiLevelType w:val="hybridMultilevel"/>
    <w:lvl w:ilvl="0">
      <w:lvlJc w:val="left"/>
      <w:lvlText w:val="(%1)"/>
      <w:numFmt w:val="lowerLetter"/>
      <w:start w:val="1"/>
    </w:lvl>
  </w:abstractNum>
  <w:abstractNum w:abstractNumId="36">
    <w:nsid w:val="4B697C7A"/>
    <w:multiLevelType w:val="hybridMultilevel"/>
    <w:lvl w:ilvl="0">
      <w:lvlJc w:val="left"/>
      <w:lvlText w:val="(%1)"/>
      <w:numFmt w:val="lowerLetter"/>
      <w:start w:val="2"/>
    </w:lvl>
  </w:abstractNum>
  <w:abstractNum w:abstractNumId="37">
    <w:nsid w:val="51A27AA6"/>
    <w:multiLevelType w:val="hybridMultilevel"/>
    <w:lvl w:ilvl="0">
      <w:lvlJc w:val="left"/>
      <w:lvlText w:val="(%1)"/>
      <w:numFmt w:val="lowerLetter"/>
      <w:start w:val="1"/>
    </w:lvl>
    <w:lvl w:ilvl="1">
      <w:lvlJc w:val="left"/>
      <w:lvlText w:val="(%2)"/>
      <w:numFmt w:val="lowerRoman"/>
      <w:start w:val="1"/>
    </w:lvl>
  </w:abstractNum>
  <w:abstractNum w:abstractNumId="38">
    <w:nsid w:val="613183F2"/>
    <w:multiLevelType w:val="hybridMultilevel"/>
    <w:lvl w:ilvl="0">
      <w:lvlJc w:val="left"/>
      <w:lvlText w:val="%1"/>
      <w:numFmt w:val="lowerLetter"/>
      <w:start w:val="1"/>
    </w:lvl>
    <w:lvl w:ilvl="1">
      <w:lvlJc w:val="left"/>
      <w:lvlText w:val="(%2)"/>
      <w:numFmt w:val="lowerRoman"/>
      <w:start w:val="10"/>
    </w:lvl>
  </w:abstractNum>
  <w:abstractNum w:abstractNumId="39">
    <w:nsid w:val="634102B4"/>
    <w:multiLevelType w:val="hybridMultilevel"/>
    <w:lvl w:ilvl="0">
      <w:lvlJc w:val="left"/>
      <w:lvlText w:val="(%1)"/>
      <w:numFmt w:val="lowerLetter"/>
      <w:start w:val="2"/>
    </w:lvl>
    <w:lvl w:ilvl="1">
      <w:lvlJc w:val="left"/>
      <w:lvlText w:val="(%2)"/>
      <w:numFmt w:val="lowerRoman"/>
      <w:start w:val="1"/>
    </w:lvl>
  </w:abstractNum>
  <w:abstractNum w:abstractNumId="40">
    <w:nsid w:val="65BF9DA8"/>
    <w:multiLevelType w:val="hybridMultilevel"/>
    <w:lvl w:ilvl="0">
      <w:lvlJc w:val="left"/>
      <w:lvlText w:val="(%1)"/>
      <w:numFmt w:val="decimal"/>
      <w:start w:val="2"/>
    </w:lvl>
  </w:abstractNum>
  <w:abstractNum w:abstractNumId="41">
    <w:nsid w:val="21A2ECCA"/>
    <w:multiLevelType w:val="hybridMultilevel"/>
    <w:lvl w:ilvl="0">
      <w:lvlJc w:val="left"/>
      <w:lvlText w:val="%1"/>
      <w:numFmt w:val="lowerLetter"/>
      <w:start w:val="1"/>
    </w:lvl>
    <w:lvl w:ilvl="1">
      <w:lvlJc w:val="left"/>
      <w:lvlText w:val="(%2)"/>
      <w:numFmt w:val="lowerLetter"/>
      <w:start w:val="1"/>
    </w:lvl>
  </w:abstractNum>
  <w:abstractNum w:abstractNumId="42">
    <w:nsid w:val="4D5C4899"/>
    <w:multiLevelType w:val="hybridMultilevel"/>
    <w:lvl w:ilvl="0">
      <w:lvlJc w:val="left"/>
      <w:lvlText w:val="(%1)"/>
      <w:numFmt w:val="lowerLetter"/>
      <w:start w:val="9"/>
    </w:lvl>
    <w:lvl w:ilvl="1">
      <w:lvlJc w:val="left"/>
      <w:lvlText w:val="(%2)"/>
      <w:numFmt w:val="lowerLetter"/>
      <w:start w:val="5"/>
    </w:lvl>
  </w:abstractNum>
  <w:abstractNum w:abstractNumId="43">
    <w:nsid w:val="3C3B72B2"/>
    <w:multiLevelType w:val="hybridMultilevel"/>
    <w:lvl w:ilvl="0">
      <w:lvlJc w:val="left"/>
      <w:lvlText w:val="%1"/>
      <w:numFmt w:val="lowerLetter"/>
      <w:start w:val="1"/>
    </w:lvl>
    <w:lvl w:ilvl="1">
      <w:lvlJc w:val="left"/>
      <w:lvlText w:val="(%2)"/>
      <w:numFmt w:val="lowerLetter"/>
      <w:start w:val="1"/>
    </w:lvl>
  </w:abstractNum>
  <w:abstractNum w:abstractNumId="44">
    <w:nsid w:val="155EC4C2"/>
    <w:multiLevelType w:val="hybridMultilevel"/>
    <w:lvl w:ilvl="0">
      <w:lvlJc w:val="left"/>
      <w:lvlText w:val="(%1)"/>
      <w:numFmt w:val="lowerLetter"/>
      <w:start w:val="9"/>
    </w:lvl>
    <w:lvl w:ilvl="1">
      <w:lvlJc w:val="left"/>
      <w:lvlText w:val="(%2)"/>
      <w:numFmt w:val="lowerLetter"/>
      <w:start w:val="2"/>
    </w:lvl>
  </w:abstractNum>
  <w:abstractNum w:abstractNumId="45">
    <w:nsid w:val="65D2A137"/>
    <w:multiLevelType w:val="hybridMultilevel"/>
    <w:lvl w:ilvl="0">
      <w:lvlJc w:val="left"/>
      <w:lvlText w:val="(%1)"/>
      <w:numFmt w:val="lowerLetter"/>
      <w:start w:val="1"/>
    </w:lvl>
  </w:abstractNum>
  <w:abstractNum w:abstractNumId="46">
    <w:nsid w:val="6EBB1F2A"/>
    <w:multiLevelType w:val="hybridMultilevel"/>
    <w:lvl w:ilvl="0">
      <w:lvlJc w:val="left"/>
      <w:lvlText w:val="(%1)"/>
      <w:numFmt w:val="lowerLetter"/>
      <w:start w:val="1"/>
    </w:lvl>
  </w:abstractNum>
  <w:abstractNum w:abstractNumId="47">
    <w:nsid w:val="6FBF29CB"/>
    <w:multiLevelType w:val="hybridMultilevel"/>
    <w:lvl w:ilvl="0">
      <w:lvlJc w:val="left"/>
      <w:lvlText w:val="(%1)"/>
      <w:numFmt w:val="lowerLetter"/>
      <w:start w:val="1"/>
    </w:lvl>
  </w:abstractNum>
  <w:abstractNum w:abstractNumId="48">
    <w:nsid w:val="550B8808"/>
    <w:multiLevelType w:val="hybridMultilevel"/>
    <w:lvl w:ilvl="0">
      <w:lvlJc w:val="left"/>
      <w:lvlText w:val="(%1)"/>
      <w:numFmt w:val="lowerLetter"/>
      <w:start w:val="1"/>
    </w:lvl>
  </w:abstractNum>
  <w:abstractNum w:abstractNumId="49">
    <w:nsid w:val="34CC3ACF"/>
    <w:multiLevelType w:val="hybridMultilevel"/>
    <w:lvl w:ilvl="0">
      <w:lvlJc w:val="left"/>
      <w:lvlText w:val="(%1)"/>
      <w:numFmt w:val="lowerLetter"/>
      <w:start w:val="4"/>
    </w:lvl>
  </w:abstractNum>
  <w:abstractNum w:abstractNumId="50">
    <w:nsid w:val="4E556261"/>
    <w:multiLevelType w:val="hybridMultilevel"/>
    <w:lvl w:ilvl="0">
      <w:lvlJc w:val="left"/>
      <w:lvlText w:val="%1"/>
      <w:numFmt w:val="lowerLetter"/>
      <w:start w:val="1"/>
    </w:lvl>
    <w:lvl w:ilvl="1">
      <w:lvlJc w:val="left"/>
      <w:lvlText w:val="(%2)"/>
      <w:numFmt w:val="lowerLetter"/>
      <w:start w:val="1"/>
    </w:lvl>
  </w:abstractNum>
  <w:abstractNum w:abstractNumId="51">
    <w:nsid w:val="4C672FC9"/>
    <w:multiLevelType w:val="hybridMultilevel"/>
    <w:lvl w:ilvl="0">
      <w:lvlJc w:val="left"/>
      <w:lvlText w:val="(%1)"/>
      <w:numFmt w:val="lowerLetter"/>
      <w:start w:val="61"/>
    </w:lvl>
    <w:lvl w:ilvl="1">
      <w:lvlJc w:val="left"/>
      <w:lvlText w:val="(%2)"/>
      <w:numFmt w:val="lowerLetter"/>
      <w:start w:val="4"/>
    </w:lvl>
  </w:abstractNum>
  <w:abstractNum w:abstractNumId="52">
    <w:nsid w:val="52A311C3"/>
    <w:multiLevelType w:val="hybridMultilevel"/>
    <w:lvl w:ilvl="0">
      <w:lvlJc w:val="left"/>
      <w:lvlText w:val="(%1)"/>
      <w:numFmt w:val="lowerRoman"/>
      <w:start w:val="3"/>
    </w:lvl>
  </w:abstractNum>
  <w:abstractNum w:abstractNumId="53">
    <w:nsid w:val="44EF6B80"/>
    <w:multiLevelType w:val="hybridMultilevel"/>
    <w:lvl w:ilvl="0">
      <w:lvlJc w:val="left"/>
      <w:lvlText w:val="(%1)"/>
      <w:numFmt w:val="lowerLetter"/>
      <w:start w:val="1"/>
    </w:lvl>
  </w:abstractNum>
  <w:abstractNum w:abstractNumId="54">
    <w:nsid w:val="12FCDE5E"/>
    <w:multiLevelType w:val="hybridMultilevel"/>
    <w:lvl w:ilvl="0">
      <w:lvlJc w:val="left"/>
      <w:lvlText w:val="(%1)"/>
      <w:numFmt w:val="lowerLetter"/>
      <w:start w:val="3"/>
    </w:lvl>
  </w:abstractNum>
  <w:abstractNum w:abstractNumId="55">
    <w:nsid w:val="4A1D606E"/>
    <w:multiLevelType w:val="hybridMultilevel"/>
    <w:lvl w:ilvl="0">
      <w:lvlJc w:val="left"/>
      <w:lvlText w:val="(%1)"/>
      <w:numFmt w:val="lowerLetter"/>
      <w:start w:val="6"/>
    </w:lvl>
  </w:abstractNum>
  <w:abstractNum w:abstractNumId="56">
    <w:nsid w:val="4382503"/>
    <w:multiLevelType w:val="hybridMultilevel"/>
    <w:lvl w:ilvl="0">
      <w:lvlJc w:val="left"/>
      <w:lvlText w:val="%1"/>
      <w:numFmt w:val="lowerLetter"/>
      <w:start w:val="1"/>
    </w:lvl>
    <w:lvl w:ilvl="1">
      <w:lvlJc w:val="left"/>
      <w:lvlText w:val="(%2)"/>
      <w:numFmt w:val="lowerLetter"/>
      <w:start w:val="1"/>
    </w:lvl>
  </w:abstractNum>
  <w:abstractNum w:abstractNumId="57">
    <w:nsid w:val="59B76E28"/>
    <w:multiLevelType w:val="hybridMultilevel"/>
    <w:lvl w:ilvl="0">
      <w:lvlJc w:val="left"/>
      <w:lvlText w:val="(%1)"/>
      <w:numFmt w:val="lowerLetter"/>
      <w:start w:val="24"/>
    </w:lvl>
    <w:lvl w:ilvl="1">
      <w:lvlJc w:val="left"/>
      <w:lvlText w:val="%2"/>
      <w:numFmt w:val="lowerLetter"/>
      <w:start w:val="1"/>
    </w:lvl>
  </w:abstractNum>
  <w:abstractNum w:abstractNumId="58">
    <w:nsid w:val="4252C2DA"/>
    <w:multiLevelType w:val="hybridMultilevel"/>
    <w:lvl w:ilvl="0">
      <w:lvlJc w:val="left"/>
      <w:lvlText w:val="(%1)"/>
      <w:numFmt w:val="lowerRoman"/>
      <w:start w:val="1"/>
    </w:lvl>
  </w:abstractNum>
  <w:abstractNum w:abstractNumId="59">
    <w:nsid w:val="6A92EF4C"/>
    <w:multiLevelType w:val="hybridMultilevel"/>
    <w:lvl w:ilvl="0">
      <w:lvlJc w:val="left"/>
      <w:lvlText w:val="%1"/>
      <w:numFmt w:val="lowerLetter"/>
      <w:start w:val="1"/>
    </w:lvl>
    <w:lvl w:ilvl="1">
      <w:lvlJc w:val="left"/>
      <w:lvlText w:val="(%2)"/>
      <w:numFmt w:val="lowerLetter"/>
      <w:start w:val="1"/>
    </w:lvl>
  </w:abstractNum>
  <w:abstractNum w:abstractNumId="60">
    <w:nsid w:val="41ED20D7"/>
    <w:multiLevelType w:val="hybridMultilevel"/>
    <w:lvl w:ilvl="0">
      <w:lvlJc w:val="left"/>
      <w:lvlText w:val="(%1)"/>
      <w:numFmt w:val="lowerLetter"/>
      <w:start w:val="9"/>
    </w:lvl>
    <w:lvl w:ilvl="1">
      <w:lvlJc w:val="left"/>
      <w:lvlText w:val="(%2)"/>
      <w:numFmt w:val="lowerLetter"/>
      <w:start w:val="2"/>
    </w:lvl>
  </w:abstractNum>
  <w:abstractNum w:abstractNumId="61">
    <w:nsid w:val="E6B3F6A"/>
    <w:multiLevelType w:val="hybridMultilevel"/>
    <w:lvl w:ilvl="0">
      <w:lvlJc w:val="left"/>
      <w:lvlText w:val="(%1)"/>
      <w:numFmt w:val="lowerLetter"/>
      <w:start w:val="1"/>
    </w:lvl>
    <w:lvl w:ilvl="1">
      <w:lvlJc w:val="left"/>
      <w:lvlText w:val="(%2)"/>
      <w:numFmt w:val="lowerRoman"/>
      <w:start w:val="1"/>
    </w:lvl>
  </w:abstractNum>
  <w:abstractNum w:abstractNumId="62">
    <w:nsid w:val="3EB21819"/>
    <w:multiLevelType w:val="hybridMultilevel"/>
    <w:lvl w:ilvl="0">
      <w:lvlJc w:val="left"/>
      <w:lvlText w:val="(%1)"/>
      <w:numFmt w:val="lowerLetter"/>
      <w:start w:val="1"/>
    </w:lvl>
  </w:abstractNum>
  <w:abstractNum w:abstractNumId="63">
    <w:nsid w:val="41531DED"/>
    <w:multiLevelType w:val="hybridMultilevel"/>
    <w:lvl w:ilvl="0">
      <w:lvlJc w:val="left"/>
      <w:lvlText w:val="(%1)"/>
      <w:numFmt w:val="lowerLetter"/>
      <w:start w:val="1"/>
    </w:lvl>
  </w:abstractNum>
  <w:abstractNum w:abstractNumId="64">
    <w:nsid w:val="6353CD2"/>
    <w:multiLevelType w:val="hybridMultilevel"/>
    <w:lvl w:ilvl="0">
      <w:lvlJc w:val="left"/>
      <w:lvlText w:val="(%1)"/>
      <w:numFmt w:val="lowerLetter"/>
      <w:start w:val="1"/>
    </w:lvl>
  </w:abstractNum>
  <w:abstractNum w:abstractNumId="65">
    <w:nsid w:val="683CAAD3"/>
    <w:multiLevelType w:val="hybridMultilevel"/>
    <w:lvl w:ilvl="0">
      <w:lvlJc w:val="left"/>
      <w:lvlText w:val="(%1)"/>
      <w:numFmt w:val="lowerLetter"/>
      <w:start w:val="1"/>
    </w:lvl>
  </w:abstractNum>
  <w:abstractNum w:abstractNumId="66">
    <w:nsid w:val="313C7C99"/>
    <w:multiLevelType w:val="hybridMultilevel"/>
    <w:lvl w:ilvl="0">
      <w:lvlJc w:val="left"/>
      <w:lvlText w:val="(%1)"/>
      <w:numFmt w:val="lowerLetter"/>
      <w:start w:val="1"/>
    </w:lvl>
  </w:abstractNum>
  <w:abstractNum w:abstractNumId="67">
    <w:nsid w:val="519EB94C"/>
    <w:multiLevelType w:val="hybridMultilevel"/>
    <w:lvl w:ilvl="0">
      <w:lvlJc w:val="left"/>
      <w:lvlText w:val="(%1)"/>
      <w:numFmt w:val="lowerLetter"/>
      <w:start w:val="1"/>
    </w:lvl>
  </w:abstractNum>
  <w:abstractNum w:abstractNumId="68">
    <w:nsid w:val="39DF2579"/>
    <w:multiLevelType w:val="hybridMultilevel"/>
    <w:lvl w:ilvl="0">
      <w:lvlJc w:val="left"/>
      <w:lvlText w:val="(%1)"/>
      <w:numFmt w:val="lowerLetter"/>
      <w:start w:val="1"/>
    </w:lvl>
  </w:abstractNum>
  <w:abstractNum w:abstractNumId="69">
    <w:nsid w:val="126E008B"/>
    <w:multiLevelType w:val="hybridMultilevel"/>
    <w:lvl w:ilvl="0">
      <w:lvlJc w:val="left"/>
      <w:lvlText w:val="1"/>
      <w:numFmt w:val="bullet"/>
      <w:start w:val="1"/>
    </w:lvl>
    <w:lvl w:ilvl="1">
      <w:lvlJc w:val="left"/>
      <w:lvlText w:val="(%2)"/>
      <w:numFmt w:val="lowerLetter"/>
      <w:start w:val="1"/>
    </w:lvl>
  </w:abstractNum>
  <w:abstractNum w:abstractNumId="70">
    <w:nsid w:val="34DFBC00"/>
    <w:multiLevelType w:val="hybridMultilevel"/>
    <w:lvl w:ilvl="0">
      <w:lvlJc w:val="left"/>
      <w:lvlText w:val="%1"/>
      <w:numFmt w:val="lowerLetter"/>
      <w:start w:val="1"/>
    </w:lvl>
    <w:lvl w:ilvl="1">
      <w:lvlJc w:val="left"/>
      <w:lvlText w:val="(%2)"/>
      <w:numFmt w:val="lowerLetter"/>
      <w:start w:val="2"/>
    </w:lvl>
  </w:abstractNum>
  <w:abstractNum w:abstractNumId="71">
    <w:nsid w:val="1F9EC322"/>
    <w:multiLevelType w:val="hybridMultilevel"/>
    <w:lvl w:ilvl="0">
      <w:lvlJc w:val="left"/>
      <w:lvlText w:val="(%1)"/>
      <w:numFmt w:val="lowerLetter"/>
      <w:start w:val="61"/>
    </w:lvl>
    <w:lvl w:ilvl="1">
      <w:lvlJc w:val="left"/>
      <w:lvlText w:val="(%2)"/>
      <w:numFmt w:val="lowerLetter"/>
      <w:start w:val="4"/>
    </w:lvl>
  </w:abstractNum>
  <w:abstractNum w:abstractNumId="72">
    <w:nsid w:val="3410ED56"/>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abstractNum>
  <w:abstractNum w:abstractNumId="73">
    <w:nsid w:val="23C04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4">
    <w:nsid w:val="5BDA35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496FB218"/>
    <w:multiLevelType w:val="hybridMultilevel"/>
    <w:lvl w:ilvl="0">
      <w:lvlJc w:val="left"/>
      <w:lvlText w:val="(%1)"/>
      <w:numFmt w:val="decimal"/>
      <w:start w:val="24"/>
    </w:lvl>
    <w:lvl w:ilvl="1">
      <w:lvlJc w:val="left"/>
      <w:lvlText w:val="(%2)"/>
      <w:numFmt w:val="lowerLetter"/>
      <w:start w:val="3"/>
    </w:lvl>
    <w:lvl w:ilvl="2">
      <w:lvlJc w:val="left"/>
      <w:lvlText w:val="%3"/>
      <w:numFmt w:val="lowerRoman"/>
      <w:start w:val="1"/>
    </w:lvl>
  </w:abstractNum>
  <w:abstractNum w:abstractNumId="76">
    <w:nsid w:val="680EA5D1"/>
    <w:multiLevelType w:val="hybridMultilevel"/>
    <w:lvl w:ilvl="0">
      <w:lvlJc w:val="left"/>
      <w:lvlText w:val="3"/>
      <w:numFmt w:val="bullet"/>
      <w:start w:val="1"/>
    </w:lvl>
  </w:abstractNum>
  <w:abstractNum w:abstractNumId="77">
    <w:nsid w:val="4A9554FE"/>
    <w:multiLevelType w:val="hybridMultilevel"/>
    <w:lvl w:ilvl="0">
      <w:lvlJc w:val="left"/>
      <w:lvlText w:val="4"/>
      <w:numFmt w:val="bullet"/>
      <w:start w:val="1"/>
    </w:lvl>
    <w:lvl w:ilvl="1">
      <w:lvlJc w:val="left"/>
      <w:lvlText w:val="(%2)"/>
      <w:numFmt w:val="lowerLetter"/>
      <w:start w:val="1"/>
    </w:lvl>
  </w:abstractNum>
  <w:abstractNum w:abstractNumId="78">
    <w:nsid w:val="392EDBE4"/>
    <w:multiLevelType w:val="hybridMultilevel"/>
    <w:lvl w:ilvl="0">
      <w:lvlJc w:val="left"/>
      <w:lvlText w:val="%1."/>
      <w:numFmt w:val="decimal"/>
      <w:start w:val="1"/>
    </w:lvl>
    <w:lvl w:ilvl="1">
      <w:lvlJc w:val="left"/>
      <w:lvlText w:val="(%2)"/>
      <w:numFmt w:val="lowerLetter"/>
      <w:start w:val="1"/>
    </w:lvl>
  </w:abstractNum>
  <w:abstractNum w:abstractNumId="79">
    <w:nsid w:val="3D1A2DD9"/>
    <w:multiLevelType w:val="hybridMultilevel"/>
    <w:lvl w:ilvl="0">
      <w:lvlJc w:val="left"/>
      <w:lvlText w:val="(%1)"/>
      <w:numFmt w:val="lowerLetter"/>
      <w:start w:val="3"/>
    </w:lvl>
  </w:abstractNum>
  <w:abstractNum w:abstractNumId="80">
    <w:nsid w:val="7F618FCD"/>
    <w:multiLevelType w:val="hybridMultilevel"/>
    <w:lvl w:ilvl="0">
      <w:lvlJc w:val="left"/>
      <w:lvlText w:val="%1."/>
      <w:numFmt w:val="decimal"/>
      <w:start w:val="2"/>
    </w:lvl>
  </w:abstractNum>
  <w:abstractNum w:abstractNumId="81">
    <w:nsid w:val="7843E45"/>
    <w:multiLevelType w:val="hybridMultilevel"/>
    <w:lvl w:ilvl="0">
      <w:lvlJc w:val="left"/>
      <w:lvlText w:val="A"/>
      <w:numFmt w:val="bullet"/>
      <w:start w:val="1"/>
    </w:lvl>
  </w:abstractNum>
  <w:abstractNum w:abstractNumId="82">
    <w:nsid w:val="9815DA3"/>
    <w:multiLevelType w:val="hybridMultilevel"/>
    <w:lvl w:ilvl="0">
      <w:lvlJc w:val="left"/>
      <w:lvlText w:val="B"/>
      <w:numFmt w:val="bullet"/>
      <w:start w:val="1"/>
    </w:lvl>
  </w:abstractNum>
  <w:abstractNum w:abstractNumId="83">
    <w:nsid w:val="5204A191"/>
    <w:multiLevelType w:val="hybridMultilevel"/>
    <w:lvl w:ilvl="0">
      <w:lvlJc w:val="left"/>
      <w:lvlText w:val="(%1)"/>
      <w:numFmt w:val="lowerRoman"/>
      <w:start w:val="3"/>
    </w:lvl>
  </w:abstractNum>
  <w:abstractNum w:abstractNumId="84">
    <w:nsid w:val="4C73A9C6"/>
    <w:multiLevelType w:val="hybridMultilevel"/>
    <w:lvl w:ilvl="0">
      <w:lvlJc w:val="left"/>
      <w:lvlText w:val="(%1)"/>
      <w:numFmt w:val="decimal"/>
      <w:start w:val="1"/>
    </w:lvl>
  </w:abstractNum>
  <w:abstractNum w:abstractNumId="85">
    <w:nsid w:val="1C7E3C01"/>
    <w:multiLevelType w:val="hybridMultilevel"/>
    <w:lvl w:ilvl="0">
      <w:lvlJc w:val="left"/>
      <w:lvlText w:val="(%1)"/>
      <w:numFmt w:val="decimal"/>
      <w:start w:val="1"/>
    </w:lvl>
  </w:abstractNum>
  <w:abstractNum w:abstractNumId="86">
    <w:nsid w:val="1C2201FF"/>
    <w:multiLevelType w:val="hybridMultilevel"/>
    <w:lvl w:ilvl="0">
      <w:lvlJc w:val="left"/>
      <w:lvlText w:val="(%1)"/>
      <w:numFmt w:val="lowerLetter"/>
      <w:start w:val="1"/>
    </w:lvl>
  </w:abstractNum>
  <w:abstractNum w:abstractNumId="87">
    <w:nsid w:val="50ABCEC9"/>
    <w:multiLevelType w:val="hybridMultilevel"/>
    <w:lvl w:ilvl="0">
      <w:lvlJc w:val="left"/>
      <w:lvlText w:val="(%1)"/>
      <w:numFmt w:val="decimal"/>
      <w:start w:val="2"/>
    </w:lvl>
  </w:abstractNum>
  <w:abstractNum w:abstractNumId="88">
    <w:nsid w:val="7635AA2A"/>
    <w:multiLevelType w:val="hybridMultilevel"/>
    <w:lvl w:ilvl="0">
      <w:lvlJc w:val="left"/>
      <w:lvlText w:val="(%1)"/>
      <w:numFmt w:val="lowerRoman"/>
      <w:start w:val="2"/>
    </w:lvl>
  </w:abstractNum>
  <w:abstractNum w:abstractNumId="89">
    <w:nsid w:val="5E74C4D9"/>
    <w:multiLevelType w:val="hybridMultilevel"/>
    <w:lvl w:ilvl="0">
      <w:lvlJc w:val="left"/>
      <w:lvlText w:val="(%1)"/>
      <w:numFmt w:val="decimal"/>
      <w:start w:val="1"/>
    </w:lvl>
  </w:abstractNum>
  <w:abstractNum w:abstractNumId="90">
    <w:nsid w:val="3B3EBE15"/>
    <w:multiLevelType w:val="hybridMultilevel"/>
    <w:lvl w:ilvl="0">
      <w:lvlJc w:val="left"/>
      <w:lvlText w:val="(%1)"/>
      <w:numFmt w:val="decimal"/>
      <w:start w:val="1"/>
    </w:lvl>
  </w:abstractNum>
  <w:abstractNum w:abstractNumId="91">
    <w:nsid w:val="3822CB01"/>
    <w:multiLevelType w:val="hybridMultilevel"/>
    <w:lvl w:ilvl="0">
      <w:lvlJc w:val="left"/>
      <w:lvlText w:val="(%1)"/>
      <w:numFmt w:val="decimal"/>
      <w:start w:val="2"/>
    </w:lvl>
  </w:abstractNum>
  <w:abstractNum w:abstractNumId="92">
    <w:nsid w:val="6CE00443"/>
    <w:multiLevelType w:val="hybridMultilevel"/>
    <w:lvl w:ilvl="0">
      <w:lvlJc w:val="left"/>
      <w:lvlText w:val="(%1)"/>
      <w:numFmt w:val="decimal"/>
      <w:start w:val="1"/>
    </w:lvl>
  </w:abstractNum>
  <w:abstractNum w:abstractNumId="93">
    <w:nsid w:val="79F0D62F"/>
    <w:multiLevelType w:val="hybridMultilevel"/>
    <w:lvl w:ilvl="0">
      <w:lvlJc w:val="left"/>
      <w:lvlText w:val="(%1)"/>
      <w:numFmt w:val="lowerLetter"/>
      <w:start w:val="1"/>
    </w:lvl>
  </w:abstractNum>
  <w:abstractNum w:abstractNumId="94">
    <w:nsid w:val="7975E8EE"/>
    <w:multiLevelType w:val="hybridMultilevel"/>
    <w:lvl w:ilvl="0">
      <w:lvlJc w:val="left"/>
      <w:lvlText w:val="(%1)"/>
      <w:numFmt w:val="lowerRoman"/>
      <w:start w:val="2"/>
    </w:lvl>
  </w:abstractNum>
  <w:abstractNum w:abstractNumId="95">
    <w:nsid w:val="73154115"/>
    <w:multiLevelType w:val="hybridMultilevel"/>
    <w:lvl w:ilvl="0">
      <w:lvlJc w:val="left"/>
      <w:lvlText w:val="(%1)"/>
      <w:numFmt w:val="decimal"/>
      <w:start w:val="2"/>
    </w:lvl>
  </w:abstractNum>
  <w:abstractNum w:abstractNumId="96">
    <w:nsid w:val="622D8102"/>
    <w:multiLevelType w:val="hybridMultilevel"/>
    <w:lvl w:ilvl="0">
      <w:lvlJc w:val="left"/>
      <w:lvlText w:val="(%1)"/>
      <w:numFmt w:val="lowerLetter"/>
      <w:start w:val="2"/>
    </w:lvl>
  </w:abstractNum>
  <w:abstractNum w:abstractNumId="97">
    <w:nsid w:val="2AB26587"/>
    <w:multiLevelType w:val="hybridMultilevel"/>
    <w:lvl w:ilvl="0">
      <w:lvlJc w:val="left"/>
      <w:lvlText w:val="(%1)"/>
      <w:numFmt w:val="decimal"/>
      <w:start w:val="2"/>
    </w:lvl>
  </w:abstractNum>
  <w:abstractNum w:abstractNumId="98">
    <w:nsid w:val="44B3FA61"/>
    <w:multiLevelType w:val="hybridMultilevel"/>
    <w:lvl w:ilvl="0">
      <w:lvlJc w:val="left"/>
      <w:lvlText w:val="(%1)"/>
      <w:numFmt w:val="lowerLetter"/>
      <w:start w:val="1"/>
    </w:lvl>
  </w:abstractNum>
  <w:abstractNum w:abstractNumId="99">
    <w:nsid w:val="1C0CA67C"/>
    <w:multiLevelType w:val="hybridMultilevel"/>
    <w:lvl w:ilvl="0">
      <w:lvlJc w:val="left"/>
      <w:lvlText w:val="%1"/>
      <w:numFmt w:val="lowerLetter"/>
      <w:start w:val="1"/>
    </w:lvl>
    <w:lvl w:ilvl="1">
      <w:lvlJc w:val="left"/>
      <w:lvlText w:val="(%2)"/>
      <w:numFmt w:val="lowerLetter"/>
      <w:start w:val="1"/>
    </w:lvl>
  </w:abstractNum>
  <w:abstractNum w:abstractNumId="100">
    <w:nsid w:val="3D206613"/>
    <w:multiLevelType w:val="hybridMultilevel"/>
    <w:lvl w:ilvl="0">
      <w:lvlJc w:val="left"/>
      <w:lvlText w:val="(%1)"/>
      <w:numFmt w:val="lowerLetter"/>
      <w:start w:val="35"/>
    </w:lvl>
    <w:lvl w:ilvl="1">
      <w:lvlJc w:val="left"/>
      <w:lvlText w:val="(%2)"/>
      <w:numFmt w:val="lowerLetter"/>
      <w:start w:val="4"/>
    </w:lvl>
  </w:abstractNum>
  <w:abstractNum w:abstractNumId="101">
    <w:nsid w:val="7993B662"/>
    <w:multiLevelType w:val="hybridMultilevel"/>
    <w:lvl w:ilvl="0">
      <w:lvlJc w:val="left"/>
      <w:lvlText w:val="(%1)"/>
      <w:numFmt w:val="decimal"/>
      <w:start w:val="1"/>
    </w:lvl>
  </w:abstractNum>
  <w:abstractNum w:abstractNumId="102">
    <w:nsid w:val="3BAB699E"/>
    <w:multiLevelType w:val="hybridMultilevel"/>
    <w:lvl w:ilvl="0">
      <w:lvlJc w:val="left"/>
      <w:lvlText w:val="(%1)"/>
      <w:numFmt w:val="lowerLetter"/>
      <w:start w:val="1"/>
    </w:lvl>
  </w:abstractNum>
  <w:abstractNum w:abstractNumId="103">
    <w:nsid w:val="71315369"/>
    <w:multiLevelType w:val="hybridMultilevel"/>
    <w:lvl w:ilvl="0">
      <w:lvlJc w:val="left"/>
      <w:lvlText w:val="(%1)"/>
      <w:numFmt w:val="lowerLetter"/>
      <w:start w:val="2"/>
    </w:lvl>
  </w:abstractNum>
  <w:abstractNum w:abstractNumId="104">
    <w:nsid w:val="7BCFBAFC"/>
    <w:multiLevelType w:val="hybridMultilevel"/>
    <w:lvl w:ilvl="0">
      <w:lvlJc w:val="left"/>
      <w:lvlText w:val="(%1)"/>
      <w:numFmt w:val="lowerLetter"/>
      <w:start w:val="1"/>
    </w:lvl>
  </w:abstractNum>
  <w:abstractNum w:abstractNumId="105">
    <w:nsid w:val="17859F72"/>
    <w:multiLevelType w:val="hybridMultilevel"/>
    <w:lvl w:ilvl="0">
      <w:lvlJc w:val="left"/>
      <w:lvlText w:val="(%1)"/>
      <w:numFmt w:val="lowerLetter"/>
      <w:start w:val="1"/>
    </w:lvl>
  </w:abstractNum>
  <w:abstractNum w:abstractNumId="106">
    <w:nsid w:val="3AA10581"/>
    <w:multiLevelType w:val="hybridMultilevel"/>
    <w:lvl w:ilvl="0">
      <w:lvlJc w:val="left"/>
      <w:lvlText w:val="(%1)"/>
      <w:numFmt w:val="lowerRoman"/>
      <w:start w:val="3"/>
    </w:lvl>
  </w:abstractNum>
  <w:abstractNum w:abstractNumId="107">
    <w:nsid w:val="63DE60CD"/>
    <w:multiLevelType w:val="hybridMultilevel"/>
    <w:lvl w:ilvl="0">
      <w:lvlJc w:val="left"/>
      <w:lvlText w:val="(%1)"/>
      <w:numFmt w:val="lowerRoman"/>
      <w:start w:val="1"/>
    </w:lvl>
  </w:abstractNum>
  <w:abstractNum w:abstractNumId="108">
    <w:nsid w:val="621AF471"/>
    <w:multiLevelType w:val="hybridMultilevel"/>
    <w:lvl w:ilvl="0">
      <w:lvlJc w:val="left"/>
      <w:lvlText w:val="(%1)"/>
      <w:numFmt w:val="lowerRoman"/>
      <w:start w:val="10"/>
    </w:lvl>
  </w:abstractNum>
  <w:abstractNum w:abstractNumId="109">
    <w:nsid w:val="73CFE165"/>
    <w:multiLevelType w:val="hybridMultilevel"/>
    <w:lvl w:ilvl="0">
      <w:lvlJc w:val="left"/>
      <w:lvlText w:val="(%1)"/>
      <w:numFmt w:val="lowerRoman"/>
      <w:start w:val="6"/>
    </w:lvl>
  </w:abstractNum>
  <w:abstractNum w:abstractNumId="110">
    <w:nsid w:val="20F88EA6"/>
    <w:multiLevelType w:val="hybridMultilevel"/>
    <w:lvl w:ilvl="0">
      <w:lvlJc w:val="left"/>
      <w:lvlText w:val="(%1)"/>
      <w:numFmt w:val="lowerLetter"/>
      <w:start w:val="2"/>
    </w:lvl>
  </w:abstractNum>
  <w:abstractNum w:abstractNumId="111">
    <w:nsid w:val="617C843E"/>
    <w:multiLevelType w:val="hybridMultilevel"/>
    <w:lvl w:ilvl="0">
      <w:lvlJc w:val="left"/>
      <w:lvlText w:val="(%1)"/>
      <w:numFmt w:val="lowerLetter"/>
      <w:start w:val="1"/>
    </w:lvl>
  </w:abstractNum>
  <w:abstractNum w:abstractNumId="112">
    <w:nsid w:val="7B541FAB"/>
    <w:multiLevelType w:val="hybridMultilevel"/>
    <w:lvl w:ilvl="0">
      <w:lvlJc w:val="left"/>
      <w:lvlText w:val="(%1)"/>
      <w:numFmt w:val="lowerLetter"/>
      <w:start w:val="4"/>
    </w:lvl>
  </w:abstractNum>
  <w:abstractNum w:abstractNumId="113">
    <w:nsid w:val="2A79EC49"/>
    <w:multiLevelType w:val="hybridMultilevel"/>
    <w:lvl w:ilvl="0">
      <w:lvlJc w:val="left"/>
      <w:lvlText w:val="(%1)"/>
      <w:numFmt w:val="lowerRoman"/>
      <w:start w:val="1"/>
    </w:lvl>
  </w:abstractNum>
  <w:abstractNum w:abstractNumId="114">
    <w:nsid w:val="338125CF"/>
    <w:multiLevelType w:val="hybridMultilevel"/>
    <w:lvl w:ilvl="0">
      <w:lvlJc w:val="left"/>
      <w:lvlText w:val="%1"/>
      <w:numFmt w:val="upperLetter"/>
      <w:start w:val="1"/>
    </w:lvl>
    <w:lvl w:ilvl="1">
      <w:lvlJc w:val="left"/>
      <w:lvlText w:val="(%2)"/>
      <w:numFmt w:val="lowerLetter"/>
      <w:start w:val="1"/>
    </w:lvl>
  </w:abstractNum>
  <w:abstractNum w:abstractNumId="115">
    <w:nsid w:val="47C7C971"/>
    <w:multiLevelType w:val="hybridMultilevel"/>
    <w:lvl w:ilvl="0">
      <w:lvlJc w:val="left"/>
      <w:lvlText w:val="(%1)"/>
      <w:numFmt w:val="upperLetter"/>
      <w:start w:val="4"/>
    </w:lvl>
    <w:lvl w:ilvl="1">
      <w:lvlJc w:val="left"/>
      <w:lvlText w:val="%2"/>
      <w:numFmt w:val="lowerLetter"/>
      <w:start w:val="1"/>
    </w:lvl>
  </w:abstractNum>
  <w:abstractNum w:abstractNumId="116">
    <w:nsid w:val="46F8284B"/>
    <w:multiLevelType w:val="hybridMultilevel"/>
    <w:lvl w:ilvl="0">
      <w:lvlJc w:val="left"/>
      <w:lvlText w:val="(%1)"/>
      <w:numFmt w:val="lowerLetter"/>
      <w:start w:val="2"/>
    </w:lvl>
  </w:abstractNum>
  <w:abstractNum w:abstractNumId="117">
    <w:nsid w:val="4FA327CE"/>
    <w:multiLevelType w:val="hybridMultilevel"/>
    <w:lvl w:ilvl="0">
      <w:lvlJc w:val="left"/>
      <w:lvlText w:val="(%1)"/>
      <w:numFmt w:val="lowerLetter"/>
      <w:start w:val="26"/>
    </w:lvl>
  </w:abstractNum>
  <w:abstractNum w:abstractNumId="118">
    <w:nsid w:val="1873983A"/>
    <w:multiLevelType w:val="hybridMultilevel"/>
    <w:lvl w:ilvl="0">
      <w:lvlJc w:val="left"/>
      <w:lvlText w:val="(%1)"/>
      <w:numFmt w:val="lowerLetter"/>
      <w:start w:val="2"/>
    </w:lvl>
  </w:abstractNum>
  <w:abstractNum w:abstractNumId="119">
    <w:nsid w:val="3D2DD275"/>
    <w:multiLevelType w:val="hybridMultilevel"/>
    <w:lvl w:ilvl="0">
      <w:lvlJc w:val="left"/>
      <w:lvlText w:val="(%1)"/>
      <w:numFmt w:val="lowerLetter"/>
      <w:start w:val="1"/>
    </w:lvl>
  </w:abstractNum>
  <w:abstractNum w:abstractNumId="120">
    <w:nsid w:val="2E17ECA7"/>
    <w:multiLevelType w:val="hybridMultilevel"/>
    <w:lvl w:ilvl="0">
      <w:lvlJc w:val="left"/>
      <w:lvlText w:val="(%1)"/>
      <w:numFmt w:val="lowerLetter"/>
      <w:start w:val="1"/>
    </w:lvl>
  </w:abstractNum>
  <w:abstractNum w:abstractNumId="121">
    <w:nsid w:val="53B2564F"/>
    <w:multiLevelType w:val="hybridMultilevel"/>
    <w:lvl w:ilvl="0">
      <w:lvlJc w:val="left"/>
      <w:lvlText w:val="(%1)"/>
      <w:numFmt w:val="lowerLetter"/>
      <w:start w:val="2"/>
    </w:lvl>
  </w:abstractNum>
  <w:abstractNum w:abstractNumId="122">
    <w:nsid w:val="75509D76"/>
    <w:multiLevelType w:val="hybridMultilevel"/>
    <w:lvl w:ilvl="0">
      <w:lvlJc w:val="left"/>
      <w:lvlText w:val="(%1)"/>
      <w:numFmt w:val="lowerLetter"/>
      <w:start w:val="1"/>
    </w:lvl>
  </w:abstractNum>
  <w:abstractNum w:abstractNumId="123">
    <w:nsid w:val="1AF7F0EA"/>
    <w:multiLevelType w:val="hybridMultilevel"/>
    <w:lvl w:ilvl="0">
      <w:lvlJc w:val="left"/>
      <w:lvlText w:val="(%1)"/>
      <w:numFmt w:val="lowerLetter"/>
      <w:start w:val="1"/>
    </w:lvl>
  </w:abstractNum>
  <w:abstractNum w:abstractNumId="124">
    <w:nsid w:val="4DA32C7E"/>
    <w:multiLevelType w:val="hybridMultilevel"/>
    <w:lvl w:ilvl="0">
      <w:lvlJc w:val="left"/>
      <w:lvlText w:val="(%1)"/>
      <w:numFmt w:val="lowerLetter"/>
      <w:start w:val="4"/>
    </w:lvl>
  </w:abstractNum>
  <w:abstractNum w:abstractNumId="125">
    <w:nsid w:val="6EC68664"/>
    <w:multiLevelType w:val="hybridMultilevel"/>
    <w:lvl w:ilvl="0">
      <w:lvlJc w:val="left"/>
      <w:lvlText w:val="(%1)"/>
      <w:numFmt w:val="lowerLetter"/>
      <w:start w:val="1"/>
    </w:lvl>
  </w:abstractNum>
  <w:abstractNum w:abstractNumId="126">
    <w:nsid w:val="E0D31FF"/>
    <w:multiLevelType w:val="hybridMultilevel"/>
    <w:lvl w:ilvl="0">
      <w:lvlJc w:val="left"/>
      <w:lvlText w:val="%1"/>
      <w:numFmt w:val="lowerLetter"/>
      <w:start w:val="1"/>
    </w:lvl>
    <w:lvl w:ilvl="1">
      <w:lvlJc w:val="left"/>
      <w:lvlText w:val="(%2)"/>
      <w:numFmt w:val="lowerLetter"/>
      <w:start w:val="1"/>
    </w:lvl>
  </w:abstractNum>
  <w:abstractNum w:abstractNumId="127">
    <w:nsid w:val="2FD0AD81"/>
    <w:multiLevelType w:val="hybridMultilevel"/>
    <w:lvl w:ilvl="0">
      <w:lvlJc w:val="left"/>
      <w:lvlText w:val="(%1)"/>
      <w:numFmt w:val="lowerLetter"/>
      <w:start w:val="35"/>
    </w:lvl>
    <w:lvl w:ilvl="1">
      <w:lvlJc w:val="left"/>
      <w:lvlText w:val="%2"/>
      <w:numFmt w:val="lowerLetter"/>
      <w:start w:val="1"/>
    </w:lvl>
  </w:abstractNum>
  <w:abstractNum w:abstractNumId="128">
    <w:nsid w:val="1978EBEB"/>
    <w:multiLevelType w:val="hybridMultilevel"/>
    <w:lvl w:ilvl="0">
      <w:lvlJc w:val="left"/>
      <w:lvlText w:val="(%1)"/>
      <w:numFmt w:val="lowerLetter"/>
      <w:start w:val="35"/>
    </w:lvl>
    <w:lvl w:ilvl="1">
      <w:lvlJc w:val="left"/>
      <w:lvlText w:val="%2"/>
      <w:numFmt w:val="lowerLetter"/>
      <w:start w:val="1"/>
    </w:lvl>
  </w:abstractNum>
  <w:abstractNum w:abstractNumId="129">
    <w:nsid w:val="52C12C61"/>
    <w:multiLevelType w:val="hybridMultilevel"/>
    <w:lvl w:ilvl="0">
      <w:lvlJc w:val="left"/>
      <w:lvlText w:val="(%1)"/>
      <w:numFmt w:val="lowerLetter"/>
      <w:start w:val="22"/>
    </w:lvl>
    <w:lvl w:ilvl="1">
      <w:lvlJc w:val="left"/>
      <w:lvlText w:val="(%2)"/>
      <w:numFmt w:val="lowerLetter"/>
      <w:start w:val="2"/>
    </w:lvl>
  </w:abstractNum>
  <w:abstractNum w:abstractNumId="130">
    <w:nsid w:val="4BDD53FD"/>
    <w:multiLevelType w:val="hybridMultilevel"/>
    <w:lvl w:ilvl="0">
      <w:lvlJc w:val="left"/>
      <w:lvlText w:val="(%1)"/>
      <w:numFmt w:val="lowerLetter"/>
      <w:start w:val="9"/>
    </w:lvl>
    <w:lvl w:ilvl="1">
      <w:lvlJc w:val="left"/>
      <w:lvlText w:val="(%2)"/>
      <w:numFmt w:val="lowerLetter"/>
      <w:start w:val="3"/>
    </w:lvl>
  </w:abstractNum>
  <w:abstractNum w:abstractNumId="131">
    <w:nsid w:val="569951FE"/>
    <w:multiLevelType w:val="hybridMultilevel"/>
    <w:lvl w:ilvl="0">
      <w:lvlJc w:val="left"/>
      <w:lvlText w:val="(%1)"/>
      <w:numFmt w:val="lowerLetter"/>
      <w:start w:val="1"/>
    </w:lvl>
  </w:abstractNum>
  <w:abstractNum w:abstractNumId="132">
    <w:nsid w:val="4C54E2C3"/>
    <w:multiLevelType w:val="hybridMultilevel"/>
    <w:lvl w:ilvl="0">
      <w:lvlJc w:val="left"/>
      <w:lvlText w:val="(%1)"/>
      <w:numFmt w:val="lowerLetter"/>
      <w:start w:val="2"/>
    </w:lvl>
    <w:lvl w:ilvl="1">
      <w:lvlJc w:val="left"/>
      <w:lvlText w:val="(%2)"/>
      <w:numFmt w:val="lowerRoman"/>
      <w:start w:val="1"/>
    </w:lvl>
  </w:abstractNum>
  <w:abstractNum w:abstractNumId="133">
    <w:nsid w:val="788BD9B"/>
    <w:multiLevelType w:val="hybridMultilevel"/>
    <w:lvl w:ilvl="0">
      <w:lvlJc w:val="left"/>
      <w:lvlText w:val="%1"/>
      <w:numFmt w:val="decimal"/>
      <w:start w:val="1"/>
    </w:lvl>
    <w:lvl w:ilvl="1">
      <w:lvlJc w:val="left"/>
      <w:lvlText w:val="(%2)"/>
      <w:numFmt w:val="lowerRoman"/>
      <w:start w:val="3"/>
    </w:lvl>
  </w:abstractNum>
  <w:abstractNum w:abstractNumId="134">
    <w:nsid w:val="47CAA567"/>
    <w:multiLevelType w:val="hybridMultilevel"/>
    <w:lvl w:ilvl="0">
      <w:lvlJc w:val="left"/>
      <w:lvlText w:val="(%1)"/>
      <w:numFmt w:val="decimal"/>
      <w:start w:val="3"/>
    </w:lvl>
    <w:lvl w:ilvl="1">
      <w:lvlJc w:val="left"/>
      <w:lvlText w:val="%2"/>
      <w:numFmt w:val="lowerRoman"/>
      <w:start w:val="1"/>
    </w:lvl>
  </w:abstractNum>
  <w:abstractNum w:abstractNumId="135">
    <w:nsid w:val="48249DBF"/>
    <w:multiLevelType w:val="hybridMultilevel"/>
    <w:lvl w:ilvl="0">
      <w:lvlJc w:val="left"/>
      <w:lvlText w:val="%1"/>
      <w:numFmt w:val="lowerRoman"/>
      <w:start w:val="1"/>
    </w:lvl>
    <w:lvl w:ilvl="1">
      <w:lvlJc w:val="left"/>
      <w:lvlText w:val="(%2)"/>
      <w:numFmt w:val="lowerRoman"/>
      <w:start w:val="7"/>
    </w:lvl>
  </w:abstractNum>
  <w:abstractNum w:abstractNumId="136">
    <w:nsid w:val="1F0E5D0D"/>
    <w:multiLevelType w:val="hybridMultilevel"/>
    <w:lvl w:ilvl="0">
      <w:lvlJc w:val="left"/>
      <w:lvlText w:val="(%1)"/>
      <w:numFmt w:val="lowerRoman"/>
      <w:start w:val="4"/>
    </w:lvl>
    <w:lvl w:ilvl="1">
      <w:lvlJc w:val="left"/>
      <w:lvlText w:val="%2"/>
      <w:numFmt w:val="lowerRoman"/>
      <w:start w:val="1"/>
    </w:lvl>
  </w:abstractNum>
  <w:abstractNum w:abstractNumId="137">
    <w:nsid w:val="26BAAE9"/>
    <w:multiLevelType w:val="hybridMultilevel"/>
    <w:lvl w:ilvl="0">
      <w:lvlJc w:val="left"/>
      <w:lvlText w:val="(%1)"/>
      <w:numFmt w:val="lowerLetter"/>
      <w:start w:val="3"/>
    </w:lvl>
  </w:abstractNum>
  <w:abstractNum w:abstractNumId="138">
    <w:nsid w:val="2C02FE8C"/>
    <w:multiLevelType w:val="hybridMultilevel"/>
    <w:lvl w:ilvl="0">
      <w:lvlJc w:val="left"/>
      <w:lvlText w:val="(%1)"/>
      <w:numFmt w:val="lowerLetter"/>
      <w:start w:val="1"/>
    </w:lvl>
  </w:abstractNum>
  <w:abstractNum w:abstractNumId="139">
    <w:nsid w:val="129517E"/>
    <w:multiLevelType w:val="hybridMultilevel"/>
    <w:lvl w:ilvl="0">
      <w:lvlJc w:val="left"/>
      <w:lvlText w:val="(%1)"/>
      <w:numFmt w:val="lowerLetter"/>
      <w:start w:val="1"/>
    </w:lvl>
    <w:lvl w:ilvl="1">
      <w:lvlJc w:val="left"/>
      <w:lvlText w:val="(%2)"/>
      <w:numFmt w:val="lowerRoman"/>
      <w:start w:val="1"/>
    </w:lvl>
  </w:abstractNum>
  <w:abstractNum w:abstractNumId="140">
    <w:nsid w:val="763B8C4E"/>
    <w:multiLevelType w:val="hybridMultilevel"/>
    <w:lvl w:ilvl="0">
      <w:lvlJc w:val="left"/>
      <w:lvlText w:val="(%1)"/>
      <w:numFmt w:val="lowerLetter"/>
      <w:start w:val="1"/>
    </w:lvl>
    <w:lvl w:ilvl="1">
      <w:lvlJc w:val="left"/>
      <w:lvlText w:val="(%2)"/>
      <w:numFmt w:val="lowerRoman"/>
      <w:start w:val="1"/>
    </w:lvl>
  </w:abstractNum>
  <w:abstractNum w:abstractNumId="141">
    <w:nsid w:val="4CFB8D32"/>
    <w:multiLevelType w:val="hybridMultilevel"/>
    <w:lvl w:ilvl="0">
      <w:lvlJc w:val="left"/>
      <w:lvlText w:val="(%1)"/>
      <w:numFmt w:val="lowerLetter"/>
      <w:start w:val="1"/>
    </w:lvl>
  </w:abstractNum>
  <w:abstractNum w:abstractNumId="142">
    <w:nsid w:val="62A5D5BD"/>
    <w:multiLevelType w:val="hybridMultilevel"/>
    <w:lvl w:ilvl="0">
      <w:lvlJc w:val="left"/>
      <w:lvlText w:val="(%1)"/>
      <w:numFmt w:val="lowerLetter"/>
      <w:start w:val="2"/>
    </w:lvl>
    <w:lvl w:ilvl="1">
      <w:lvlJc w:val="left"/>
      <w:lvlText w:val="(%2)"/>
      <w:numFmt w:val="lowerLetter"/>
      <w:start w:val="9"/>
    </w:lvl>
  </w:abstractNum>
  <w:abstractNum w:abstractNumId="143">
    <w:nsid w:val="718FABF9"/>
    <w:multiLevelType w:val="hybridMultilevel"/>
    <w:lvl w:ilvl="0">
      <w:lvlJc w:val="left"/>
      <w:lvlText w:val="(%1)"/>
      <w:numFmt w:val="lowerLetter"/>
      <w:start w:val="3"/>
    </w:lvl>
  </w:abstractNum>
  <w:abstractNum w:abstractNumId="144">
    <w:nsid w:val="7775797C"/>
    <w:multiLevelType w:val="hybridMultilevel"/>
    <w:lvl w:ilvl="0">
      <w:lvlJc w:val="left"/>
      <w:lvlText w:val="(%1)"/>
      <w:numFmt w:val="lowerLetter"/>
      <w:start w:val="6"/>
    </w:lvl>
  </w:abstractNum>
  <w:abstractNum w:abstractNumId="145">
    <w:nsid w:val="1626FB8C"/>
    <w:multiLevelType w:val="hybridMultilevel"/>
    <w:lvl w:ilvl="0">
      <w:lvlJc w:val="left"/>
      <w:lvlText w:val="(%1)"/>
      <w:numFmt w:val="lowerRoman"/>
      <w:start w:val="1"/>
    </w:lvl>
  </w:abstractNum>
  <w:abstractNum w:abstractNumId="146">
    <w:nsid w:val="3957756A"/>
    <w:multiLevelType w:val="hybridMultilevel"/>
    <w:lvl w:ilvl="0">
      <w:lvlJc w:val="left"/>
      <w:lvlText w:val="(%1)"/>
      <w:numFmt w:val="lowerLetter"/>
      <w:start w:val="1"/>
    </w:lvl>
    <w:lvl w:ilvl="1">
      <w:lvlJc w:val="left"/>
      <w:lvlText w:val="(%2)"/>
      <w:numFmt w:val="lowerLetter"/>
      <w:start w:val="9"/>
    </w:lvl>
  </w:abstractNum>
  <w:abstractNum w:abstractNumId="147">
    <w:nsid w:val="3E6DA1C7"/>
    <w:multiLevelType w:val="hybridMultilevel"/>
    <w:lvl w:ilvl="0">
      <w:lvlJc w:val="left"/>
      <w:lvlText w:val="%1"/>
      <w:numFmt w:val="lowerLetter"/>
      <w:start w:val="1"/>
    </w:lvl>
    <w:lvl w:ilvl="1">
      <w:lvlJc w:val="left"/>
      <w:lvlText w:val="(%2)"/>
      <w:numFmt w:val="lowerLetter"/>
      <w:start w:val="35"/>
    </w:lvl>
  </w:abstractNum>
  <w:abstractNum w:abstractNumId="148">
    <w:nsid w:val="65CA235B"/>
    <w:multiLevelType w:val="hybridMultilevel"/>
    <w:lvl w:ilvl="0">
      <w:lvlJc w:val="left"/>
      <w:lvlText w:val="(%1)"/>
      <w:numFmt w:val="lowerLetter"/>
      <w:start w:val="2"/>
    </w:lvl>
    <w:lvl w:ilvl="1">
      <w:lvlJc w:val="left"/>
      <w:lvlText w:val="%2"/>
      <w:numFmt w:val="lowerLetter"/>
      <w:start w:val="1"/>
    </w:lvl>
  </w:abstractNum>
  <w:abstractNum w:abstractNumId="149">
    <w:nsid w:val="51CB0DA4"/>
    <w:multiLevelType w:val="hybridMultilevel"/>
    <w:lvl w:ilvl="0">
      <w:lvlJc w:val="left"/>
      <w:lvlText w:val="(%1)"/>
      <w:numFmt w:val="lowerLetter"/>
      <w:start w:val="1"/>
    </w:lvl>
  </w:abstractNum>
  <w:abstractNum w:abstractNumId="150">
    <w:nsid w:val="7B9B743C"/>
    <w:multiLevelType w:val="hybridMultilevel"/>
    <w:lvl w:ilvl="0">
      <w:lvlJc w:val="left"/>
      <w:lvlText w:val="(%1)"/>
      <w:numFmt w:val="lowerLetter"/>
      <w:start w:val="3"/>
    </w:lvl>
    <w:lvl w:ilvl="1">
      <w:lvlJc w:val="left"/>
      <w:lvlText w:val="(%2)"/>
      <w:numFmt w:val="lowerRoman"/>
      <w:start w:val="1"/>
    </w:lvl>
  </w:abstractNum>
  <w:abstractNum w:abstractNumId="151">
    <w:nsid w:val="13E210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2">
    <w:nsid w:val="257D63F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53">
    <w:nsid w:val="70EC11B2"/>
    <w:multiLevelType w:val="hybridMultilevel"/>
    <w:lvl w:ilvl="0">
      <w:lvlJc w:val="left"/>
      <w:lvlText w:val="(%1)"/>
      <w:numFmt w:val="lowerLetter"/>
      <w:start w:val="8"/>
    </w:lvl>
  </w:abstractNum>
  <w:abstractNum w:abstractNumId="154">
    <w:nsid w:val="2EDA00ED"/>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155">
    <w:nsid w:val="7320907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Roman"/>
      <w:start w:val="9"/>
    </w:lvl>
    <w:lvl w:ilvl="4">
      <w:lvlJc w:val="left"/>
      <w:lvlText w:val="(%5)"/>
      <w:numFmt w:val="decimal"/>
      <w:start w:val="1"/>
    </w:lvl>
  </w:abstractNum>
  <w:abstractNum w:abstractNumId="156">
    <w:nsid w:val="5FB298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lvl w:ilvl="4">
      <w:lvlJc w:val="left"/>
      <w:lvlText w:val="(%5)"/>
      <w:numFmt w:val="decimal"/>
      <w:start w:val="2"/>
    </w:lvl>
  </w:abstractNum>
  <w:abstractNum w:abstractNumId="157">
    <w:nsid w:val="3CE732E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3"/>
    </w:lvl>
  </w:abstractNum>
  <w:abstractNum w:abstractNumId="158">
    <w:nsid w:val="22F13DF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59">
    <w:nsid w:val="792B840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60">
    <w:nsid w:val="FA85F4D"/>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61">
    <w:nsid w:val="6ECE91F0"/>
    <w:multiLevelType w:val="hybridMultilevel"/>
    <w:lvl w:ilvl="0">
      <w:lvlJc w:val="left"/>
      <w:lvlText w:val="(%1)"/>
      <w:numFmt w:val="lowerLetter"/>
      <w:start w:val="7"/>
    </w:lvl>
  </w:abstractNum>
  <w:abstractNum w:abstractNumId="162">
    <w:nsid w:val="4FC4D600"/>
    <w:multiLevelType w:val="hybridMultilevel"/>
    <w:lvl w:ilvl="0">
      <w:lvlJc w:val="left"/>
      <w:lvlText w:val="(%1)"/>
      <w:numFmt w:val="lowerLetter"/>
      <w:start w:val="1"/>
    </w:lvl>
    <w:lvl w:ilvl="1">
      <w:lvlJc w:val="left"/>
      <w:lvlText w:val="(%2)"/>
      <w:numFmt w:val="lowerRoman"/>
      <w:start w:val="1"/>
    </w:lvl>
  </w:abstractNum>
  <w:abstractNum w:abstractNumId="163">
    <w:nsid w:val="5BFD4210"/>
    <w:multiLevelType w:val="hybridMultilevel"/>
    <w:lvl w:ilvl="0">
      <w:lvlJc w:val="left"/>
      <w:lvlText w:val="(%1)"/>
      <w:numFmt w:val="lowerLetter"/>
      <w:start w:val="2"/>
    </w:lvl>
  </w:abstractNum>
  <w:abstractNum w:abstractNumId="164">
    <w:nsid w:val="76574F8B"/>
    <w:multiLevelType w:val="hybridMultilevel"/>
    <w:lvl w:ilvl="0">
      <w:lvlJc w:val="left"/>
      <w:lvlText w:val="%1"/>
      <w:numFmt w:val="decimal"/>
      <w:start w:val="1"/>
    </w:lvl>
    <w:lvl w:ilvl="1">
      <w:lvlJc w:val="left"/>
      <w:lvlText w:val="(%2)"/>
      <w:numFmt w:val="lowerLetter"/>
      <w:start w:val="3"/>
    </w:lvl>
  </w:abstractNum>
  <w:abstractNum w:abstractNumId="165">
    <w:nsid w:val="178F7B67"/>
    <w:multiLevelType w:val="hybridMultilevel"/>
    <w:lvl w:ilvl="0">
      <w:lvlJc w:val="left"/>
      <w:lvlText w:val="(%1)"/>
      <w:numFmt w:val="decimal"/>
      <w:start w:val="9"/>
    </w:lvl>
    <w:lvl w:ilvl="1">
      <w:lvlJc w:val="left"/>
      <w:lvlText w:val="(%2)"/>
      <w:numFmt w:val="lowerLetter"/>
      <w:start w:val="5"/>
    </w:lvl>
  </w:abstractNum>
  <w:abstractNum w:abstractNumId="166">
    <w:nsid w:val="2421DFCF"/>
    <w:multiLevelType w:val="hybridMultilevel"/>
    <w:lvl w:ilvl="0">
      <w:lvlJc w:val="left"/>
      <w:lvlText w:val="(%1)"/>
      <w:numFmt w:val="lowerLetter"/>
      <w:start w:val="1"/>
    </w:lvl>
  </w:abstractNum>
  <w:abstractNum w:abstractNumId="167">
    <w:nsid w:val="1565AC99"/>
    <w:multiLevelType w:val="hybridMultilevel"/>
    <w:lvl w:ilvl="0">
      <w:lvlJc w:val="left"/>
      <w:lvlText w:val="(%1)"/>
      <w:numFmt w:val="lowerLetter"/>
      <w:start w:val="1"/>
    </w:lvl>
  </w:abstractNum>
  <w:abstractNum w:abstractNumId="168">
    <w:nsid w:val="19FB26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9">
    <w:nsid w:val="5024DE5B"/>
    <w:multiLevelType w:val="hybridMultilevel"/>
    <w:lvl w:ilvl="0">
      <w:lvlJc w:val="left"/>
      <w:lvlText w:val="%1"/>
      <w:numFmt w:val="lowerRoman"/>
      <w:start w:val="1"/>
    </w:lvl>
    <w:lvl w:ilvl="1">
      <w:lvlJc w:val="left"/>
      <w:lvlText w:val="(%2)"/>
      <w:numFmt w:val="upperLetter"/>
      <w:start w:val="2"/>
    </w:lvl>
  </w:abstractNum>
  <w:abstractNum w:abstractNumId="170">
    <w:nsid w:val="168EFE17"/>
    <w:multiLevelType w:val="hybridMultilevel"/>
    <w:lvl w:ilvl="0">
      <w:lvlJc w:val="left"/>
      <w:lvlText w:val="(%1)"/>
      <w:numFmt w:val="lowerRoman"/>
      <w:start w:val="4"/>
    </w:lvl>
    <w:lvl w:ilvl="1">
      <w:lvlJc w:val="left"/>
      <w:lvlText w:val="%2"/>
      <w:numFmt w:val="upperLetter"/>
      <w:start w:val="1"/>
    </w:lvl>
  </w:abstractNum>
  <w:abstractNum w:abstractNumId="171">
    <w:nsid w:val="1036B29F"/>
    <w:multiLevelType w:val="hybridMultilevel"/>
    <w:lvl w:ilvl="0">
      <w:lvlJc w:val="left"/>
      <w:lvlText w:val="(%1)"/>
      <w:numFmt w:val="lowerRoman"/>
      <w:start w:val="9"/>
    </w:lvl>
  </w:abstractNum>
  <w:abstractNum w:abstractNumId="172">
    <w:nsid w:val="1D206B8E"/>
    <w:multiLevelType w:val="hybridMultilevel"/>
    <w:lvl w:ilvl="0">
      <w:lvlJc w:val="left"/>
      <w:lvlText w:val="(%1)"/>
      <w:numFmt w:val="lowerLetter"/>
      <w:start w:val="2"/>
    </w:lvl>
  </w:abstractNum>
  <w:abstractNum w:abstractNumId="173">
    <w:nsid w:val="7934D3D4"/>
    <w:multiLevelType w:val="hybridMultilevel"/>
    <w:lvl w:ilvl="0">
      <w:lvlJc w:val="left"/>
      <w:lvlText w:val="(%1)"/>
      <w:numFmt w:val="lowerLetter"/>
      <w:start w:val="1"/>
    </w:lvl>
  </w:abstractNum>
  <w:abstractNum w:abstractNumId="174">
    <w:nsid w:val="1C65E98"/>
    <w:multiLevelType w:val="hybridMultilevel"/>
    <w:lvl w:ilvl="0">
      <w:lvlJc w:val="left"/>
      <w:lvlText w:val="(%1)"/>
      <w:numFmt w:val="upperLetter"/>
      <w:start w:val="1"/>
    </w:lvl>
  </w:abstractNum>
  <w:abstractNum w:abstractNumId="175">
    <w:nsid w:val="1495E50A"/>
    <w:multiLevelType w:val="hybridMultilevel"/>
    <w:lvl w:ilvl="0">
      <w:lvlJc w:val="left"/>
      <w:lvlText w:val="(%1)"/>
      <w:numFmt w:val="lowerRoman"/>
      <w:start w:val="2"/>
    </w:lvl>
  </w:abstractNum>
  <w:abstractNum w:abstractNumId="176">
    <w:nsid w:val="F5BCF61"/>
    <w:multiLevelType w:val="hybridMultilevel"/>
    <w:lvl w:ilvl="0">
      <w:lvlJc w:val="left"/>
      <w:lvlText w:val="%1"/>
      <w:numFmt w:val="decimal"/>
      <w:start w:val="1"/>
    </w:lvl>
    <w:lvl w:ilvl="1">
      <w:lvlJc w:val="left"/>
      <w:lvlText w:val="(%2)"/>
      <w:numFmt w:val="lowerLetter"/>
      <w:start w:val="1"/>
    </w:lvl>
  </w:abstractNum>
  <w:abstractNum w:abstractNumId="177">
    <w:nsid w:val="3B1DD403"/>
    <w:multiLevelType w:val="hybridMultilevel"/>
    <w:lvl w:ilvl="0">
      <w:lvlJc w:val="left"/>
      <w:lvlText w:val="(%1)"/>
      <w:numFmt w:val="decimal"/>
      <w:start w:val="5"/>
    </w:lvl>
    <w:lvl w:ilvl="1">
      <w:lvlJc w:val="left"/>
      <w:lvlText w:val="(%2)"/>
      <w:numFmt w:val="lowerLetter"/>
      <w:start w:val="2"/>
    </w:lvl>
  </w:abstractNum>
  <w:abstractNum w:abstractNumId="178">
    <w:nsid w:val="530386D1"/>
    <w:multiLevelType w:val="hybridMultilevel"/>
    <w:lvl w:ilvl="0">
      <w:lvlJc w:val="left"/>
      <w:lvlText w:val="(%1)"/>
      <w:numFmt w:val="lowerLetter"/>
      <w:start w:val="1"/>
    </w:lvl>
  </w:abstractNum>
  <w:abstractNum w:abstractNumId="179">
    <w:nsid w:val="7525F2BC"/>
    <w:multiLevelType w:val="hybridMultilevel"/>
    <w:lvl w:ilvl="0">
      <w:lvlJc w:val="left"/>
      <w:lvlText w:val="%1"/>
      <w:numFmt w:val="lowerLetter"/>
      <w:start w:val="1"/>
    </w:lvl>
    <w:lvl w:ilvl="1">
      <w:lvlJc w:val="left"/>
      <w:lvlText w:val="(%2)"/>
      <w:numFmt w:val="lowerLetter"/>
      <w:start w:val="1"/>
    </w:lvl>
  </w:abstractNum>
  <w:abstractNum w:abstractNumId="180">
    <w:nsid w:val="CE8E1A7"/>
    <w:multiLevelType w:val="hybridMultilevel"/>
    <w:lvl w:ilvl="0">
      <w:lvlJc w:val="left"/>
      <w:lvlText w:val="(%1)"/>
      <w:numFmt w:val="lowerLetter"/>
      <w:start w:val="24"/>
    </w:lvl>
    <w:lvl w:ilvl="1">
      <w:lvlJc w:val="left"/>
      <w:lvlText w:val="(%2)"/>
      <w:numFmt w:val="lowerLetter"/>
      <w:start w:val="3"/>
    </w:lvl>
  </w:abstractNum>
  <w:abstractNum w:abstractNumId="181">
    <w:nsid w:val="4E9EFB0D"/>
    <w:multiLevelType w:val="hybridMultilevel"/>
    <w:lvl w:ilvl="0">
      <w:lvlJc w:val="left"/>
      <w:lvlText w:val="(%1)"/>
      <w:numFmt w:val="lowerLetter"/>
      <w:start w:val="9"/>
    </w:lvl>
  </w:abstractNum>
  <w:abstractNum w:abstractNumId="182">
    <w:nsid w:val="90802BE"/>
    <w:multiLevelType w:val="hybridMultilevel"/>
    <w:lvl w:ilvl="0">
      <w:lvlJc w:val="left"/>
      <w:lvlText w:val="(%1)"/>
      <w:numFmt w:val="lowerRoman"/>
      <w:start w:val="3"/>
    </w:lvl>
  </w:abstractNum>
  <w:abstractNum w:abstractNumId="183">
    <w:nsid w:val="3266459B"/>
    <w:multiLevelType w:val="hybridMultilevel"/>
    <w:lvl w:ilvl="0">
      <w:lvlJc w:val="left"/>
      <w:lvlText w:val="(%1)"/>
      <w:numFmt w:val="lowerLetter"/>
      <w:start w:val="1"/>
    </w:lvl>
  </w:abstractNum>
  <w:abstractNum w:abstractNumId="184">
    <w:nsid w:val="3F8B0CBF"/>
    <w:multiLevelType w:val="hybridMultilevel"/>
    <w:lvl w:ilvl="0">
      <w:lvlJc w:val="left"/>
      <w:lvlText w:val="(%1)"/>
      <w:numFmt w:val="lowerLetter"/>
      <w:start w:val="3"/>
    </w:lvl>
  </w:abstractNum>
  <w:abstractNum w:abstractNumId="185">
    <w:nsid w:val="37E203AB"/>
    <w:multiLevelType w:val="hybridMultilevel"/>
    <w:lvl w:ilvl="0">
      <w:lvlJc w:val="left"/>
      <w:lvlText w:val="%1"/>
      <w:numFmt w:val="decimal"/>
      <w:start w:val="1"/>
    </w:lvl>
    <w:lvl w:ilvl="1">
      <w:lvlJc w:val="left"/>
      <w:lvlText w:val="(%2)"/>
      <w:numFmt w:val="lowerLetter"/>
      <w:start w:val="1"/>
    </w:lvl>
  </w:abstractNum>
  <w:abstractNum w:abstractNumId="186">
    <w:nsid w:val="2586D60E"/>
    <w:multiLevelType w:val="hybridMultilevel"/>
    <w:lvl w:ilvl="0">
      <w:lvlJc w:val="left"/>
      <w:lvlText w:val="(%1)"/>
      <w:numFmt w:val="decimal"/>
      <w:start w:val="30"/>
    </w:lvl>
    <w:lvl w:ilvl="1">
      <w:lvlJc w:val="left"/>
      <w:lvlText w:val="(%2)"/>
      <w:numFmt w:val="lowerLetter"/>
      <w:start w:val="2"/>
    </w:lvl>
  </w:abstractNum>
  <w:abstractNum w:abstractNumId="187">
    <w:nsid w:val="1F3DA4D5"/>
    <w:multiLevelType w:val="hybridMultilevel"/>
    <w:lvl w:ilvl="0">
      <w:lvlJc w:val="left"/>
      <w:lvlText w:val="(%1)"/>
      <w:numFmt w:val="lowerLetter"/>
      <w:start w:val="1"/>
    </w:lvl>
  </w:abstractNum>
  <w:abstractNum w:abstractNumId="188">
    <w:nsid w:val="74C93698"/>
    <w:multiLevelType w:val="hybridMultilevel"/>
    <w:lvl w:ilvl="0">
      <w:lvlJc w:val="left"/>
      <w:lvlText w:val="(%1)"/>
      <w:numFmt w:val="lowerLetter"/>
      <w:start w:val="1"/>
    </w:lvl>
  </w:abstractNum>
  <w:abstractNum w:abstractNumId="189">
    <w:nsid w:val="48781401"/>
    <w:multiLevelType w:val="hybridMultilevel"/>
    <w:lvl w:ilvl="0">
      <w:lvlJc w:val="left"/>
      <w:lvlText w:val="(%1)"/>
      <w:numFmt w:val="lowerLetter"/>
      <w:start w:val="1"/>
    </w:lvl>
  </w:abstractNum>
  <w:abstractNum w:abstractNumId="190">
    <w:nsid w:val="186928D6"/>
    <w:multiLevelType w:val="hybridMultilevel"/>
    <w:lvl w:ilvl="0">
      <w:lvlJc w:val="left"/>
      <w:lvlText w:val="(%1)"/>
      <w:numFmt w:val="lowerLetter"/>
      <w:start w:val="2"/>
    </w:lvl>
    <w:lvl w:ilvl="1">
      <w:lvlJc w:val="left"/>
      <w:lvlText w:val="(%2)"/>
      <w:numFmt w:val="lowerRoman"/>
      <w:start w:val="1"/>
    </w:lvl>
  </w:abstractNum>
  <w:abstractNum w:abstractNumId="191">
    <w:nsid w:val="47195E5"/>
    <w:multiLevelType w:val="hybridMultilevel"/>
    <w:lvl w:ilvl="0">
      <w:lvlJc w:val="left"/>
      <w:lvlText w:val="(%1)"/>
      <w:numFmt w:val="lowerRoman"/>
      <w:start w:val="5"/>
    </w:lvl>
  </w:abstractNum>
  <w:abstractNum w:abstractNumId="192">
    <w:nsid w:val="3746A5F2"/>
    <w:multiLevelType w:val="hybridMultilevel"/>
    <w:lvl w:ilvl="0">
      <w:lvlJc w:val="left"/>
      <w:lvlText w:val="(%1)"/>
      <w:numFmt w:val="lowerLetter"/>
      <w:start w:val="6"/>
    </w:lvl>
  </w:abstractNum>
  <w:abstractNum w:abstractNumId="193">
    <w:nsid w:val="682DFED6"/>
    <w:multiLevelType w:val="hybridMultilevel"/>
    <w:lvl w:ilvl="0">
      <w:lvlJc w:val="left"/>
      <w:lvlText w:val="(%1)"/>
      <w:numFmt w:val="lowerLetter"/>
      <w:start w:val="7"/>
    </w:lvl>
  </w:abstractNum>
  <w:abstractNum w:abstractNumId="194">
    <w:nsid w:val="606ED7F6"/>
    <w:multiLevelType w:val="hybridMultilevel"/>
    <w:lvl w:ilvl="0">
      <w:lvlJc w:val="left"/>
      <w:lvlText w:val="(%1)"/>
      <w:numFmt w:val="lowerLetter"/>
      <w:start w:val="1"/>
    </w:lvl>
  </w:abstractNum>
  <w:abstractNum w:abstractNumId="195">
    <w:nsid w:val="2D9DF57D"/>
    <w:multiLevelType w:val="hybridMultilevel"/>
    <w:lvl w:ilvl="0">
      <w:lvlJc w:val="left"/>
      <w:lvlText w:val="(%1)"/>
      <w:numFmt w:val="lowerLetter"/>
      <w:start w:val="1"/>
    </w:lvl>
  </w:abstractNum>
  <w:abstractNum w:abstractNumId="196">
    <w:nsid w:val="7FBD7A3E"/>
    <w:multiLevelType w:val="hybridMultilevel"/>
    <w:lvl w:ilvl="0">
      <w:lvlJc w:val="left"/>
      <w:lvlText w:val="(%1)"/>
      <w:numFmt w:val="lowerLetter"/>
      <w:start w:val="5"/>
    </w:lvl>
  </w:abstractNum>
  <w:abstractNum w:abstractNumId="197">
    <w:nsid w:val="490B7C5"/>
    <w:multiLevelType w:val="hybridMultilevel"/>
    <w:lvl w:ilvl="0">
      <w:lvlJc w:val="left"/>
      <w:lvlText w:val="%1"/>
      <w:numFmt w:val="lowerLetter"/>
      <w:start w:val="1"/>
    </w:lvl>
    <w:lvl w:ilvl="1">
      <w:lvlJc w:val="left"/>
      <w:lvlText w:val="(%2)"/>
      <w:numFmt w:val="lowerLetter"/>
      <w:start w:val="10"/>
    </w:lvl>
  </w:abstractNum>
  <w:abstractNum w:abstractNumId="198">
    <w:nsid w:val="4303A216"/>
    <w:multiLevelType w:val="hybridMultilevel"/>
    <w:lvl w:ilvl="0">
      <w:lvlJc w:val="left"/>
      <w:lvlText w:val="(%1)"/>
      <w:numFmt w:val="lowerLetter"/>
      <w:start w:val="14"/>
    </w:lvl>
    <w:lvl w:ilvl="1">
      <w:lvlJc w:val="left"/>
      <w:lvlText w:val="(%2)"/>
      <w:numFmt w:val="lowerLetter"/>
      <w:start w:val="15"/>
    </w:lvl>
  </w:abstractNum>
  <w:abstractNum w:abstractNumId="199">
    <w:nsid w:val="19B8A08E"/>
    <w:multiLevelType w:val="hybridMultilevel"/>
    <w:lvl w:ilvl="0">
      <w:lvlJc w:val="left"/>
      <w:lvlText w:val="(%1)"/>
      <w:numFmt w:val="lowerLetter"/>
      <w:start w:val="1"/>
    </w:lvl>
  </w:abstractNum>
  <w:abstractNum w:abstractNumId="200">
    <w:nsid w:val="54B59621"/>
    <w:multiLevelType w:val="hybridMultilevel"/>
    <w:lvl w:ilvl="0">
      <w:lvlJc w:val="left"/>
      <w:lvlText w:val="%1"/>
      <w:numFmt w:val="lowerLetter"/>
      <w:start w:val="1"/>
    </w:lvl>
    <w:lvl w:ilvl="1">
      <w:lvlJc w:val="left"/>
      <w:lvlText w:val="(%2)"/>
      <w:numFmt w:val="lowerLetter"/>
      <w:start w:val="4"/>
    </w:lvl>
  </w:abstractNum>
  <w:abstractNum w:abstractNumId="201">
    <w:nsid w:val="5992A02E"/>
    <w:multiLevelType w:val="hybridMultilevel"/>
    <w:lvl w:ilvl="0">
      <w:lvlJc w:val="left"/>
      <w:lvlText w:val="(%1)"/>
      <w:numFmt w:val="lowerLetter"/>
      <w:start w:val="12"/>
    </w:lvl>
    <w:lvl w:ilvl="1">
      <w:lvlJc w:val="left"/>
      <w:lvlText w:val="(%2)"/>
      <w:numFmt w:val="lowerLetter"/>
      <w:start w:val="8"/>
    </w:lvl>
  </w:abstractNum>
  <w:abstractNum w:abstractNumId="202">
    <w:nsid w:val="29EF532D"/>
    <w:multiLevelType w:val="hybridMultilevel"/>
    <w:lvl w:ilvl="0">
      <w:lvlJc w:val="left"/>
      <w:lvlText w:val="%1"/>
      <w:numFmt w:val="lowerLetter"/>
      <w:start w:val="1"/>
    </w:lvl>
    <w:lvl w:ilvl="1">
      <w:lvlJc w:val="left"/>
      <w:lvlText w:val="(%2)"/>
      <w:numFmt w:val="lowerLetter"/>
      <w:start w:val="9"/>
    </w:lvl>
  </w:abstractNum>
  <w:abstractNum w:abstractNumId="203">
    <w:nsid w:val="71D601AF"/>
    <w:multiLevelType w:val="hybridMultilevel"/>
    <w:lvl w:ilvl="0">
      <w:lvlJc w:val="left"/>
      <w:lvlText w:val="(%1)"/>
      <w:numFmt w:val="lowerLetter"/>
      <w:start w:val="12"/>
    </w:lvl>
    <w:lvl w:ilvl="1">
      <w:lvlJc w:val="left"/>
      <w:lvlText w:val="(%2)"/>
      <w:numFmt w:val="lowerLetter"/>
      <w:start w:val="13"/>
    </w:lvl>
  </w:abstractNum>
  <w:abstractNum w:abstractNumId="204">
    <w:nsid w:val="52C77402"/>
    <w:multiLevelType w:val="hybridMultilevel"/>
    <w:lvl w:ilvl="0">
      <w:lvlJc w:val="left"/>
      <w:lvlText w:val="(%1)"/>
      <w:numFmt w:val="lowerLetter"/>
      <w:start w:val="61"/>
    </w:lvl>
    <w:lvl w:ilvl="1">
      <w:lvlJc w:val="left"/>
      <w:lvlText w:val="(%2)"/>
      <w:numFmt w:val="lowerLetter"/>
      <w:start w:val="15"/>
    </w:lvl>
  </w:abstractNum>
  <w:abstractNum w:abstractNumId="205">
    <w:nsid w:val="2BB5B1C6"/>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206">
    <w:nsid w:val="66BE6B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207">
    <w:nsid w:val="62234363"/>
    <w:multiLevelType w:val="hybridMultilevel"/>
    <w:lvl w:ilvl="0">
      <w:lvlJc w:val="left"/>
      <w:lvlText w:val="(%1)"/>
      <w:numFmt w:val="lowerRoman"/>
      <w:start w:val="10"/>
    </w:lvl>
  </w:abstractNum>
  <w:abstractNum w:abstractNumId="208">
    <w:nsid w:val="66D385C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9">
    <w:nsid w:val="596F6D8A"/>
    <w:multiLevelType w:val="hybridMultilevel"/>
    <w:lvl w:ilvl="0">
      <w:lvlJc w:val="left"/>
      <w:lvlText w:val="(%1)"/>
      <w:numFmt w:val="lowerLetter"/>
      <w:start w:val="1"/>
    </w:lvl>
  </w:abstractNum>
  <w:abstractNum w:abstractNumId="210">
    <w:nsid w:val="5749361F"/>
    <w:multiLevelType w:val="hybridMultilevel"/>
    <w:lvl w:ilvl="0">
      <w:lvlJc w:val="left"/>
      <w:lvlText w:val="(%1)"/>
      <w:numFmt w:val="lowerLetter"/>
      <w:start w:val="1"/>
    </w:lvl>
  </w:abstractNum>
  <w:abstractNum w:abstractNumId="211">
    <w:nsid w:val="73BC6770"/>
    <w:multiLevelType w:val="hybridMultilevel"/>
    <w:lvl w:ilvl="0">
      <w:lvlJc w:val="left"/>
      <w:lvlText w:val="(%1)"/>
      <w:numFmt w:val="lowerLetter"/>
      <w:start w:val="4"/>
    </w:lvl>
  </w:abstractNum>
  <w:abstractNum w:abstractNumId="212">
    <w:nsid w:val="280E6897"/>
    <w:multiLevelType w:val="hybridMultilevel"/>
    <w:lvl w:ilvl="0">
      <w:lvlJc w:val="left"/>
      <w:lvlText w:val="(%1)"/>
      <w:numFmt w:val="lowerLetter"/>
      <w:start w:val="1"/>
    </w:lvl>
  </w:abstractNum>
  <w:abstractNum w:abstractNumId="213">
    <w:nsid w:val="605138DE"/>
    <w:multiLevelType w:val="hybridMultilevel"/>
    <w:lvl w:ilvl="0">
      <w:lvlJc w:val="left"/>
      <w:lvlText w:val="(%1)"/>
      <w:numFmt w:val="lowerLetter"/>
      <w:start w:val="3"/>
    </w:lvl>
  </w:abstractNum>
  <w:abstractNum w:abstractNumId="214">
    <w:nsid w:val="2622AD0C"/>
    <w:multiLevelType w:val="hybridMultilevel"/>
    <w:lvl w:ilvl="0">
      <w:lvlJc w:val="left"/>
      <w:lvlText w:val="(%1)"/>
      <w:numFmt w:val="lowerRoman"/>
      <w:start w:val="2"/>
    </w:lvl>
  </w:abstractNum>
  <w:abstractNum w:abstractNumId="215">
    <w:nsid w:val="67997556"/>
    <w:multiLevelType w:val="hybridMultilevel"/>
    <w:lvl w:ilvl="0">
      <w:lvlJc w:val="left"/>
      <w:lvlText w:val="(%1)"/>
      <w:numFmt w:val="lowerLetter"/>
      <w:start w:val="1"/>
    </w:lvl>
  </w:abstractNum>
  <w:abstractNum w:abstractNumId="216">
    <w:nsid w:val="18333C89"/>
    <w:multiLevelType w:val="hybridMultilevel"/>
    <w:lvl w:ilvl="0">
      <w:lvlJc w:val="left"/>
      <w:lvlText w:val="(%1)"/>
      <w:numFmt w:val="lowerLetter"/>
      <w:start w:val="2"/>
    </w:lvl>
  </w:abstractNum>
  <w:abstractNum w:abstractNumId="217">
    <w:nsid w:val="4BA9831A"/>
    <w:multiLevelType w:val="hybridMultilevel"/>
    <w:lvl w:ilvl="0">
      <w:lvlJc w:val="left"/>
      <w:lvlText w:val="(%1)"/>
      <w:numFmt w:val="lowerLetter"/>
      <w:start w:val="1"/>
    </w:lvl>
  </w:abstractNum>
  <w:abstractNum w:abstractNumId="218">
    <w:nsid w:val="6D71A2B"/>
    <w:multiLevelType w:val="hybridMultilevel"/>
    <w:lvl w:ilvl="0">
      <w:lvlJc w:val="left"/>
      <w:lvlText w:val="(%1)"/>
      <w:numFmt w:val="lowerLetter"/>
      <w:start w:val="1"/>
    </w:lvl>
    <w:lvl w:ilvl="1">
      <w:lvlJc w:val="left"/>
      <w:lvlText w:val="(%2)"/>
      <w:numFmt w:val="lowerRoman"/>
      <w:start w:val="1"/>
    </w:lvl>
  </w:abstractNum>
  <w:abstractNum w:abstractNumId="219">
    <w:nsid w:val="CFC7321"/>
    <w:multiLevelType w:val="hybridMultilevel"/>
    <w:lvl w:ilvl="0">
      <w:lvlJc w:val="left"/>
      <w:lvlText w:val="(%1)"/>
      <w:numFmt w:val="lowerLetter"/>
      <w:start w:val="6"/>
    </w:lvl>
    <w:lvl w:ilvl="1">
      <w:lvlJc w:val="left"/>
      <w:lvlText w:val="(%2)"/>
      <w:numFmt w:val="lowerRoman"/>
      <w:start w:val="1"/>
    </w:lvl>
  </w:abstractNum>
  <w:abstractNum w:abstractNumId="220">
    <w:nsid w:val="1421971B"/>
    <w:multiLevelType w:val="hybridMultilevel"/>
    <w:lvl w:ilvl="0">
      <w:lvlJc w:val="left"/>
      <w:lvlText w:val="(%1)"/>
      <w:numFmt w:val="lowerLetter"/>
      <w:start w:val="11"/>
    </w:lvl>
  </w:abstractNum>
  <w:abstractNum w:abstractNumId="221">
    <w:nsid w:val="1F404301"/>
    <w:multiLevelType w:val="hybridMultilevel"/>
    <w:lvl w:ilvl="0">
      <w:lvlJc w:val="left"/>
      <w:lvlText w:val="(%1)"/>
      <w:numFmt w:val="lowerLetter"/>
      <w:start w:val="1"/>
    </w:lvl>
  </w:abstractNum>
  <w:abstractNum w:abstractNumId="222">
    <w:nsid w:val="116E0907"/>
    <w:multiLevelType w:val="hybridMultilevel"/>
    <w:lvl w:ilvl="0">
      <w:lvlJc w:val="left"/>
      <w:lvlText w:val="(%1)"/>
      <w:numFmt w:val="lowerRoman"/>
      <w:start w:val="2"/>
    </w:lvl>
  </w:abstractNum>
  <w:abstractNum w:abstractNumId="223">
    <w:nsid w:val="4B683D0D"/>
    <w:multiLevelType w:val="hybridMultilevel"/>
    <w:lvl w:ilvl="0">
      <w:lvlJc w:val="left"/>
      <w:lvlText w:val="(%1)"/>
      <w:numFmt w:val="lowerLetter"/>
      <w:start w:val="1"/>
    </w:lvl>
  </w:abstractNum>
  <w:abstractNum w:abstractNumId="224">
    <w:nsid w:val="76E41D8"/>
    <w:multiLevelType w:val="hybridMultilevel"/>
    <w:lvl w:ilvl="0">
      <w:lvlJc w:val="left"/>
      <w:lvlText w:val="(%1)"/>
      <w:numFmt w:val="lowerLetter"/>
      <w:start w:val="2"/>
    </w:lvl>
  </w:abstractNum>
  <w:abstractNum w:abstractNumId="225">
    <w:nsid w:val="71DCE0FD"/>
    <w:multiLevelType w:val="hybridMultilevel"/>
    <w:lvl w:ilvl="0">
      <w:lvlJc w:val="left"/>
      <w:lvlText w:val="(%1)"/>
      <w:numFmt w:val="lowerLetter"/>
      <w:start w:val="1"/>
    </w:lvl>
  </w:abstractNum>
  <w:abstractNum w:abstractNumId="226">
    <w:nsid w:val="7906328B"/>
    <w:multiLevelType w:val="hybridMultilevel"/>
    <w:lvl w:ilvl="0">
      <w:lvlJc w:val="left"/>
      <w:lvlText w:val="(%1)"/>
      <w:numFmt w:val="lowerLetter"/>
      <w:start w:val="1"/>
    </w:lvl>
    <w:lvl w:ilvl="1">
      <w:lvlJc w:val="left"/>
      <w:lvlText w:val="(%2)"/>
      <w:numFmt w:val="lowerRoman"/>
      <w:start w:val="1"/>
    </w:lvl>
  </w:abstractNum>
  <w:abstractNum w:abstractNumId="227">
    <w:nsid w:val="72BBC16"/>
    <w:multiLevelType w:val="hybridMultilevel"/>
    <w:lvl w:ilvl="0">
      <w:lvlJc w:val="left"/>
      <w:lvlText w:val="(%1)"/>
      <w:numFmt w:val="lowerLetter"/>
      <w:start w:val="1"/>
    </w:lvl>
  </w:abstractNum>
  <w:abstractNum w:abstractNumId="228">
    <w:nsid w:val="766D98C2"/>
    <w:multiLevelType w:val="hybridMultilevel"/>
    <w:lvl w:ilvl="0">
      <w:lvlJc w:val="left"/>
      <w:lvlText w:val="(%1)"/>
      <w:numFmt w:val="lowerLetter"/>
      <w:start w:val="1"/>
    </w:lvl>
  </w:abstractNum>
  <w:abstractNum w:abstractNumId="229">
    <w:nsid w:val="3C09D4A1"/>
    <w:multiLevelType w:val="hybridMultilevel"/>
    <w:lvl w:ilvl="0">
      <w:lvlJc w:val="left"/>
      <w:lvlText w:val="(%1)"/>
      <w:numFmt w:val="lowerLetter"/>
      <w:start w:val="1"/>
    </w:lvl>
  </w:abstractNum>
  <w:abstractNum w:abstractNumId="230">
    <w:nsid w:val="20E45CA4"/>
    <w:multiLevelType w:val="hybridMultilevel"/>
    <w:lvl w:ilvl="0">
      <w:lvlJc w:val="left"/>
      <w:lvlText w:val="(%1)"/>
      <w:numFmt w:val="lowerLetter"/>
      <w:start w:val="6"/>
    </w:lvl>
  </w:abstractNum>
  <w:abstractNum w:abstractNumId="231">
    <w:nsid w:val="4B232EE3"/>
    <w:multiLevelType w:val="hybridMultilevel"/>
    <w:lvl w:ilvl="0">
      <w:lvlJc w:val="left"/>
      <w:lvlText w:val="(%1)"/>
      <w:numFmt w:val="lowerLetter"/>
      <w:start w:val="1"/>
    </w:lvl>
  </w:abstractNum>
  <w:abstractNum w:abstractNumId="232">
    <w:nsid w:val="159C74CF"/>
    <w:multiLevelType w:val="hybridMultilevel"/>
    <w:lvl w:ilvl="0">
      <w:lvlJc w:val="left"/>
      <w:lvlText w:val="(%1)"/>
      <w:numFmt w:val="lowerLetter"/>
      <w:start w:val="2"/>
    </w:lvl>
  </w:abstractNum>
  <w:abstractNum w:abstractNumId="233">
    <w:nsid w:val="4AD3AFD2"/>
    <w:multiLevelType w:val="hybridMultilevel"/>
    <w:lvl w:ilvl="0">
      <w:lvlJc w:val="left"/>
      <w:lvlText w:val="%1"/>
      <w:numFmt w:val="lowerLetter"/>
      <w:start w:val="1"/>
    </w:lvl>
    <w:lvl w:ilvl="1">
      <w:lvlJc w:val="left"/>
      <w:lvlText w:val="(%2)"/>
      <w:numFmt w:val="lowerLetter"/>
      <w:start w:val="3"/>
    </w:lvl>
  </w:abstractNum>
  <w:abstractNum w:abstractNumId="234">
    <w:nsid w:val="3CF93092"/>
    <w:multiLevelType w:val="hybridMultilevel"/>
    <w:lvl w:ilvl="0">
      <w:lvlJc w:val="left"/>
      <w:lvlText w:val="(%1)"/>
      <w:numFmt w:val="lowerLetter"/>
      <w:start w:val="35"/>
    </w:lvl>
    <w:lvl w:ilvl="1">
      <w:lvlJc w:val="left"/>
      <w:lvlText w:val="(%2)"/>
      <w:numFmt w:val="lowerLetter"/>
      <w:start w:val="5"/>
    </w:lvl>
  </w:abstractNum>
  <w:abstractNum w:abstractNumId="235">
    <w:nsid w:val="6863E8D2"/>
    <w:multiLevelType w:val="hybridMultilevel"/>
    <w:lvl w:ilvl="0">
      <w:lvlJc w:val="left"/>
      <w:lvlText w:val="(%1)"/>
      <w:numFmt w:val="lowerLetter"/>
      <w:start w:val="35"/>
    </w:lvl>
    <w:lvl w:ilvl="1">
      <w:lvlJc w:val="left"/>
      <w:lvlText w:val="%2"/>
      <w:numFmt w:val="lowerLetter"/>
      <w:start w:val="1"/>
    </w:lvl>
  </w:abstractNum>
  <w:abstractNum w:abstractNumId="236">
    <w:nsid w:val="76896198"/>
    <w:multiLevelType w:val="hybridMultilevel"/>
    <w:lvl w:ilvl="0">
      <w:lvlJc w:val="left"/>
      <w:lvlText w:val="(%1)"/>
      <w:numFmt w:val="lowerLetter"/>
      <w:start w:val="1"/>
    </w:lvl>
  </w:abstractNum>
  <w:abstractNum w:abstractNumId="237">
    <w:nsid w:val="4365174B"/>
    <w:multiLevelType w:val="hybridMultilevel"/>
    <w:lvl w:ilvl="0">
      <w:lvlJc w:val="left"/>
      <w:lvlText w:val="(%1)"/>
      <w:numFmt w:val="lowerLetter"/>
      <w:start w:val="2"/>
    </w:lvl>
  </w:abstractNum>
  <w:abstractNum w:abstractNumId="238">
    <w:nsid w:val="4A872C35"/>
    <w:multiLevelType w:val="hybridMultilevel"/>
    <w:lvl w:ilvl="0">
      <w:lvlJc w:val="left"/>
      <w:lvlText w:val="(%1)"/>
      <w:numFmt w:val="lowerLetter"/>
      <w:start w:val="5"/>
    </w:lvl>
  </w:abstractNum>
  <w:abstractNum w:abstractNumId="239">
    <w:nsid w:val="5D5CE7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0">
    <w:nsid w:val="1CD484D5"/>
    <w:multiLevelType w:val="hybridMultilevel"/>
    <w:lvl w:ilvl="0">
      <w:lvlJc w:val="left"/>
      <w:lvlText w:val="(%1)"/>
      <w:numFmt w:val="lowerRoman"/>
      <w:start w:val="2"/>
    </w:lvl>
    <w:lvl w:ilvl="1">
      <w:lvlJc w:val="left"/>
      <w:lvlText w:val="(%2)"/>
      <w:numFmt w:val="decimal"/>
      <w:start w:val="9"/>
    </w:lvl>
    <w:lvl w:ilvl="2">
      <w:lvlJc w:val="left"/>
      <w:lvlText w:val="(%3)"/>
      <w:numFmt w:val="upperLetter"/>
      <w:start w:val="1"/>
    </w:lvl>
  </w:abstractNum>
  <w:abstractNum w:abstractNumId="241">
    <w:nsid w:val="21D0625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242">
    <w:nsid w:val="51194ED1"/>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243">
    <w:nsid w:val="44E2ED6C"/>
    <w:multiLevelType w:val="hybridMultilevel"/>
    <w:lvl w:ilvl="0">
      <w:lvlJc w:val="left"/>
      <w:lvlText w:val="(%1)"/>
      <w:numFmt w:val="upperLetter"/>
      <w:start w:val="2"/>
    </w:lvl>
    <w:lvl w:ilvl="1">
      <w:lvlJc w:val="left"/>
      <w:lvlText w:val="(%2)"/>
      <w:numFmt w:val="upperLetter"/>
      <w:start w:val="2"/>
    </w:lvl>
  </w:abstractNum>
  <w:abstractNum w:abstractNumId="244">
    <w:nsid w:val="2219B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45">
    <w:nsid w:val="773BFBDD"/>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46">
    <w:nsid w:val="2C7C62C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7">
    <w:nsid w:val="1A54D7BC"/>
    <w:multiLevelType w:val="hybridMultilevel"/>
    <w:lvl w:ilvl="0">
      <w:lvlJc w:val="left"/>
      <w:lvlText w:val="(%1)"/>
      <w:numFmt w:val="upperLetter"/>
      <w:start w:val="2"/>
    </w:lvl>
  </w:abstractNum>
  <w:abstractNum w:abstractNumId="248">
    <w:nsid w:val="42E57EF7"/>
    <w:multiLevelType w:val="hybridMultilevel"/>
    <w:lvl w:ilvl="0">
      <w:lvlJc w:val="left"/>
      <w:lvlText w:val="(%1)"/>
      <w:numFmt w:val="lowerLetter"/>
      <w:start w:val="5"/>
    </w:lvl>
  </w:abstractNum>
  <w:abstractNum w:abstractNumId="249">
    <w:nsid w:val="33537CED"/>
    <w:multiLevelType w:val="hybridMultilevel"/>
    <w:lvl w:ilvl="0">
      <w:lvlJc w:val="left"/>
      <w:lvlText w:val="(%1)"/>
      <w:numFmt w:val="lowerLetter"/>
      <w:start w:val="2"/>
    </w:lvl>
  </w:abstractNum>
  <w:abstractNum w:abstractNumId="250">
    <w:nsid w:val="27514ADE"/>
    <w:multiLevelType w:val="hybridMultilevel"/>
    <w:lvl w:ilvl="0">
      <w:lvlJc w:val="left"/>
      <w:lvlText w:val="(%1)"/>
      <w:numFmt w:val="lowerLetter"/>
      <w:start w:val="1"/>
    </w:lvl>
  </w:abstractNum>
  <w:abstractNum w:abstractNumId="251">
    <w:nsid w:val="57071613"/>
    <w:multiLevelType w:val="hybridMultilevel"/>
    <w:lvl w:ilvl="0">
      <w:lvlJc w:val="left"/>
      <w:lvlText w:val="(%1)"/>
      <w:numFmt w:val="lowerLetter"/>
      <w:start w:val="3"/>
    </w:lvl>
  </w:abstractNum>
  <w:abstractNum w:abstractNumId="252">
    <w:nsid w:val="5293BFEF"/>
    <w:multiLevelType w:val="hybridMultilevel"/>
    <w:lvl w:ilvl="0">
      <w:lvlJc w:val="left"/>
      <w:lvlText w:val="(%1)"/>
      <w:numFmt w:val="lowerLetter"/>
      <w:start w:val="1"/>
    </w:lvl>
  </w:abstractNum>
  <w:abstractNum w:abstractNumId="253">
    <w:nsid w:val="38BF53E5"/>
    <w:multiLevelType w:val="hybridMultilevel"/>
    <w:lvl w:ilvl="0">
      <w:lvlJc w:val="left"/>
      <w:lvlText w:val="(%1)"/>
      <w:numFmt w:val="lowerLetter"/>
      <w:start w:val="4"/>
    </w:lvl>
  </w:abstractNum>
  <w:abstractNum w:abstractNumId="254">
    <w:nsid w:val="226F5320"/>
    <w:multiLevelType w:val="hybridMultilevel"/>
    <w:lvl w:ilvl="0">
      <w:lvlJc w:val="left"/>
      <w:lvlText w:val="(%1)"/>
      <w:numFmt w:val="upperLetter"/>
      <w:start w:val="1"/>
    </w:lvl>
  </w:abstractNum>
  <w:abstractNum w:abstractNumId="255">
    <w:nsid w:val="5A0201C7"/>
    <w:multiLevelType w:val="hybridMultilevel"/>
    <w:lvl w:ilvl="0">
      <w:lvlJc w:val="left"/>
      <w:lvlText w:val="(%1)"/>
      <w:numFmt w:val="lowerLetter"/>
      <w:start w:val="1"/>
    </w:lvl>
    <w:lvl w:ilvl="1">
      <w:lvlJc w:val="left"/>
      <w:lvlText w:val="(%2)"/>
      <w:numFmt w:val="lowerRoman"/>
      <w:start w:val="1"/>
    </w:lvl>
  </w:abstractNum>
  <w:abstractNum w:abstractNumId="256">
    <w:nsid w:val="2A9C34E2"/>
    <w:multiLevelType w:val="hybridMultilevel"/>
    <w:lvl w:ilvl="0">
      <w:lvlJc w:val="left"/>
      <w:lvlText w:val="(%1)"/>
      <w:numFmt w:val="lowerLetter"/>
      <w:start w:val="1"/>
    </w:lvl>
  </w:abstractNum>
  <w:abstractNum w:abstractNumId="257">
    <w:nsid w:val="1B7585AB"/>
    <w:multiLevelType w:val="hybridMultilevel"/>
    <w:lvl w:ilvl="0">
      <w:lvlJc w:val="left"/>
      <w:lvlText w:val="(%1)"/>
      <w:numFmt w:val="decimal"/>
      <w:start w:val="1"/>
    </w:lvl>
  </w:abstractNum>
  <w:abstractNum w:abstractNumId="258">
    <w:nsid w:val="612DBDDD"/>
    <w:multiLevelType w:val="hybridMultilevel"/>
    <w:lvl w:ilvl="0">
      <w:lvlJc w:val="left"/>
      <w:lvlText w:val="(%1)"/>
      <w:numFmt w:val="decimal"/>
      <w:start w:val="1"/>
    </w:lvl>
    <w:lvl w:ilvl="1">
      <w:lvlJc w:val="left"/>
      <w:lvlText w:val="(%2)"/>
      <w:numFmt w:val="lowerLetter"/>
      <w:start w:val="1"/>
    </w:lvl>
  </w:abstractNum>
  <w:abstractNum w:abstractNumId="259">
    <w:nsid w:val="2109CDA4"/>
    <w:multiLevelType w:val="hybridMultilevel"/>
    <w:lvl w:ilvl="0">
      <w:lvlJc w:val="left"/>
      <w:lvlText w:val="(%1)"/>
      <w:numFmt w:val="decimal"/>
      <w:start w:val="1"/>
    </w:lvl>
  </w:abstractNum>
  <w:abstractNum w:abstractNumId="260">
    <w:nsid w:val="577F5A4D"/>
    <w:multiLevelType w:val="hybridMultilevel"/>
    <w:lvl w:ilvl="0">
      <w:lvlJc w:val="left"/>
      <w:lvlText w:val="(%1)"/>
      <w:numFmt w:val="decimal"/>
      <w:start w:val="1"/>
    </w:lvl>
  </w:abstractNum>
  <w:abstractNum w:abstractNumId="261">
    <w:nsid w:val="2121A81"/>
    <w:multiLevelType w:val="hybridMultilevel"/>
    <w:lvl w:ilvl="0">
      <w:lvlJc w:val="left"/>
      <w:lvlText w:val="(%1)"/>
      <w:numFmt w:val="decimal"/>
      <w:start w:val="1"/>
    </w:lvl>
  </w:abstractNum>
  <w:abstractNum w:abstractNumId="262">
    <w:nsid w:val="6C2CFC88"/>
    <w:multiLevelType w:val="hybridMultilevel"/>
    <w:lvl w:ilvl="0">
      <w:lvlJc w:val="left"/>
      <w:lvlText w:val="(%1)"/>
      <w:numFmt w:val="lowerLetter"/>
      <w:start w:val="4"/>
    </w:lvl>
  </w:abstractNum>
  <w:abstractNum w:abstractNumId="263">
    <w:nsid w:val="6D1BCF1C"/>
    <w:multiLevelType w:val="hybridMultilevel"/>
    <w:lvl w:ilvl="0">
      <w:lvlJc w:val="left"/>
      <w:lvlText w:val="(%1)"/>
      <w:numFmt w:val="lowerLetter"/>
      <w:start w:val="2"/>
    </w:lvl>
  </w:abstractNum>
  <w:abstractNum w:abstractNumId="264">
    <w:nsid w:val="4CE5CA53"/>
    <w:multiLevelType w:val="hybridMultilevel"/>
    <w:lvl w:ilvl="0">
      <w:lvlJc w:val="left"/>
      <w:lvlText w:val="(%1)"/>
      <w:numFmt w:val="lowerRoman"/>
      <w:start w:val="3"/>
    </w:lvl>
  </w:abstractNum>
  <w:abstractNum w:abstractNumId="265">
    <w:nsid w:val="29262D1A"/>
    <w:multiLevelType w:val="hybridMultilevel"/>
    <w:lvl w:ilvl="0">
      <w:lvlJc w:val="left"/>
      <w:lvlText w:val="(%1)"/>
      <w:numFmt w:val="lowerLetter"/>
      <w:start w:val="1"/>
    </w:lvl>
  </w:abstractNum>
  <w:abstractNum w:abstractNumId="266">
    <w:nsid w:val="557FB7EE"/>
    <w:multiLevelType w:val="hybridMultilevel"/>
    <w:lvl w:ilvl="0">
      <w:lvlJc w:val="left"/>
      <w:lvlText w:val="(%1)"/>
      <w:numFmt w:val="lowerLetter"/>
      <w:start w:val="35"/>
    </w:lvl>
  </w:abstractNum>
  <w:abstractNum w:abstractNumId="267">
    <w:nsid w:val="436F2BEB"/>
    <w:multiLevelType w:val="hybridMultilevel"/>
    <w:lvl w:ilvl="0">
      <w:lvlJc w:val="left"/>
      <w:lvlText w:val="(%1)"/>
      <w:numFmt w:val="lowerLetter"/>
      <w:start w:val="2"/>
    </w:lvl>
  </w:abstractNum>
  <w:abstractNum w:abstractNumId="268">
    <w:nsid w:val="6C8B4466"/>
    <w:multiLevelType w:val="hybridMultilevel"/>
    <w:lvl w:ilvl="0">
      <w:lvlJc w:val="left"/>
      <w:lvlText w:val="(%1)"/>
      <w:numFmt w:val="lowerRoman"/>
      <w:start w:val="1"/>
    </w:lvl>
  </w:abstractNum>
  <w:abstractNum w:abstractNumId="269">
    <w:nsid w:val="2006E424"/>
    <w:multiLevelType w:val="hybridMultilevel"/>
    <w:lvl w:ilvl="0">
      <w:lvlJc w:val="left"/>
      <w:lvlText w:val="(%1)"/>
      <w:numFmt w:val="lowerRoman"/>
      <w:start w:val="3"/>
    </w:lvl>
  </w:abstractNum>
  <w:abstractNum w:abstractNumId="270">
    <w:nsid w:val="20CC134C"/>
    <w:multiLevelType w:val="hybridMultilevel"/>
    <w:lvl w:ilvl="0">
      <w:lvlJc w:val="left"/>
      <w:lvlText w:val="(%1)"/>
      <w:numFmt w:val="decimal"/>
      <w:start w:val="1"/>
    </w:lvl>
  </w:abstractNum>
  <w:abstractNum w:abstractNumId="271">
    <w:nsid w:val="95FC93B"/>
    <w:multiLevelType w:val="hybridMultilevel"/>
    <w:lvl w:ilvl="0">
      <w:lvlJc w:val="left"/>
      <w:lvlText w:val="(%1)"/>
      <w:numFmt w:val="lowerLetter"/>
      <w:start w:val="1"/>
    </w:lvl>
  </w:abstractNum>
  <w:abstractNum w:abstractNumId="272">
    <w:nsid w:val="41D74679"/>
    <w:multiLevelType w:val="hybridMultilevel"/>
    <w:lvl w:ilvl="0">
      <w:lvlJc w:val="left"/>
      <w:lvlText w:val="(%1)"/>
      <w:numFmt w:val="lowerLetter"/>
      <w:start w:val="1"/>
    </w:lvl>
  </w:abstractNum>
  <w:abstractNum w:abstractNumId="273">
    <w:nsid w:val="71E5621E"/>
    <w:multiLevelType w:val="hybridMultilevel"/>
    <w:lvl w:ilvl="0">
      <w:lvlJc w:val="left"/>
      <w:lvlText w:val="(%1)"/>
      <w:numFmt w:val="lowerLetter"/>
      <w:start w:val="1"/>
    </w:lvl>
  </w:abstractNum>
  <w:abstractNum w:abstractNumId="274">
    <w:nsid w:val="4E42B6A8"/>
    <w:multiLevelType w:val="hybridMultilevel"/>
    <w:lvl w:ilvl="0">
      <w:lvlJc w:val="left"/>
      <w:lvlText w:val="%1"/>
      <w:numFmt w:val="lowerRoman"/>
      <w:start w:val="1"/>
    </w:lvl>
    <w:lvl w:ilvl="1">
      <w:lvlJc w:val="left"/>
      <w:lvlText w:val="(%2)"/>
      <w:numFmt w:val="lowerLetter"/>
      <w:start w:val="6"/>
    </w:lvl>
  </w:abstractNum>
  <w:abstractNum w:abstractNumId="275">
    <w:nsid w:val="43F8E1AC"/>
    <w:multiLevelType w:val="hybridMultilevel"/>
    <w:lvl w:ilvl="0">
      <w:lvlJc w:val="left"/>
      <w:lvlText w:val="(%1)"/>
      <w:numFmt w:val="lowerRoman"/>
      <w:start w:val="4"/>
    </w:lvl>
    <w:lvl w:ilvl="1">
      <w:lvlJc w:val="left"/>
      <w:lvlText w:val="%2"/>
      <w:numFmt w:val="lowerLetter"/>
      <w:start w:val="1"/>
    </w:lvl>
  </w:abstractNum>
  <w:abstractNum w:abstractNumId="276">
    <w:nsid w:val="69215DFB"/>
    <w:multiLevelType w:val="hybridMultilevel"/>
    <w:lvl w:ilvl="0">
      <w:lvlJc w:val="left"/>
      <w:lvlText w:val="(%1)"/>
      <w:numFmt w:val="lowerLetter"/>
      <w:start w:val="8"/>
    </w:lvl>
  </w:abstractNum>
  <w:abstractNum w:abstractNumId="277">
    <w:nsid w:val="7ABF196A"/>
    <w:multiLevelType w:val="hybridMultilevel"/>
    <w:lvl w:ilvl="0">
      <w:lvlJc w:val="left"/>
      <w:lvlText w:val="(%1)"/>
      <w:numFmt w:val="lowerLetter"/>
      <w:start w:val="15"/>
    </w:lvl>
  </w:abstractNum>
  <w:abstractNum w:abstractNumId="278">
    <w:nsid w:val="5E4DB968"/>
    <w:multiLevelType w:val="hybridMultilevel"/>
    <w:lvl w:ilvl="0">
      <w:lvlJc w:val="left"/>
      <w:lvlText w:val="(%1)"/>
      <w:numFmt w:val="lowerLetter"/>
      <w:start w:val="2"/>
    </w:lvl>
  </w:abstractNum>
  <w:abstractNum w:abstractNumId="279">
    <w:nsid w:val="2C06DCF3"/>
    <w:multiLevelType w:val="hybridMultilevel"/>
    <w:lvl w:ilvl="0">
      <w:lvlJc w:val="left"/>
      <w:lvlText w:val="(%1)"/>
      <w:numFmt w:val="lowerLetter"/>
      <w:start w:val="24"/>
    </w:lvl>
  </w:abstractNum>
  <w:abstractNum w:abstractNumId="280">
    <w:nsid w:val="2E129658"/>
    <w:multiLevelType w:val="hybridMultilevel"/>
    <w:lvl w:ilvl="0">
      <w:lvlJc w:val="left"/>
      <w:lvlText w:val="(%1)"/>
      <w:numFmt w:val="lowerLetter"/>
      <w:start w:val="1"/>
    </w:lvl>
  </w:abstractNum>
  <w:abstractNum w:abstractNumId="281">
    <w:nsid w:val="59F0446"/>
    <w:multiLevelType w:val="hybridMultilevel"/>
    <w:lvl w:ilvl="0">
      <w:lvlJc w:val="left"/>
      <w:lvlText w:val="%1"/>
      <w:numFmt w:val="lowerLetter"/>
      <w:start w:val="1"/>
    </w:lvl>
    <w:lvl w:ilvl="1">
      <w:lvlJc w:val="left"/>
      <w:lvlText w:val="(%2)"/>
      <w:numFmt w:val="lowerLetter"/>
      <w:start w:val="10"/>
    </w:lvl>
  </w:abstractNum>
  <w:abstractNum w:abstractNumId="282">
    <w:nsid w:val="30DF306"/>
    <w:multiLevelType w:val="hybridMultilevel"/>
    <w:lvl w:ilvl="0">
      <w:lvlJc w:val="left"/>
      <w:lvlText w:val="(%1)"/>
      <w:numFmt w:val="lowerLetter"/>
      <w:start w:val="35"/>
    </w:lvl>
    <w:lvl w:ilvl="1">
      <w:lvlJc w:val="left"/>
      <w:lvlText w:val="(%2)"/>
      <w:numFmt w:val="lowerLetter"/>
      <w:start w:val="15"/>
    </w:lvl>
  </w:abstractNum>
  <w:abstractNum w:abstractNumId="283">
    <w:nsid w:val="A65647"/>
    <w:multiLevelType w:val="hybridMultilevel"/>
    <w:lvl w:ilvl="0">
      <w:lvlJc w:val="left"/>
      <w:lvlText w:val="(%1)"/>
      <w:numFmt w:val="lowerRoman"/>
      <w:start w:val="9"/>
    </w:lvl>
  </w:abstractNum>
  <w:abstractNum w:abstractNumId="284">
    <w:nsid w:val="3E5E582B"/>
    <w:multiLevelType w:val="hybridMultilevel"/>
    <w:lvl w:ilvl="0">
      <w:lvlJc w:val="left"/>
      <w:lvlText w:val="(%1)"/>
      <w:numFmt w:val="lowerLetter"/>
      <w:start w:val="2"/>
    </w:lvl>
  </w:abstractNum>
  <w:abstractNum w:abstractNumId="285">
    <w:nsid w:val="257D4626"/>
    <w:multiLevelType w:val="hybridMultilevel"/>
    <w:lvl w:ilvl="0">
      <w:lvlJc w:val="left"/>
      <w:lvlText w:val="(%1)"/>
      <w:numFmt w:val="lowerRoman"/>
      <w:start w:val="1"/>
    </w:lvl>
  </w:abstractNum>
  <w:abstractNum w:abstractNumId="286">
    <w:nsid w:val="5AA8580E"/>
    <w:multiLevelType w:val="hybridMultilevel"/>
    <w:lvl w:ilvl="0">
      <w:lvlJc w:val="left"/>
      <w:lvlText w:val="(%1)"/>
      <w:numFmt w:val="lowerLetter"/>
      <w:start w:val="1"/>
    </w:lvl>
  </w:abstractNum>
  <w:abstractNum w:abstractNumId="287">
    <w:nsid w:val="68FA8D0D"/>
    <w:multiLevelType w:val="hybridMultilevel"/>
    <w:lvl w:ilvl="0">
      <w:lvlJc w:val="left"/>
      <w:lvlText w:val="(%1)"/>
      <w:numFmt w:val="lowerLetter"/>
      <w:start w:val="1"/>
    </w:lvl>
  </w:abstractNum>
  <w:abstractNum w:abstractNumId="288">
    <w:nsid w:val="40F2CBD2"/>
    <w:multiLevelType w:val="hybridMultilevel"/>
    <w:lvl w:ilvl="0">
      <w:lvlJc w:val="left"/>
      <w:lvlText w:val="(%1)"/>
      <w:numFmt w:val="lowerLetter"/>
      <w:start w:val="1"/>
    </w:lvl>
  </w:abstractNum>
  <w:abstractNum w:abstractNumId="289">
    <w:nsid w:val="3BD615EB"/>
    <w:multiLevelType w:val="hybridMultilevel"/>
    <w:lvl w:ilvl="0">
      <w:lvlJc w:val="left"/>
      <w:lvlText w:val="(%1)"/>
      <w:numFmt w:val="lowerLetter"/>
      <w:start w:val="6"/>
    </w:lvl>
  </w:abstractNum>
  <w:abstractNum w:abstractNumId="290">
    <w:nsid w:val="A045AB2"/>
    <w:multiLevelType w:val="hybridMultilevel"/>
    <w:lvl w:ilvl="0">
      <w:lvlJc w:val="left"/>
      <w:lvlText w:val="(%1)"/>
      <w:numFmt w:val="lowerLetter"/>
      <w:start w:val="1"/>
    </w:lvl>
  </w:abstractNum>
  <w:abstractNum w:abstractNumId="291">
    <w:nsid w:val="1872261F"/>
    <w:multiLevelType w:val="hybridMultilevel"/>
    <w:lvl w:ilvl="0">
      <w:lvlJc w:val="left"/>
      <w:lvlText w:val="(%1)"/>
      <w:numFmt w:val="lowerLetter"/>
      <w:start w:val="1"/>
    </w:lvl>
  </w:abstractNum>
  <w:abstractNum w:abstractNumId="292">
    <w:nsid w:val="3DE8306C"/>
    <w:multiLevelType w:val="hybridMultilevel"/>
    <w:lvl w:ilvl="0">
      <w:lvlJc w:val="left"/>
      <w:lvlText w:val="(%1)"/>
      <w:numFmt w:val="lowerLetter"/>
      <w:start w:val="5"/>
    </w:lvl>
  </w:abstractNum>
  <w:abstractNum w:abstractNumId="293">
    <w:nsid w:val="7631573A"/>
    <w:multiLevelType w:val="hybridMultilevel"/>
    <w:lvl w:ilvl="0">
      <w:lvlJc w:val="left"/>
      <w:lvlText w:val="(%1)"/>
      <w:numFmt w:val="lowerLetter"/>
      <w:start w:val="1"/>
    </w:lvl>
  </w:abstractNum>
  <w:abstractNum w:abstractNumId="294">
    <w:nsid w:val="58DF53B"/>
    <w:multiLevelType w:val="hybridMultilevel"/>
    <w:lvl w:ilvl="0">
      <w:lvlJc w:val="left"/>
      <w:lvlText w:val="(%1)"/>
      <w:numFmt w:val="lowerRoman"/>
      <w:start w:val="1"/>
    </w:lvl>
  </w:abstractNum>
  <w:abstractNum w:abstractNumId="295">
    <w:nsid w:val="ACDFAC0"/>
    <w:multiLevelType w:val="hybridMultilevel"/>
    <w:lvl w:ilvl="0">
      <w:lvlJc w:val="left"/>
      <w:lvlText w:val="(%1)"/>
      <w:numFmt w:val="lowerRoman"/>
      <w:start w:val="7"/>
    </w:lvl>
  </w:abstractNum>
  <w:abstractNum w:abstractNumId="296">
    <w:nsid w:val="1F578454"/>
    <w:multiLevelType w:val="hybridMultilevel"/>
    <w:lvl w:ilvl="0">
      <w:lvlJc w:val="left"/>
      <w:lvlText w:val="(%1)"/>
      <w:numFmt w:val="lowerRoman"/>
      <w:start w:val="10"/>
    </w:lvl>
  </w:abstractNum>
  <w:abstractNum w:abstractNumId="297">
    <w:nsid w:val="5B0DAD2A"/>
    <w:multiLevelType w:val="hybridMultilevel"/>
    <w:lvl w:ilvl="0">
      <w:lvlJc w:val="left"/>
      <w:lvlText w:val="(%1)"/>
      <w:numFmt w:val="decimal"/>
      <w:start w:val="1"/>
    </w:lvl>
  </w:abstractNum>
  <w:abstractNum w:abstractNumId="298">
    <w:nsid w:val="4E3D26AB"/>
    <w:multiLevelType w:val="hybridMultilevel"/>
    <w:lvl w:ilvl="0">
      <w:lvlJc w:val="left"/>
      <w:lvlText w:val="(%1)"/>
      <w:numFmt w:val="decimal"/>
      <w:start w:val="1"/>
    </w:lvl>
  </w:abstractNum>
  <w:abstractNum w:abstractNumId="299">
    <w:nsid w:val="BE2C8BA"/>
    <w:multiLevelType w:val="hybridMultilevel"/>
    <w:lvl w:ilvl="0">
      <w:lvlJc w:val="left"/>
      <w:lvlText w:val="(%1)"/>
      <w:numFmt w:val="lowerLetter"/>
      <w:start w:val="2"/>
    </w:lvl>
  </w:abstractNum>
  <w:abstractNum w:abstractNumId="300">
    <w:nsid w:val="7B14914E"/>
    <w:multiLevelType w:val="hybridMultilevel"/>
    <w:lvl w:ilvl="0">
      <w:lvlJc w:val="left"/>
      <w:lvlText w:val="(%1)"/>
      <w:numFmt w:val="lowerLetter"/>
      <w:start w:val="2"/>
    </w:lvl>
  </w:abstractNum>
  <w:abstractNum w:abstractNumId="301">
    <w:nsid w:val="6F0939F8"/>
    <w:multiLevelType w:val="hybridMultilevel"/>
    <w:lvl w:ilvl="0">
      <w:lvlJc w:val="left"/>
      <w:lvlText w:val="(%1)"/>
      <w:numFmt w:val="lowerLetter"/>
      <w:start w:val="1"/>
    </w:lvl>
  </w:abstractNum>
  <w:abstractNum w:abstractNumId="302">
    <w:nsid w:val="154291F6"/>
    <w:multiLevelType w:val="hybridMultilevel"/>
    <w:lvl w:ilvl="0">
      <w:lvlJc w:val="left"/>
      <w:lvlText w:val="(%1)"/>
      <w:numFmt w:val="lowerLetter"/>
      <w:start w:val="1"/>
    </w:lvl>
    <w:lvl w:ilvl="1">
      <w:lvlJc w:val="left"/>
      <w:lvlText w:val="(%2)"/>
      <w:numFmt w:val="lowerRoman"/>
      <w:start w:val="1"/>
    </w:lvl>
  </w:abstractNum>
  <w:abstractNum w:abstractNumId="303">
    <w:nsid w:val="3CEBD7C7"/>
    <w:multiLevelType w:val="hybridMultilevel"/>
    <w:lvl w:ilvl="0">
      <w:lvlJc w:val="left"/>
      <w:lvlText w:val="(%1)"/>
      <w:numFmt w:val="lowerLetter"/>
      <w:start w:val="25"/>
    </w:lvl>
  </w:abstractNum>
  <w:abstractNum w:abstractNumId="304">
    <w:nsid w:val="60EE9C16"/>
    <w:multiLevelType w:val="hybridMultilevel"/>
    <w:lvl w:ilvl="0">
      <w:lvlJc w:val="left"/>
      <w:lvlText w:val="(%1)"/>
      <w:numFmt w:val="lowerLetter"/>
      <w:start w:val="2"/>
    </w:lvl>
  </w:abstractNum>
  <w:abstractNum w:abstractNumId="305">
    <w:nsid w:val="6385489E"/>
    <w:multiLevelType w:val="hybridMultilevel"/>
    <w:lvl w:ilvl="0">
      <w:lvlJc w:val="left"/>
      <w:lvlText w:val="(%1)"/>
      <w:numFmt w:val="lowerRoman"/>
      <w:start w:val="1"/>
    </w:lvl>
  </w:abstractNum>
  <w:abstractNum w:abstractNumId="306">
    <w:nsid w:val="E4B973"/>
    <w:multiLevelType w:val="hybridMultilevel"/>
    <w:lvl w:ilvl="0">
      <w:lvlJc w:val="left"/>
      <w:lvlText w:val="(%1)"/>
      <w:numFmt w:val="lowerRoman"/>
      <w:start w:val="4"/>
    </w:lvl>
  </w:abstractNum>
  <w:abstractNum w:abstractNumId="307">
    <w:nsid w:val="4A0FFA11"/>
    <w:multiLevelType w:val="hybridMultilevel"/>
    <w:lvl w:ilvl="0">
      <w:lvlJc w:val="left"/>
      <w:lvlText w:val="(%1)"/>
      <w:numFmt w:val="lowerLetter"/>
      <w:start w:val="2"/>
    </w:lvl>
  </w:abstractNum>
  <w:abstractNum w:abstractNumId="308">
    <w:nsid w:val="5E446208"/>
    <w:multiLevelType w:val="hybridMultilevel"/>
    <w:lvl w:ilvl="0">
      <w:lvlJc w:val="left"/>
      <w:lvlText w:val="(%1)"/>
      <w:numFmt w:val="lowerLetter"/>
      <w:start w:val="1"/>
    </w:lvl>
  </w:abstractNum>
  <w:abstractNum w:abstractNumId="309">
    <w:nsid w:val="5F3272DB"/>
    <w:multiLevelType w:val="hybridMultilevel"/>
    <w:lvl w:ilvl="0">
      <w:lvlJc w:val="left"/>
      <w:lvlText w:val="(%1)"/>
      <w:numFmt w:val="lowerLetter"/>
      <w:start w:val="3"/>
    </w:lvl>
  </w:abstractNum>
  <w:abstractNum w:abstractNumId="310">
    <w:nsid w:val="7616D704"/>
    <w:multiLevelType w:val="hybridMultilevel"/>
    <w:lvl w:ilvl="0">
      <w:lvlJc w:val="left"/>
      <w:lvlText w:val="(%1)"/>
      <w:numFmt w:val="lowerLetter"/>
      <w:start w:val="4"/>
    </w:lvl>
  </w:abstractNum>
  <w:abstractNum w:abstractNumId="311">
    <w:nsid w:val="C56F860"/>
    <w:multiLevelType w:val="hybridMultilevel"/>
    <w:lvl w:ilvl="0">
      <w:lvlJc w:val="left"/>
      <w:lvlText w:val="(%1)"/>
      <w:numFmt w:val="lowerLetter"/>
      <w:start w:val="2"/>
    </w:lvl>
  </w:abstractNum>
  <w:abstractNum w:abstractNumId="312">
    <w:nsid w:val="64D1772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3">
    <w:nsid w:val="7924CA0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14">
    <w:nsid w:val="CFD4EA7"/>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15">
    <w:nsid w:val="232FCF4D"/>
    <w:multiLevelType w:val="hybridMultilevel"/>
    <w:lvl w:ilvl="0">
      <w:lvlJc w:val="left"/>
      <w:lvlText w:val="(%1)"/>
      <w:numFmt w:val="lowerLetter"/>
      <w:start w:val="5"/>
    </w:lvl>
  </w:abstractNum>
  <w:abstractNum w:abstractNumId="316">
    <w:nsid w:val="1EA21031"/>
    <w:multiLevelType w:val="hybridMultilevel"/>
    <w:lvl w:ilvl="0">
      <w:lvlJc w:val="left"/>
      <w:lvlText w:val="(%1)"/>
      <w:numFmt w:val="lowerLetter"/>
      <w:start w:val="7"/>
    </w:lvl>
  </w:abstractNum>
  <w:abstractNum w:abstractNumId="317">
    <w:nsid w:val="67A5A6B5"/>
    <w:multiLevelType w:val="hybridMultilevel"/>
    <w:lvl w:ilvl="0">
      <w:lvlJc w:val="left"/>
      <w:lvlText w:val="(%1)"/>
      <w:numFmt w:val="lowerRoman"/>
      <w:start w:val="1"/>
    </w:lvl>
    <w:lvl w:ilvl="1">
      <w:lvlJc w:val="left"/>
      <w:lvlText w:val="(%2)"/>
      <w:numFmt w:val="lowerRoman"/>
      <w:start w:val="1"/>
    </w:lvl>
  </w:abstractNum>
  <w:abstractNum w:abstractNumId="318">
    <w:nsid w:val="C2A5C5B"/>
    <w:multiLevelType w:val="hybridMultilevel"/>
    <w:lvl w:ilvl="0">
      <w:lvlJc w:val="left"/>
      <w:lvlText w:val="(%1)"/>
      <w:numFmt w:val="lowerLetter"/>
      <w:start w:val="10"/>
    </w:lvl>
  </w:abstractNum>
  <w:abstractNum w:abstractNumId="319">
    <w:nsid w:val="5F94DC03"/>
    <w:multiLevelType w:val="hybridMultilevel"/>
    <w:lvl w:ilvl="0">
      <w:lvlJc w:val="left"/>
      <w:lvlText w:val="(%1)"/>
      <w:numFmt w:val="lowerLetter"/>
      <w:start w:val="11"/>
    </w:lvl>
  </w:abstractNum>
  <w:abstractNum w:abstractNumId="320">
    <w:nsid w:val="237BBCA0"/>
    <w:multiLevelType w:val="hybridMultilevel"/>
    <w:lvl w:ilvl="0">
      <w:lvlJc w:val="left"/>
      <w:lvlText w:val="(%1)"/>
      <w:numFmt w:val="lowerLetter"/>
      <w:start w:val="2"/>
    </w:lvl>
  </w:abstractNum>
  <w:abstractNum w:abstractNumId="321">
    <w:nsid w:val="162EB70D"/>
    <w:multiLevelType w:val="hybridMultilevel"/>
    <w:lvl w:ilvl="0">
      <w:lvlJc w:val="left"/>
      <w:lvlText w:val="(%1)"/>
      <w:numFmt w:val="lowerLetter"/>
      <w:start w:val="2"/>
    </w:lvl>
    <w:lvl w:ilvl="1">
      <w:lvlJc w:val="left"/>
      <w:lvlText w:val="(%2)"/>
      <w:numFmt w:val="lowerLetter"/>
      <w:start w:val="9"/>
    </w:lvl>
  </w:abstractNum>
  <w:abstractNum w:abstractNumId="322">
    <w:nsid w:val="78070222"/>
    <w:multiLevelType w:val="hybridMultilevel"/>
    <w:lvl w:ilvl="0">
      <w:lvlJc w:val="left"/>
      <w:lvlText w:val="(%1)"/>
      <w:numFmt w:val="lowerRoman"/>
      <w:start w:val="2"/>
    </w:lvl>
  </w:abstractNum>
  <w:abstractNum w:abstractNumId="323">
    <w:nsid w:val="6163ED0D"/>
    <w:multiLevelType w:val="hybridMultilevel"/>
    <w:lvl w:ilvl="0">
      <w:lvlJc w:val="left"/>
      <w:lvlText w:val="(%1)"/>
      <w:numFmt w:val="lowerLetter"/>
      <w:start w:val="4"/>
    </w:lvl>
  </w:abstractNum>
  <w:abstractNum w:abstractNumId="324">
    <w:nsid w:val="C600E47"/>
    <w:multiLevelType w:val="hybridMultilevel"/>
    <w:lvl w:ilvl="0">
      <w:lvlJc w:val="left"/>
      <w:lvlText w:val="(%1)"/>
      <w:numFmt w:val="lowerLetter"/>
      <w:start w:val="2"/>
    </w:lvl>
  </w:abstractNum>
  <w:abstractNum w:abstractNumId="325">
    <w:nsid w:val="7D94F75D"/>
    <w:multiLevelType w:val="hybridMultilevel"/>
    <w:lvl w:ilvl="0">
      <w:lvlJc w:val="left"/>
      <w:lvlText w:val="%1"/>
      <w:numFmt w:val="lowerLetter"/>
      <w:start w:val="1"/>
    </w:lvl>
    <w:lvl w:ilvl="1">
      <w:lvlJc w:val="left"/>
      <w:lvlText w:val="(%2)"/>
      <w:numFmt w:val="lowerLetter"/>
      <w:start w:val="4"/>
    </w:lvl>
  </w:abstractNum>
  <w:abstractNum w:abstractNumId="326">
    <w:nsid w:val="6C31E7CD"/>
    <w:multiLevelType w:val="hybridMultilevel"/>
    <w:lvl w:ilvl="0">
      <w:lvlJc w:val="left"/>
      <w:lvlText w:val="(%1)"/>
      <w:numFmt w:val="lowerLetter"/>
      <w:start w:val="61"/>
    </w:lvl>
    <w:lvl w:ilvl="1">
      <w:lvlJc w:val="left"/>
      <w:lvlText w:val="(%2)"/>
      <w:numFmt w:val="lowerLetter"/>
      <w:start w:val="6"/>
    </w:lvl>
  </w:abstractNum>
  <w:abstractNum w:abstractNumId="327">
    <w:nsid w:val="2BB7929B"/>
    <w:multiLevelType w:val="hybridMultilevel"/>
    <w:lvl w:ilvl="0">
      <w:lvlJc w:val="left"/>
      <w:lvlText w:val="(%1)"/>
      <w:numFmt w:val="lowerRoman"/>
      <w:start w:val="4"/>
    </w:lvl>
    <w:lvl w:ilvl="1">
      <w:lvlJc w:val="left"/>
      <w:lvlText w:val="(%2)"/>
      <w:numFmt w:val="lowerLetter"/>
      <w:start w:val="2"/>
    </w:lvl>
  </w:abstractNum>
  <w:abstractNum w:abstractNumId="328">
    <w:nsid w:val="58A2A487"/>
    <w:multiLevelType w:val="hybridMultilevel"/>
    <w:lvl w:ilvl="0">
      <w:lvlJc w:val="left"/>
      <w:lvlText w:val="(%1)"/>
      <w:numFmt w:val="lowerLetter"/>
      <w:start w:val="4"/>
    </w:lvl>
  </w:abstractNum>
  <w:abstractNum w:abstractNumId="329">
    <w:nsid w:val="3A6F0E78"/>
    <w:multiLevelType w:val="hybridMultilevel"/>
    <w:lvl w:ilvl="0">
      <w:lvlJc w:val="left"/>
      <w:lvlText w:val="(%1)"/>
      <w:numFmt w:val="lowerLetter"/>
      <w:start w:val="2"/>
    </w:lvl>
  </w:abstractNum>
  <w:abstractNum w:abstractNumId="330">
    <w:nsid w:val="379A5B56"/>
    <w:multiLevelType w:val="hybridMultilevel"/>
    <w:lvl w:ilvl="0">
      <w:lvlJc w:val="left"/>
      <w:lvlText w:val="(%1)"/>
      <w:numFmt w:val="decimal"/>
      <w:start w:val="1"/>
    </w:lvl>
  </w:abstractNum>
  <w:abstractNum w:abstractNumId="331">
    <w:nsid w:val="53B735D5"/>
    <w:multiLevelType w:val="hybridMultilevel"/>
    <w:lvl w:ilvl="0">
      <w:lvlJc w:val="left"/>
      <w:lvlText w:val="%1"/>
      <w:numFmt w:val="lowerLetter"/>
      <w:start w:val="1"/>
    </w:lvl>
    <w:lvl w:ilvl="1">
      <w:lvlJc w:val="left"/>
      <w:lvlText w:val="(%2)"/>
      <w:numFmt w:val="lowerLetter"/>
      <w:start w:val="4"/>
    </w:lvl>
  </w:abstractNum>
  <w:abstractNum w:abstractNumId="332">
    <w:nsid w:val="29784870"/>
    <w:multiLevelType w:val="hybridMultilevel"/>
    <w:lvl w:ilvl="0">
      <w:lvlJc w:val="left"/>
      <w:lvlText w:val="(%1)"/>
      <w:numFmt w:val="lowerLetter"/>
      <w:start w:val="5"/>
    </w:lvl>
    <w:lvl w:ilvl="1">
      <w:lvlJc w:val="left"/>
      <w:lvlText w:val="%2"/>
      <w:numFmt w:val="lowerLetter"/>
      <w:start w:val="1"/>
    </w:lvl>
  </w:abstractNum>
  <w:abstractNum w:abstractNumId="333">
    <w:nsid w:val="4CDCED4C"/>
    <w:multiLevelType w:val="hybridMultilevel"/>
    <w:lvl w:ilvl="0">
      <w:lvlJc w:val="left"/>
      <w:lvlText w:val="(%1)"/>
      <w:numFmt w:val="decimal"/>
      <w:start w:val="1"/>
    </w:lvl>
  </w:abstractNum>
  <w:abstractNum w:abstractNumId="334">
    <w:nsid w:val="10A30D9C"/>
    <w:multiLevelType w:val="hybridMultilevel"/>
    <w:lvl w:ilvl="0">
      <w:lvlJc w:val="left"/>
      <w:lvlText w:val="(%1)"/>
      <w:numFmt w:val="lowerLetter"/>
      <w:start w:val="5"/>
    </w:lvl>
    <w:lvl w:ilvl="1">
      <w:lvlJc w:val="left"/>
      <w:lvlText w:val="(%2)"/>
      <w:numFmt w:val="lowerLetter"/>
      <w:start w:val="35"/>
    </w:lvl>
  </w:abstractNum>
  <w:abstractNum w:abstractNumId="335">
    <w:nsid w:val="A66E486"/>
    <w:multiLevelType w:val="hybridMultilevel"/>
    <w:lvl w:ilvl="0">
      <w:lvlJc w:val="left"/>
      <w:lvlText w:val="(%1)"/>
      <w:numFmt w:val="lowerLetter"/>
      <w:start w:val="2"/>
    </w:lvl>
  </w:abstractNum>
  <w:abstractNum w:abstractNumId="336">
    <w:nsid w:val="306235EA"/>
    <w:multiLevelType w:val="hybridMultilevel"/>
    <w:lvl w:ilvl="0">
      <w:lvlJc w:val="left"/>
      <w:lvlText w:val="(%1)"/>
      <w:numFmt w:val="lowerLetter"/>
      <w:start w:val="2"/>
    </w:lvl>
  </w:abstractNum>
  <w:abstractNum w:abstractNumId="337">
    <w:nsid w:val="1187C70F"/>
    <w:multiLevelType w:val="hybridMultilevel"/>
    <w:lvl w:ilvl="0">
      <w:lvlJc w:val="left"/>
      <w:lvlText w:val="%1"/>
      <w:numFmt w:val="lowerLetter"/>
      <w:start w:val="1"/>
    </w:lvl>
    <w:lvl w:ilvl="1">
      <w:lvlJc w:val="left"/>
      <w:lvlText w:val="(%2)"/>
      <w:numFmt w:val="lowerLetter"/>
      <w:start w:val="4"/>
    </w:lvl>
  </w:abstractNum>
  <w:abstractNum w:abstractNumId="338">
    <w:nsid w:val="5476DE98"/>
    <w:multiLevelType w:val="hybridMultilevel"/>
    <w:lvl w:ilvl="0">
      <w:lvlJc w:val="left"/>
      <w:lvlText w:val="(%1)"/>
      <w:numFmt w:val="lowerLetter"/>
      <w:start w:val="10"/>
    </w:lvl>
    <w:lvl w:ilvl="1">
      <w:lvlJc w:val="left"/>
      <w:lvlText w:val="(%2)"/>
      <w:numFmt w:val="lowerLetter"/>
      <w:start w:val="5"/>
    </w:lvl>
  </w:abstractNum>
  <w:abstractNum w:abstractNumId="339">
    <w:nsid w:val="EA697F2"/>
    <w:multiLevelType w:val="hybridMultilevel"/>
    <w:lvl w:ilvl="0">
      <w:lvlJc w:val="left"/>
      <w:lvlText w:val="(%1)"/>
      <w:numFmt w:val="lowerLetter"/>
      <w:start w:val="1"/>
    </w:lvl>
    <w:lvl w:ilvl="1">
      <w:lvlJc w:val="left"/>
      <w:lvlText w:val="(%2)"/>
      <w:numFmt w:val="lowerRoman"/>
      <w:start w:val="1"/>
    </w:lvl>
  </w:abstractNum>
  <w:abstractNum w:abstractNumId="340">
    <w:nsid w:val="70BA39EB"/>
    <w:multiLevelType w:val="hybridMultilevel"/>
    <w:lvl w:ilvl="0">
      <w:lvlJc w:val="left"/>
      <w:lvlText w:val="(%1)"/>
      <w:numFmt w:val="lowerLetter"/>
      <w:start w:val="2"/>
    </w:lvl>
  </w:abstractNum>
  <w:abstractNum w:abstractNumId="341">
    <w:nsid w:val="4A8DB59C"/>
    <w:multiLevelType w:val="hybridMultilevel"/>
    <w:lvl w:ilvl="0">
      <w:lvlJc w:val="left"/>
      <w:lvlText w:val="(%1)"/>
      <w:numFmt w:val="lowerLetter"/>
      <w:start w:val="3"/>
    </w:lvl>
    <w:lvl w:ilvl="1">
      <w:lvlJc w:val="left"/>
      <w:lvlText w:val="(%2)"/>
      <w:numFmt w:val="lowerLetter"/>
      <w:start w:val="5"/>
    </w:lvl>
  </w:abstractNum>
  <w:abstractNum w:abstractNumId="342">
    <w:nsid w:val="1AFD9053"/>
    <w:multiLevelType w:val="hybridMultilevel"/>
    <w:lvl w:ilvl="0">
      <w:lvlJc w:val="left"/>
      <w:lvlText w:val="(%1)"/>
      <w:numFmt w:val="lowerLetter"/>
      <w:start w:val="8"/>
    </w:lvl>
  </w:abstractNum>
  <w:abstractNum w:abstractNumId="343">
    <w:nsid w:val="558BB10D"/>
    <w:multiLevelType w:val="hybridMultilevel"/>
    <w:lvl w:ilvl="0">
      <w:lvlJc w:val="left"/>
      <w:lvlText w:val="(%1)"/>
      <w:numFmt w:val="lowerRoman"/>
      <w:start w:val="1"/>
    </w:lvl>
  </w:abstractNum>
  <w:abstractNum w:abstractNumId="344">
    <w:nsid w:val="43B27FA7"/>
    <w:multiLevelType w:val="hybridMultilevel"/>
    <w:lvl w:ilvl="0">
      <w:lvlJc w:val="left"/>
      <w:lvlText w:val="(%1)"/>
      <w:numFmt w:val="lowerLetter"/>
      <w:start w:val="2"/>
    </w:lvl>
  </w:abstractNum>
  <w:abstractNum w:abstractNumId="345">
    <w:nsid w:val="27FADEFA"/>
    <w:multiLevelType w:val="hybridMultilevel"/>
    <w:lvl w:ilvl="0">
      <w:lvlJc w:val="left"/>
      <w:lvlText w:val="(%1)"/>
      <w:numFmt w:val="lowerLetter"/>
      <w:start w:val="3"/>
    </w:lvl>
  </w:abstractNum>
  <w:abstractNum w:abstractNumId="346">
    <w:nsid w:val="78BB805A"/>
    <w:multiLevelType w:val="hybridMultilevel"/>
    <w:lvl w:ilvl="0">
      <w:lvlJc w:val="left"/>
      <w:lvlText w:val="(%1)"/>
      <w:numFmt w:val="lowerLetter"/>
      <w:start w:val="3"/>
    </w:lvl>
  </w:abstractNum>
  <w:abstractNum w:abstractNumId="347">
    <w:nsid w:val="62548FD8"/>
    <w:multiLevelType w:val="hybridMultilevel"/>
    <w:lvl w:ilvl="0">
      <w:lvlJc w:val="left"/>
      <w:lvlText w:val="(%1)"/>
      <w:numFmt w:val="lowerLetter"/>
      <w:start w:val="2"/>
    </w:lvl>
  </w:abstractNum>
  <w:abstractNum w:abstractNumId="348">
    <w:nsid w:val="FA085B0"/>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349">
    <w:nsid w:val="4E5DCB5"/>
    <w:multiLevelType w:val="hybridMultilevel"/>
    <w:lvl w:ilvl="0">
      <w:lvlJc w:val="left"/>
      <w:lvlText w:val="%1"/>
      <w:numFmt w:val="upperLetter"/>
      <w:start w:val="1"/>
    </w:lvl>
    <w:lvl w:ilvl="1">
      <w:lvlJc w:val="left"/>
      <w:lvlText w:val="(%2)"/>
      <w:numFmt w:val="decimal"/>
      <w:start w:val="4"/>
    </w:lvl>
  </w:abstractNum>
  <w:abstractNum w:abstractNumId="350">
    <w:nsid w:val="41E96BDB"/>
    <w:multiLevelType w:val="hybridMultilevel"/>
    <w:lvl w:ilvl="0">
      <w:lvlJc w:val="left"/>
      <w:lvlText w:val="(%1)"/>
      <w:numFmt w:val="upperLetter"/>
      <w:start w:val="3"/>
    </w:lvl>
    <w:lvl w:ilvl="1">
      <w:lvlJc w:val="left"/>
      <w:lvlText w:val="%2"/>
      <w:numFmt w:val="decimal"/>
      <w:start w:val="1"/>
    </w:lvl>
  </w:abstractNum>
  <w:abstractNum w:abstractNumId="351">
    <w:nsid w:val="331C4250"/>
    <w:multiLevelType w:val="hybridMultilevel"/>
    <w:lvl w:ilvl="0">
      <w:lvlJc w:val="left"/>
      <w:lvlText w:val="(%1)"/>
      <w:numFmt w:val="lowerLetter"/>
      <w:start w:val="7"/>
    </w:lvl>
  </w:abstractNum>
  <w:abstractNum w:abstractNumId="352">
    <w:nsid w:val="1B1493C2"/>
    <w:multiLevelType w:val="hybridMultilevel"/>
    <w:lvl w:ilvl="0">
      <w:lvlJc w:val="left"/>
      <w:lvlText w:val="(%1)"/>
      <w:numFmt w:val="lowerLetter"/>
      <w:start w:val="2"/>
    </w:lvl>
  </w:abstractNum>
  <w:abstractNum w:abstractNumId="353">
    <w:nsid w:val="39F06DFD"/>
    <w:multiLevelType w:val="hybridMultilevel"/>
    <w:lvl w:ilvl="0">
      <w:lvlJc w:val="left"/>
      <w:lvlText w:val="(%1)"/>
      <w:numFmt w:val="lowerLetter"/>
      <w:start w:val="4"/>
    </w:lvl>
  </w:abstractNum>
  <w:abstractNum w:abstractNumId="354">
    <w:nsid w:val="14802F5D"/>
    <w:multiLevelType w:val="hybridMultilevel"/>
    <w:lvl w:ilvl="0">
      <w:lvlJc w:val="left"/>
      <w:lvlText w:val="(%1)"/>
      <w:numFmt w:val="lowerLetter"/>
      <w:start w:val="1"/>
    </w:lvl>
  </w:abstractNum>
  <w:abstractNum w:abstractNumId="355">
    <w:nsid w:val="2774A209"/>
    <w:multiLevelType w:val="hybridMultilevel"/>
    <w:lvl w:ilvl="0">
      <w:lvlJc w:val="left"/>
      <w:lvlText w:val="(%1)"/>
      <w:numFmt w:val="lowerLetter"/>
      <w:start w:val="1"/>
    </w:lvl>
  </w:abstractNum>
  <w:abstractNum w:abstractNumId="356">
    <w:nsid w:val="3785655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7">
    <w:nsid w:val="B2172A"/>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358">
    <w:nsid w:val="532C34A5"/>
    <w:multiLevelType w:val="hybridMultilevel"/>
    <w:lvl w:ilvl="0">
      <w:lvlJc w:val="left"/>
      <w:lvlText w:val="(%1)"/>
      <w:numFmt w:val="lowerLetter"/>
      <w:start w:val="5"/>
    </w:lvl>
  </w:abstractNum>
  <w:abstractNum w:abstractNumId="359">
    <w:nsid w:val="102809E2"/>
    <w:multiLevelType w:val="hybridMultilevel"/>
    <w:lvl w:ilvl="0">
      <w:lvlJc w:val="left"/>
      <w:lvlText w:val="(%1)"/>
      <w:numFmt w:val="lowerRoman"/>
      <w:start w:val="3"/>
    </w:lvl>
  </w:abstractNum>
  <w:abstractNum w:abstractNumId="360">
    <w:nsid w:val="3B2125A3"/>
    <w:multiLevelType w:val="hybridMultilevel"/>
    <w:lvl w:ilvl="0">
      <w:lvlJc w:val="left"/>
      <w:lvlText w:val="(%1)"/>
      <w:numFmt w:val="lowerLetter"/>
      <w:start w:val="2"/>
    </w:lvl>
  </w:abstractNum>
  <w:abstractNum w:abstractNumId="361">
    <w:nsid w:val="AC68FFB"/>
    <w:multiLevelType w:val="hybridMultilevel"/>
    <w:lvl w:ilvl="0">
      <w:lvlJc w:val="left"/>
      <w:lvlText w:val="(%1)"/>
      <w:numFmt w:val="lowerLetter"/>
      <w:start w:val="2"/>
    </w:lvl>
  </w:abstractNum>
  <w:abstractNum w:abstractNumId="362">
    <w:nsid w:val="63DF3FB7"/>
    <w:multiLevelType w:val="hybridMultilevel"/>
    <w:lvl w:ilvl="0">
      <w:lvlJc w:val="left"/>
      <w:lvlText w:val="(%1)"/>
      <w:numFmt w:val="lowerLetter"/>
      <w:start w:val="2"/>
    </w:lvl>
  </w:abstractNum>
  <w:abstractNum w:abstractNumId="363">
    <w:nsid w:val="64996E13"/>
    <w:multiLevelType w:val="hybridMultilevel"/>
    <w:lvl w:ilvl="0">
      <w:lvlJc w:val="left"/>
      <w:lvlText w:val="(%1)"/>
      <w:numFmt w:val="lowerLetter"/>
      <w:start w:val="2"/>
    </w:lvl>
  </w:abstractNum>
  <w:abstractNum w:abstractNumId="364">
    <w:nsid w:val="57A37D47"/>
    <w:multiLevelType w:val="hybridMultilevel"/>
    <w:lvl w:ilvl="0">
      <w:lvlJc w:val="left"/>
      <w:lvlText w:val="(%1)"/>
      <w:numFmt w:val="lowerLetter"/>
      <w:start w:val="2"/>
    </w:lvl>
  </w:abstractNum>
  <w:abstractNum w:abstractNumId="365">
    <w:nsid w:val="74824D54"/>
    <w:multiLevelType w:val="hybridMultilevel"/>
    <w:lvl w:ilvl="0">
      <w:lvlJc w:val="left"/>
      <w:lvlText w:val="%1"/>
      <w:numFmt w:val="lowerLetter"/>
      <w:start w:val="1"/>
    </w:lvl>
    <w:lvl w:ilvl="1">
      <w:lvlJc w:val="left"/>
      <w:lvlText w:val="(%2)"/>
      <w:numFmt w:val="lowerLetter"/>
      <w:start w:val="1"/>
    </w:lvl>
  </w:abstractNum>
  <w:abstractNum w:abstractNumId="366">
    <w:nsid w:val="6F00529A"/>
    <w:multiLevelType w:val="hybridMultilevel"/>
    <w:lvl w:ilvl="0">
      <w:lvlJc w:val="left"/>
      <w:lvlText w:val="(%1)"/>
      <w:numFmt w:val="lowerLetter"/>
      <w:start w:val="61"/>
    </w:lvl>
    <w:lvl w:ilvl="1">
      <w:lvlJc w:val="left"/>
      <w:lvlText w:val="(%2)"/>
      <w:numFmt w:val="lowerLetter"/>
      <w:start w:val="2"/>
    </w:lvl>
  </w:abstractNum>
  <w:abstractNum w:abstractNumId="367">
    <w:nsid w:val="805B331"/>
    <w:multiLevelType w:val="hybridMultilevel"/>
    <w:lvl w:ilvl="0">
      <w:lvlJc w:val="left"/>
      <w:lvlText w:val="(%1)"/>
      <w:numFmt w:val="lowerLetter"/>
      <w:start w:val="61"/>
    </w:lvl>
    <w:lvl w:ilvl="1">
      <w:lvlJc w:val="left"/>
      <w:lvlText w:val="(%2)"/>
      <w:numFmt w:val="lowerLetter"/>
      <w:start w:val="3"/>
    </w:lvl>
  </w:abstractNum>
  <w:abstractNum w:abstractNumId="368">
    <w:nsid w:val="60A1463"/>
    <w:multiLevelType w:val="hybridMultilevel"/>
    <w:lvl w:ilvl="0">
      <w:lvlJc w:val="left"/>
      <w:lvlText w:val="(%1)"/>
      <w:numFmt w:val="lowerLetter"/>
      <w:start w:val="4"/>
    </w:lvl>
  </w:abstractNum>
  <w:abstractNum w:abstractNumId="369">
    <w:nsid w:val="43773132"/>
    <w:multiLevelType w:val="hybridMultilevel"/>
    <w:lvl w:ilvl="0">
      <w:lvlJc w:val="left"/>
      <w:lvlText w:val="(%1)"/>
      <w:numFmt w:val="lowerLetter"/>
      <w:start w:val="8"/>
    </w:lvl>
  </w:abstractNum>
  <w:abstractNum w:abstractNumId="370">
    <w:nsid w:val="16AC4B23"/>
    <w:multiLevelType w:val="hybridMultilevel"/>
    <w:lvl w:ilvl="0">
      <w:lvlJc w:val="left"/>
      <w:lvlText w:val="(%1)"/>
      <w:numFmt w:val="lowerLetter"/>
      <w:start w:val="17"/>
    </w:lvl>
  </w:abstractNum>
  <w:abstractNum w:abstractNumId="371">
    <w:nsid w:val="76C44E4E"/>
    <w:multiLevelType w:val="hybridMultilevel"/>
    <w:lvl w:ilvl="0">
      <w:lvlJc w:val="left"/>
      <w:lvlText w:val="%1"/>
      <w:numFmt w:val="lowerLetter"/>
      <w:start w:val="1"/>
    </w:lvl>
    <w:lvl w:ilvl="1">
      <w:lvlJc w:val="left"/>
      <w:lvlText w:val="(%2)"/>
      <w:numFmt w:val="lowerLetter"/>
      <w:start w:val="18"/>
    </w:lvl>
  </w:abstractNum>
  <w:abstractNum w:abstractNumId="372">
    <w:nsid w:val="E04E6CE"/>
    <w:multiLevelType w:val="hybridMultilevel"/>
    <w:lvl w:ilvl="0">
      <w:lvlJc w:val="left"/>
      <w:lvlText w:val="(%1)"/>
      <w:numFmt w:val="lowerLetter"/>
      <w:start w:val="35"/>
    </w:lvl>
    <w:lvl w:ilvl="1">
      <w:lvlJc w:val="left"/>
      <w:lvlText w:val="(%2)"/>
      <w:numFmt w:val="lowerLetter"/>
      <w:start w:val="25"/>
    </w:lvl>
  </w:abstractNum>
  <w:abstractNum w:abstractNumId="373">
    <w:nsid w:val="31A9DB76"/>
    <w:multiLevelType w:val="hybridMultilevel"/>
    <w:lvl w:ilvl="0">
      <w:lvlJc w:val="left"/>
      <w:lvlText w:val="(%1)"/>
      <w:numFmt w:val="lowerLetter"/>
      <w:start w:val="1"/>
    </w:lvl>
  </w:abstractNum>
  <w:abstractNum w:abstractNumId="374">
    <w:nsid w:val="4C4FFF5B"/>
    <w:multiLevelType w:val="hybridMultilevel"/>
    <w:lvl w:ilvl="0">
      <w:lvlJc w:val="left"/>
      <w:lvlText w:val="%1"/>
      <w:numFmt w:val="lowerLetter"/>
      <w:start w:val="1"/>
    </w:lvl>
    <w:lvl w:ilvl="1">
      <w:lvlJc w:val="left"/>
      <w:lvlText w:val="(%2)"/>
      <w:numFmt w:val="lowerLetter"/>
      <w:start w:val="1"/>
    </w:lvl>
  </w:abstractNum>
  <w:abstractNum w:abstractNumId="375">
    <w:nsid w:val="51B76675"/>
    <w:multiLevelType w:val="hybridMultilevel"/>
    <w:lvl w:ilvl="0">
      <w:lvlJc w:val="left"/>
      <w:lvlText w:val="(%1)"/>
      <w:numFmt w:val="lowerLetter"/>
      <w:start w:val="61"/>
    </w:lvl>
    <w:lvl w:ilvl="1">
      <w:lvlJc w:val="left"/>
      <w:lvlText w:val="%2"/>
      <w:numFmt w:val="lowerLetter"/>
      <w:start w:val="1"/>
    </w:lvl>
  </w:abstractNum>
  <w:abstractNum w:abstractNumId="376">
    <w:nsid w:val="59A4BA71"/>
    <w:multiLevelType w:val="hybridMultilevel"/>
    <w:lvl w:ilvl="0">
      <w:lvlJc w:val="left"/>
      <w:lvlText w:val="(%1)"/>
      <w:numFmt w:val="lowerLetter"/>
      <w:start w:val="5"/>
    </w:lvl>
  </w:abstractNum>
  <w:abstractNum w:abstractNumId="377">
    <w:nsid w:val="450B7FB6"/>
    <w:multiLevelType w:val="hybridMultilevel"/>
    <w:lvl w:ilvl="0">
      <w:lvlJc w:val="left"/>
      <w:lvlText w:val="(%1)"/>
      <w:numFmt w:val="lowerLetter"/>
      <w:start w:val="8"/>
    </w:lvl>
    <w:lvl w:ilvl="1">
      <w:lvlJc w:val="left"/>
      <w:lvlText w:val="(%2)"/>
      <w:numFmt w:val="lowerRoman"/>
      <w:start w:val="1"/>
    </w:lvl>
  </w:abstractNum>
  <w:abstractNum w:abstractNumId="378">
    <w:nsid w:val="340BF64D"/>
    <w:multiLevelType w:val="hybridMultilevel"/>
    <w:lvl w:ilvl="0">
      <w:lvlJc w:val="left"/>
      <w:lvlText w:val="%1"/>
      <w:numFmt w:val="lowerLetter"/>
      <w:start w:val="1"/>
    </w:lvl>
    <w:lvl w:ilvl="1">
      <w:lvlJc w:val="left"/>
      <w:lvlText w:val="(%2)"/>
      <w:numFmt w:val="lowerRoman"/>
      <w:start w:val="5"/>
    </w:lvl>
  </w:abstractNum>
  <w:abstractNum w:abstractNumId="379">
    <w:nsid w:val="69454021"/>
    <w:multiLevelType w:val="hybridMultilevel"/>
    <w:lvl w:ilvl="0">
      <w:lvlJc w:val="left"/>
      <w:lvlText w:val="(%1)"/>
      <w:numFmt w:val="lowerLetter"/>
      <w:start w:val="9"/>
    </w:lvl>
    <w:lvl w:ilvl="1">
      <w:lvlJc w:val="left"/>
      <w:lvlText w:val="(%2)"/>
      <w:numFmt w:val="lowerRoman"/>
      <w:start w:val="1"/>
    </w:lvl>
  </w:abstractNum>
  <w:abstractNum w:abstractNumId="380">
    <w:nsid w:val="49F15C6B"/>
    <w:multiLevelType w:val="hybridMultilevel"/>
    <w:lvl w:ilvl="0">
      <w:lvlJc w:val="left"/>
      <w:lvlText w:val="(%1)"/>
      <w:numFmt w:val="lowerLetter"/>
      <w:start w:val="18"/>
    </w:lvl>
  </w:abstractNum>
  <w:abstractNum w:abstractNumId="381">
    <w:nsid w:val="75F56228"/>
    <w:multiLevelType w:val="hybridMultilevel"/>
    <w:lvl w:ilvl="0">
      <w:lvlJc w:val="left"/>
      <w:lvlText w:val="(%1)"/>
      <w:numFmt w:val="upperLetter"/>
      <w:start w:val="1"/>
    </w:lvl>
  </w:abstractNum>
  <w:abstractNum w:abstractNumId="382">
    <w:nsid w:val="1C618271"/>
    <w:multiLevelType w:val="hybridMultilevel"/>
    <w:lvl w:ilvl="0">
      <w:lvlJc w:val="left"/>
      <w:lvlText w:val="%1"/>
      <w:numFmt w:val="lowerRoman"/>
      <w:start w:val="1"/>
    </w:lvl>
    <w:lvl w:ilvl="1">
      <w:lvlJc w:val="left"/>
      <w:lvlText w:val="(%2)"/>
      <w:numFmt w:val="lowerLetter"/>
      <w:start w:val="1"/>
    </w:lvl>
  </w:abstractNum>
  <w:abstractNum w:abstractNumId="383">
    <w:nsid w:val="6505F02E"/>
    <w:multiLevelType w:val="hybridMultilevel"/>
    <w:lvl w:ilvl="0">
      <w:lvlJc w:val="left"/>
      <w:lvlText w:val="(%1)"/>
      <w:numFmt w:val="lowerRoman"/>
      <w:start w:val="4"/>
    </w:lvl>
    <w:lvl w:ilvl="1">
      <w:lvlJc w:val="left"/>
      <w:lvlText w:val="(%2)"/>
      <w:numFmt w:val="lowerLetter"/>
      <w:start w:val="3"/>
    </w:lvl>
  </w:abstractNum>
  <w:abstractNum w:abstractNumId="384">
    <w:nsid w:val="2FE5D025"/>
    <w:multiLevelType w:val="hybridMultilevel"/>
    <w:lvl w:ilvl="0">
      <w:lvlJc w:val="left"/>
      <w:lvlText w:val="(%1)"/>
      <w:numFmt w:val="lowerLetter"/>
      <w:start w:val="7"/>
    </w:lvl>
  </w:abstractNum>
  <w:abstractNum w:abstractNumId="385">
    <w:nsid w:val="30E1B1CF"/>
    <w:multiLevelType w:val="hybridMultilevel"/>
    <w:lvl w:ilvl="0">
      <w:lvlJc w:val="left"/>
      <w:lvlText w:val="(%1)"/>
      <w:numFmt w:val="lowerRoman"/>
      <w:start w:val="2"/>
    </w:lvl>
  </w:abstractNum>
  <w:abstractNum w:abstractNumId="386">
    <w:nsid w:val="C7A9237"/>
    <w:multiLevelType w:val="hybridMultilevel"/>
    <w:lvl w:ilvl="0">
      <w:lvlJc w:val="left"/>
      <w:lvlText w:val="(%1)"/>
      <w:numFmt w:val="lowerLetter"/>
      <w:start w:val="1"/>
    </w:lvl>
  </w:abstractNum>
  <w:abstractNum w:abstractNumId="387">
    <w:nsid w:val="676B3580"/>
    <w:multiLevelType w:val="hybridMultilevel"/>
    <w:lvl w:ilvl="0">
      <w:lvlJc w:val="left"/>
      <w:lvlText w:val="(%1)"/>
      <w:numFmt w:val="lowerLetter"/>
      <w:start w:val="26"/>
    </w:lvl>
  </w:abstractNum>
  <w:abstractNum w:abstractNumId="388">
    <w:nsid w:val="3193C8F9"/>
    <w:multiLevelType w:val="hybridMultilevel"/>
    <w:lvl w:ilvl="0">
      <w:lvlJc w:val="left"/>
      <w:lvlText w:val="(%1)"/>
      <w:numFmt w:val="lowerLetter"/>
      <w:start w:val="2"/>
    </w:lvl>
  </w:abstractNum>
  <w:abstractNum w:abstractNumId="389">
    <w:nsid w:val="5FA6C6DC"/>
    <w:multiLevelType w:val="hybridMultilevel"/>
    <w:lvl w:ilvl="0">
      <w:lvlJc w:val="left"/>
      <w:lvlText w:val="(%1)"/>
      <w:numFmt w:val="lowerLetter"/>
      <w:start w:val="6"/>
    </w:lvl>
  </w:abstractNum>
  <w:abstractNum w:abstractNumId="390">
    <w:nsid w:val="77933F62"/>
    <w:multiLevelType w:val="hybridMultilevel"/>
    <w:lvl w:ilvl="0">
      <w:lvlJc w:val="left"/>
      <w:lvlText w:val="%1"/>
      <w:numFmt w:val="lowerLetter"/>
      <w:start w:val="1"/>
    </w:lvl>
    <w:lvl w:ilvl="1">
      <w:lvlJc w:val="left"/>
      <w:lvlText w:val="(%2)"/>
      <w:numFmt w:val="lowerLetter"/>
      <w:start w:val="1"/>
    </w:lvl>
  </w:abstractNum>
  <w:abstractNum w:abstractNumId="391">
    <w:nsid w:val="6CB4EE9C"/>
    <w:multiLevelType w:val="hybridMultilevel"/>
    <w:lvl w:ilvl="0">
      <w:lvlJc w:val="left"/>
      <w:lvlText w:val="(%1)"/>
      <w:numFmt w:val="lowerLetter"/>
      <w:start w:val="5"/>
    </w:lvl>
    <w:lvl w:ilvl="1">
      <w:lvlJc w:val="left"/>
      <w:lvlText w:val="(%2)"/>
      <w:numFmt w:val="lowerLetter"/>
      <w:start w:val="6"/>
    </w:lvl>
  </w:abstractNum>
  <w:abstractNum w:abstractNumId="392">
    <w:nsid w:val="6A6D56D7"/>
    <w:multiLevelType w:val="hybridMultilevel"/>
    <w:lvl w:ilvl="0">
      <w:lvlJc w:val="left"/>
      <w:lvlText w:val="(%1)"/>
      <w:numFmt w:val="lowerLetter"/>
      <w:start w:val="7"/>
    </w:lvl>
  </w:abstractNum>
  <w:abstractNum w:abstractNumId="393">
    <w:nsid w:val="5B727F19"/>
    <w:multiLevelType w:val="hybridMultilevel"/>
    <w:lvl w:ilvl="0">
      <w:lvlJc w:val="left"/>
      <w:lvlText w:val="(%1)"/>
      <w:numFmt w:val="lowerLetter"/>
      <w:start w:val="13"/>
    </w:lvl>
  </w:abstractNum>
  <w:abstractNum w:abstractNumId="394">
    <w:nsid w:val="514E5CB0"/>
    <w:multiLevelType w:val="hybridMultilevel"/>
    <w:lvl w:ilvl="0">
      <w:lvlJc w:val="left"/>
      <w:lvlText w:val="%1"/>
      <w:numFmt w:val="lowerLetter"/>
      <w:start w:val="1"/>
    </w:lvl>
    <w:lvl w:ilvl="1">
      <w:lvlJc w:val="left"/>
      <w:lvlText w:val="(%2)"/>
      <w:numFmt w:val="lowerLetter"/>
      <w:start w:val="1"/>
    </w:lvl>
  </w:abstractNum>
  <w:abstractNum w:abstractNumId="395">
    <w:nsid w:val="4210D41E"/>
    <w:multiLevelType w:val="hybridMultilevel"/>
    <w:lvl w:ilvl="0">
      <w:lvlJc w:val="left"/>
      <w:lvlText w:val="(%1)"/>
      <w:numFmt w:val="lowerLetter"/>
      <w:start w:val="9"/>
    </w:lvl>
    <w:lvl w:ilvl="1">
      <w:lvlJc w:val="left"/>
      <w:lvlText w:val="(%2)"/>
      <w:numFmt w:val="lowerLetter"/>
      <w:start w:val="4"/>
    </w:lvl>
  </w:abstractNum>
  <w:abstractNum w:abstractNumId="396">
    <w:nsid w:val="4FF4CC6D"/>
    <w:multiLevelType w:val="hybridMultilevel"/>
    <w:lvl w:ilvl="0">
      <w:lvlJc w:val="left"/>
      <w:lvlText w:val="(%1)"/>
      <w:numFmt w:val="lowerLetter"/>
      <w:start w:val="5"/>
    </w:lvl>
  </w:abstractNum>
  <w:abstractNum w:abstractNumId="397">
    <w:nsid w:val="404EAF4A"/>
    <w:multiLevelType w:val="hybridMultilevel"/>
    <w:lvl w:ilvl="0">
      <w:lvlJc w:val="left"/>
      <w:lvlText w:val="(%1)"/>
      <w:numFmt w:val="lowerLetter"/>
      <w:start w:val="16"/>
    </w:lvl>
  </w:abstractNum>
  <w:abstractNum w:abstractNumId="398">
    <w:nsid w:val="4A16874F"/>
    <w:multiLevelType w:val="hybridMultilevel"/>
    <w:lvl w:ilvl="0">
      <w:lvlJc w:val="left"/>
      <w:lvlText w:val="(%1)"/>
      <w:numFmt w:val="lowerLetter"/>
      <w:start w:val="2"/>
    </w:lvl>
  </w:abstractNum>
  <w:abstractNum w:abstractNumId="399">
    <w:nsid w:val="55FEE0D1"/>
    <w:multiLevelType w:val="hybridMultilevel"/>
    <w:lvl w:ilvl="0">
      <w:lvlJc w:val="left"/>
      <w:lvlText w:val="(%1)"/>
      <w:numFmt w:val="lowerLetter"/>
      <w:start w:val="3"/>
    </w:lvl>
  </w:abstractNum>
  <w:abstractNum w:abstractNumId="400">
    <w:nsid w:val="3C5E07C"/>
    <w:multiLevelType w:val="hybridMultilevel"/>
    <w:lvl w:ilvl="0">
      <w:lvlJc w:val="left"/>
      <w:lvlText w:val="(%1)"/>
      <w:numFmt w:val="lowerLetter"/>
      <w:start w:val="1"/>
    </w:lvl>
  </w:abstractNum>
  <w:abstractNum w:abstractNumId="401">
    <w:nsid w:val="60C2D273"/>
    <w:multiLevelType w:val="hybridMultilevel"/>
    <w:lvl w:ilvl="0">
      <w:lvlJc w:val="left"/>
      <w:lvlText w:val="(%1)"/>
      <w:numFmt w:val="lowerLetter"/>
      <w:start w:val="5"/>
    </w:lvl>
  </w:abstractNum>
  <w:abstractNum w:abstractNumId="402">
    <w:nsid w:val="4CC32F1F"/>
    <w:multiLevelType w:val="hybridMultilevel"/>
    <w:lvl w:ilvl="0">
      <w:lvlJc w:val="left"/>
      <w:lvlText w:val="(%1)"/>
      <w:numFmt w:val="lowerLetter"/>
      <w:start w:val="16"/>
    </w:lvl>
  </w:abstractNum>
  <w:abstractNum w:abstractNumId="403">
    <w:nsid w:val="11CAC74A"/>
    <w:multiLevelType w:val="hybridMultilevel"/>
    <w:lvl w:ilvl="0">
      <w:lvlJc w:val="left"/>
      <w:lvlText w:val="%1"/>
      <w:numFmt w:val="lowerLetter"/>
      <w:start w:val="1"/>
    </w:lvl>
    <w:lvl w:ilvl="1">
      <w:lvlJc w:val="left"/>
      <w:lvlText w:val="(%2)"/>
      <w:numFmt w:val="lowerLetter"/>
      <w:start w:val="1"/>
    </w:lvl>
  </w:abstractNum>
  <w:abstractNum w:abstractNumId="404">
    <w:nsid w:val="126CADE9"/>
    <w:multiLevelType w:val="hybridMultilevel"/>
    <w:lvl w:ilvl="0">
      <w:lvlJc w:val="left"/>
      <w:lvlText w:val="(%1)"/>
      <w:numFmt w:val="lowerLetter"/>
      <w:start w:val="35"/>
    </w:lvl>
    <w:lvl w:ilvl="1">
      <w:lvlJc w:val="left"/>
      <w:lvlText w:val="%2"/>
      <w:numFmt w:val="lowerLetter"/>
      <w:start w:val="1"/>
    </w:lvl>
  </w:abstractNum>
  <w:abstractNum w:abstractNumId="405">
    <w:nsid w:val="19132E7B"/>
    <w:multiLevelType w:val="hybridMultilevel"/>
    <w:lvl w:ilvl="0">
      <w:lvlJc w:val="left"/>
      <w:lvlText w:val="(%1)"/>
      <w:numFmt w:val="lowerRoman"/>
      <w:start w:val="1"/>
    </w:lvl>
  </w:abstractNum>
  <w:abstractNum w:abstractNumId="406">
    <w:nsid w:val="63822DC0"/>
    <w:multiLevelType w:val="hybridMultilevel"/>
    <w:lvl w:ilvl="0">
      <w:lvlJc w:val="left"/>
      <w:lvlText w:val="(%1)"/>
      <w:numFmt w:val="lowerRoman"/>
      <w:start w:val="5"/>
    </w:lvl>
  </w:abstractNum>
  <w:abstractNum w:abstractNumId="407">
    <w:nsid w:val="6C11685A"/>
    <w:multiLevelType w:val="hybridMultilevel"/>
    <w:lvl w:ilvl="0">
      <w:lvlJc w:val="left"/>
      <w:lvlText w:val="(%1)"/>
      <w:numFmt w:val="lowerLetter"/>
      <w:start w:val="2"/>
    </w:lvl>
    <w:lvl w:ilvl="1">
      <w:lvlJc w:val="left"/>
      <w:lvlText w:val="(%2)"/>
      <w:numFmt w:val="lowerRoman"/>
      <w:start w:val="1"/>
    </w:lvl>
  </w:abstractNum>
  <w:abstractNum w:abstractNumId="408">
    <w:nsid w:val="5E1EAE31"/>
    <w:multiLevelType w:val="hybridMultilevel"/>
    <w:lvl w:ilvl="0">
      <w:lvlJc w:val="left"/>
      <w:lvlText w:val="(%1)"/>
      <w:numFmt w:val="lowerRoman"/>
      <w:start w:val="4"/>
    </w:lvl>
  </w:abstractNum>
  <w:abstractNum w:abstractNumId="409">
    <w:nsid w:val="178E240D"/>
    <w:multiLevelType w:val="hybridMultilevel"/>
    <w:lvl w:ilvl="0">
      <w:lvlJc w:val="left"/>
      <w:lvlText w:val="(%1)"/>
      <w:numFmt w:val="lowerLetter"/>
      <w:start w:val="3"/>
    </w:lvl>
  </w:abstractNum>
  <w:abstractNum w:abstractNumId="410">
    <w:nsid w:val="5556A87B"/>
    <w:multiLevelType w:val="hybridMultilevel"/>
    <w:lvl w:ilvl="0">
      <w:lvlJc w:val="left"/>
      <w:lvlText w:val="(%1)"/>
      <w:numFmt w:val="lowerLetter"/>
      <w:start w:val="1"/>
    </w:lvl>
  </w:abstractNum>
  <w:abstractNum w:abstractNumId="411">
    <w:nsid w:val="28100A9C"/>
    <w:multiLevelType w:val="hybridMultilevel"/>
    <w:lvl w:ilvl="0">
      <w:lvlJc w:val="left"/>
      <w:lvlText w:val="(%1)"/>
      <w:numFmt w:val="lowerLetter"/>
      <w:start w:val="1"/>
    </w:lvl>
  </w:abstractNum>
  <w:abstractNum w:abstractNumId="412">
    <w:nsid w:val="D838636"/>
    <w:multiLevelType w:val="hybridMultilevel"/>
    <w:lvl w:ilvl="0">
      <w:lvlJc w:val="left"/>
      <w:lvlText w:val="(%1)"/>
      <w:numFmt w:val="lowerLetter"/>
      <w:start w:val="8"/>
    </w:lvl>
  </w:abstractNum>
  <w:abstractNum w:abstractNumId="413">
    <w:nsid w:val="71B82AED"/>
    <w:multiLevelType w:val="hybridMultilevel"/>
    <w:lvl w:ilvl="0">
      <w:lvlJc w:val="left"/>
      <w:lvlText w:val="(%1)"/>
      <w:numFmt w:val="lowerLetter"/>
      <w:start w:val="14"/>
    </w:lvl>
  </w:abstractNum>
  <w:abstractNum w:abstractNumId="414">
    <w:nsid w:val="D15FACA"/>
    <w:multiLevelType w:val="hybridMultilevel"/>
    <w:lvl w:ilvl="0">
      <w:lvlJc w:val="left"/>
      <w:lvlText w:val="(%1)"/>
      <w:numFmt w:val="lowerLetter"/>
      <w:start w:val="1"/>
    </w:lvl>
  </w:abstractNum>
  <w:abstractNum w:abstractNumId="415">
    <w:nsid w:val="3D69565B"/>
    <w:multiLevelType w:val="hybridMultilevel"/>
    <w:lvl w:ilvl="0">
      <w:lvlJc w:val="left"/>
      <w:lvlText w:val="(%1)"/>
      <w:numFmt w:val="lowerLetter"/>
      <w:start w:val="3"/>
    </w:lvl>
    <w:lvl w:ilvl="1">
      <w:lvlJc w:val="left"/>
      <w:lvlText w:val="(%2)"/>
      <w:numFmt w:val="lowerRoman"/>
      <w:start w:val="1"/>
    </w:lvl>
  </w:abstractNum>
  <w:abstractNum w:abstractNumId="416">
    <w:nsid w:val="2299DCBC"/>
    <w:multiLevelType w:val="hybridMultilevel"/>
    <w:lvl w:ilvl="0">
      <w:lvlJc w:val="left"/>
      <w:lvlText w:val="(%1)"/>
      <w:numFmt w:val="lowerLetter"/>
      <w:start w:val="5"/>
    </w:lvl>
    <w:lvl w:ilvl="1">
      <w:lvlJc w:val="left"/>
      <w:lvlText w:val="(%2)"/>
      <w:numFmt w:val="lowerRoman"/>
      <w:start w:val="1"/>
    </w:lvl>
  </w:abstractNum>
  <w:abstractNum w:abstractNumId="417">
    <w:nsid w:val="19908D02"/>
    <w:multiLevelType w:val="hybridMultilevel"/>
    <w:lvl w:ilvl="0">
      <w:lvlJc w:val="left"/>
      <w:lvlText w:val="(%1)"/>
      <w:numFmt w:val="lowerLetter"/>
      <w:start w:val="7"/>
    </w:lvl>
  </w:abstractNum>
  <w:abstractNum w:abstractNumId="418">
    <w:nsid w:val="24D48BDB"/>
    <w:multiLevelType w:val="hybridMultilevel"/>
    <w:lvl w:ilvl="0">
      <w:lvlJc w:val="left"/>
      <w:lvlText w:val="(%1)"/>
      <w:numFmt w:val="lowerLetter"/>
      <w:start w:val="1"/>
    </w:lvl>
  </w:abstractNum>
  <w:abstractNum w:abstractNumId="419">
    <w:nsid w:val="542DA5B5"/>
    <w:multiLevelType w:val="hybridMultilevel"/>
    <w:lvl w:ilvl="0">
      <w:lvlJc w:val="left"/>
      <w:lvlText w:val="(%1)"/>
      <w:numFmt w:val="lowerLetter"/>
      <w:start w:val="2"/>
    </w:lvl>
  </w:abstractNum>
  <w:abstractNum w:abstractNumId="420">
    <w:nsid w:val="793753DE"/>
    <w:multiLevelType w:val="hybridMultilevel"/>
    <w:lvl w:ilvl="0">
      <w:lvlJc w:val="left"/>
      <w:lvlText w:val="(%1)"/>
      <w:numFmt w:val="lowerLetter"/>
      <w:start w:val="1"/>
    </w:lvl>
  </w:abstractNum>
  <w:abstractNum w:abstractNumId="421">
    <w:nsid w:val="1C67CB3D"/>
    <w:multiLevelType w:val="hybridMultilevel"/>
    <w:lvl w:ilvl="0">
      <w:lvlJc w:val="left"/>
      <w:lvlText w:val="(%1)"/>
      <w:numFmt w:val="lowerLetter"/>
      <w:start w:val="4"/>
    </w:lvl>
  </w:abstractNum>
  <w:abstractNum w:abstractNumId="422">
    <w:nsid w:val="40E29452"/>
    <w:multiLevelType w:val="hybridMultilevel"/>
    <w:lvl w:ilvl="0">
      <w:lvlJc w:val="left"/>
      <w:lvlText w:val="%1"/>
      <w:numFmt w:val="upperLetter"/>
      <w:start w:val="1"/>
    </w:lvl>
    <w:lvl w:ilvl="1">
      <w:lvlJc w:val="left"/>
      <w:lvlText w:val="(%2)"/>
      <w:numFmt w:val="lowerLetter"/>
      <w:start w:val="1"/>
    </w:lvl>
  </w:abstractNum>
  <w:abstractNum w:abstractNumId="423">
    <w:nsid w:val="63A4AAB6"/>
    <w:multiLevelType w:val="hybridMultilevel"/>
    <w:lvl w:ilvl="0">
      <w:lvlJc w:val="left"/>
      <w:lvlText w:val="(%1)"/>
      <w:numFmt w:val="upperLetter"/>
      <w:start w:val="2"/>
    </w:lvl>
    <w:lvl w:ilvl="1">
      <w:lvlJc w:val="left"/>
      <w:lvlText w:val="%2"/>
      <w:numFmt w:val="lowerLetter"/>
      <w:start w:val="1"/>
    </w:lvl>
  </w:abstractNum>
  <w:abstractNum w:abstractNumId="424">
    <w:nsid w:val="77DA4A57"/>
    <w:multiLevelType w:val="hybridMultilevel"/>
    <w:lvl w:ilvl="0">
      <w:lvlJc w:val="left"/>
      <w:lvlText w:val="%1"/>
      <w:numFmt w:val="lowerLetter"/>
      <w:start w:val="1"/>
    </w:lvl>
    <w:lvl w:ilvl="1">
      <w:lvlJc w:val="left"/>
      <w:lvlText w:val="(%2)"/>
      <w:numFmt w:val="lowerLetter"/>
      <w:start w:val="1"/>
    </w:lvl>
  </w:abstractNum>
  <w:abstractNum w:abstractNumId="425">
    <w:nsid w:val="1230F102"/>
    <w:multiLevelType w:val="hybridMultilevel"/>
    <w:lvl w:ilvl="0">
      <w:lvlJc w:val="left"/>
      <w:lvlText w:val="(%1)"/>
      <w:numFmt w:val="lowerLetter"/>
      <w:start w:val="35"/>
    </w:lvl>
    <w:lvl w:ilvl="1">
      <w:lvlJc w:val="left"/>
      <w:lvlText w:val="(%2)"/>
      <w:numFmt w:val="lowerLetter"/>
      <w:start w:val="2"/>
    </w:lvl>
  </w:abstractNum>
  <w:abstractNum w:abstractNumId="426">
    <w:nsid w:val="25B57ED4"/>
    <w:multiLevelType w:val="hybridMultilevel"/>
    <w:lvl w:ilvl="0">
      <w:lvlJc w:val="left"/>
      <w:lvlText w:val="%1"/>
      <w:numFmt w:val="lowerRoman"/>
      <w:start w:val="1"/>
    </w:lvl>
    <w:lvl w:ilvl="1">
      <w:lvlJc w:val="left"/>
      <w:lvlText w:val="(%2)"/>
      <w:numFmt w:val="lowerLetter"/>
      <w:start w:val="3"/>
    </w:lvl>
  </w:abstractNum>
  <w:abstractNum w:abstractNumId="427">
    <w:nsid w:val="47CF16C4"/>
    <w:multiLevelType w:val="hybridMultilevel"/>
    <w:lvl w:ilvl="0">
      <w:lvlJc w:val="left"/>
      <w:lvlText w:val="(%1)"/>
      <w:numFmt w:val="lowerRoman"/>
      <w:start w:val="4"/>
    </w:lvl>
    <w:lvl w:ilvl="1">
      <w:lvlJc w:val="left"/>
      <w:lvlText w:val="%2"/>
      <w:numFmt w:val="lowerLetter"/>
      <w:start w:val="1"/>
    </w:lvl>
  </w:abstractNum>
  <w:abstractNum w:abstractNumId="428">
    <w:nsid w:val="527FA04C"/>
    <w:multiLevelType w:val="hybridMultilevel"/>
    <w:lvl w:ilvl="0">
      <w:lvlJc w:val="left"/>
      <w:lvlText w:val="(%1)"/>
      <w:numFmt w:val="lowerLetter"/>
      <w:start w:val="1"/>
    </w:lvl>
  </w:abstractNum>
  <w:abstractNum w:abstractNumId="429">
    <w:nsid w:val="6FCC0624"/>
    <w:multiLevelType w:val="hybridMultilevel"/>
    <w:lvl w:ilvl="0">
      <w:lvlJc w:val="left"/>
      <w:lvlText w:val="(%1)"/>
      <w:numFmt w:val="lowerLetter"/>
      <w:start w:val="3"/>
    </w:lvl>
  </w:abstractNum>
  <w:abstractNum w:abstractNumId="430">
    <w:nsid w:val="1DCDF795"/>
    <w:multiLevelType w:val="hybridMultilevel"/>
    <w:lvl w:ilvl="0">
      <w:lvlJc w:val="left"/>
      <w:lvlText w:val="(%1)"/>
      <w:numFmt w:val="lowerLetter"/>
      <w:start w:val="1"/>
    </w:lvl>
    <w:lvl w:ilvl="1">
      <w:lvlJc w:val="left"/>
      <w:lvlText w:val="(%2)"/>
      <w:numFmt w:val="lowerRoman"/>
      <w:start w:val="1"/>
    </w:lvl>
  </w:abstractNum>
  <w:abstractNum w:abstractNumId="431">
    <w:nsid w:val="564580C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432">
    <w:nsid w:val="508ED89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33">
    <w:nsid w:val="6A9126B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434">
    <w:nsid w:val="68104812"/>
    <w:multiLevelType w:val="hybridMultilevel"/>
    <w:lvl w:ilvl="0">
      <w:lvlJc w:val="left"/>
      <w:lvlText w:val="(%1)"/>
      <w:numFmt w:val="lowerLetter"/>
      <w:start w:val="1"/>
    </w:lvl>
  </w:abstractNum>
  <w:abstractNum w:abstractNumId="435">
    <w:nsid w:val="62FB8680"/>
    <w:multiLevelType w:val="hybridMultilevel"/>
    <w:lvl w:ilvl="0">
      <w:lvlJc w:val="left"/>
      <w:lvlText w:val="(%1)"/>
      <w:numFmt w:val="lowerLetter"/>
      <w:start w:val="2"/>
    </w:lvl>
  </w:abstractNum>
  <w:abstractNum w:abstractNumId="436">
    <w:nsid w:val="3A45530"/>
    <w:multiLevelType w:val="hybridMultilevel"/>
    <w:lvl w:ilvl="0">
      <w:lvlJc w:val="left"/>
      <w:lvlText w:val="(%1)"/>
      <w:numFmt w:val="lowerRoman"/>
      <w:start w:val="1"/>
    </w:lvl>
  </w:abstractNum>
  <w:abstractNum w:abstractNumId="437">
    <w:nsid w:val="4B9275D2"/>
    <w:multiLevelType w:val="hybridMultilevel"/>
    <w:lvl w:ilvl="0">
      <w:lvlJc w:val="left"/>
      <w:lvlText w:val="%1"/>
      <w:numFmt w:val="lowerLetter"/>
      <w:start w:val="1"/>
    </w:lvl>
    <w:lvl w:ilvl="1">
      <w:lvlJc w:val="left"/>
      <w:lvlText w:val="(%2)"/>
      <w:numFmt w:val="lowerLetter"/>
      <w:start w:val="2"/>
    </w:lvl>
  </w:abstractNum>
  <w:abstractNum w:abstractNumId="438">
    <w:nsid w:val="4F0CEEDB"/>
    <w:multiLevelType w:val="hybridMultilevel"/>
    <w:lvl w:ilvl="0">
      <w:lvlJc w:val="left"/>
      <w:lvlText w:val="(%1)"/>
      <w:numFmt w:val="lowerLetter"/>
      <w:start w:val="9"/>
    </w:lvl>
    <w:lvl w:ilvl="1">
      <w:lvlJc w:val="left"/>
      <w:lvlText w:val="(%2)"/>
      <w:numFmt w:val="lowerLetter"/>
      <w:start w:val="3"/>
    </w:lvl>
  </w:abstractNum>
  <w:abstractNum w:abstractNumId="439">
    <w:nsid w:val="61C30361"/>
    <w:multiLevelType w:val="hybridMultilevel"/>
    <w:lvl w:ilvl="0">
      <w:lvlJc w:val="left"/>
      <w:lvlText w:val="%1"/>
      <w:numFmt w:val="lowerLetter"/>
      <w:start w:val="1"/>
    </w:lvl>
    <w:lvl w:ilvl="1">
      <w:lvlJc w:val="left"/>
      <w:lvlText w:val="(%2)"/>
      <w:numFmt w:val="lowerLetter"/>
      <w:start w:val="2"/>
    </w:lvl>
  </w:abstractNum>
  <w:abstractNum w:abstractNumId="440">
    <w:nsid w:val="632099E0"/>
    <w:multiLevelType w:val="hybridMultilevel"/>
    <w:lvl w:ilvl="0">
      <w:lvlJc w:val="left"/>
      <w:lvlText w:val="(%1)"/>
      <w:numFmt w:val="lowerLetter"/>
      <w:start w:val="5"/>
    </w:lvl>
    <w:lvl w:ilvl="1">
      <w:lvlJc w:val="left"/>
      <w:lvlText w:val="%2"/>
      <w:numFmt w:val="lowerLetter"/>
      <w:start w:val="1"/>
    </w:lvl>
  </w:abstractNum>
  <w:abstractNum w:abstractNumId="441">
    <w:nsid w:val="24639756"/>
    <w:multiLevelType w:val="hybridMultilevel"/>
    <w:lvl w:ilvl="0">
      <w:lvlJc w:val="left"/>
      <w:lvlText w:val="%1"/>
      <w:numFmt w:val="lowerLetter"/>
      <w:start w:val="1"/>
    </w:lvl>
    <w:lvl w:ilvl="1">
      <w:lvlJc w:val="left"/>
      <w:lvlText w:val="(%2)"/>
      <w:numFmt w:val="lowerLetter"/>
      <w:start w:val="3"/>
    </w:lvl>
  </w:abstractNum>
  <w:abstractNum w:abstractNumId="442">
    <w:nsid w:val="9D30DFD"/>
    <w:multiLevelType w:val="hybridMultilevel"/>
    <w:lvl w:ilvl="0">
      <w:lvlJc w:val="left"/>
      <w:lvlText w:val="(%1)"/>
      <w:numFmt w:val="lowerLetter"/>
      <w:start w:val="35"/>
    </w:lvl>
    <w:lvl w:ilvl="1">
      <w:lvlJc w:val="left"/>
      <w:lvlText w:val="%2"/>
      <w:numFmt w:val="lowerLetter"/>
      <w:start w:val="1"/>
    </w:lvl>
  </w:abstractNum>
  <w:abstractNum w:abstractNumId="443">
    <w:nsid w:val="70A42016"/>
    <w:multiLevelType w:val="hybridMultilevel"/>
    <w:lvl w:ilvl="0">
      <w:lvlJc w:val="left"/>
      <w:lvlText w:val="(%1)"/>
      <w:numFmt w:val="lowerLetter"/>
      <w:start w:val="5"/>
    </w:lvl>
  </w:abstractNum>
  <w:abstractNum w:abstractNumId="444">
    <w:nsid w:val="161BC243"/>
    <w:multiLevelType w:val="hybridMultilevel"/>
    <w:lvl w:ilvl="0">
      <w:lvlJc w:val="left"/>
      <w:lvlText w:val="(%1)"/>
      <w:numFmt w:val="lowerRoman"/>
      <w:start w:val="1"/>
    </w:lvl>
    <w:lvl w:ilvl="1">
      <w:lvlJc w:val="left"/>
      <w:lvlText w:val="(%2)"/>
      <w:numFmt w:val="upperLetter"/>
      <w:start w:val="1"/>
    </w:lvl>
  </w:abstractNum>
  <w:abstractNum w:abstractNumId="445">
    <w:nsid w:val="16E908C8"/>
    <w:multiLevelType w:val="hybridMultilevel"/>
    <w:lvl w:ilvl="0">
      <w:lvlJc w:val="left"/>
      <w:lvlText w:val="(%1)"/>
      <w:numFmt w:val="upperLetter"/>
      <w:start w:val="3"/>
    </w:lvl>
  </w:abstractNum>
  <w:abstractNum w:abstractNumId="446">
    <w:nsid w:val="2E0D7671"/>
    <w:multiLevelType w:val="hybridMultilevel"/>
    <w:lvl w:ilvl="0">
      <w:lvlJc w:val="left"/>
      <w:lvlText w:val="(%1)"/>
      <w:numFmt w:val="lowerLetter"/>
      <w:start w:val="2"/>
    </w:lvl>
  </w:abstractNum>
  <w:abstractNum w:abstractNumId="447">
    <w:nsid w:val="38B59EFF"/>
    <w:multiLevelType w:val="hybridMultilevel"/>
    <w:lvl w:ilvl="0">
      <w:lvlJc w:val="left"/>
      <w:lvlText w:val="%1"/>
      <w:numFmt w:val="lowerLetter"/>
      <w:start w:val="1"/>
    </w:lvl>
    <w:lvl w:ilvl="1">
      <w:lvlJc w:val="left"/>
      <w:lvlText w:val="(%2)"/>
      <w:numFmt w:val="lowerLetter"/>
      <w:start w:val="4"/>
    </w:lvl>
  </w:abstractNum>
  <w:abstractNum w:abstractNumId="448">
    <w:nsid w:val="307995CA"/>
    <w:multiLevelType w:val="hybridMultilevel"/>
    <w:lvl w:ilvl="0">
      <w:lvlJc w:val="left"/>
      <w:lvlText w:val="(%1)"/>
      <w:numFmt w:val="lowerLetter"/>
      <w:start w:val="3"/>
    </w:lvl>
    <w:lvl w:ilvl="1">
      <w:lvlJc w:val="left"/>
      <w:lvlText w:val="%2"/>
      <w:numFmt w:val="lowerLetter"/>
      <w:start w:val="1"/>
    </w:lvl>
  </w:abstractNum>
  <w:abstractNum w:abstractNumId="449">
    <w:nsid w:val="52E2024D"/>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50">
    <w:nsid w:val="CE344B5"/>
    <w:multiLevelType w:val="hybridMultilevel"/>
    <w:lvl w:ilvl="0">
      <w:lvlJc w:val="left"/>
      <w:lvlText w:val="(%1)"/>
      <w:numFmt w:val="upperLetter"/>
      <w:start w:val="2"/>
    </w:lvl>
  </w:abstractNum>
  <w:abstractNum w:abstractNumId="451">
    <w:nsid w:val="29B0E9A8"/>
    <w:multiLevelType w:val="hybridMultilevel"/>
    <w:lvl w:ilvl="0">
      <w:lvlJc w:val="left"/>
      <w:lvlText w:val="(%1)"/>
      <w:numFmt w:val="lowerRoman"/>
      <w:start w:val="3"/>
    </w:lvl>
  </w:abstractNum>
  <w:abstractNum w:abstractNumId="452">
    <w:nsid w:val="6F49CD8A"/>
    <w:multiLevelType w:val="hybridMultilevel"/>
    <w:lvl w:ilvl="0">
      <w:lvlJc w:val="left"/>
      <w:lvlText w:val="(%1)"/>
      <w:numFmt w:val="lowerLetter"/>
      <w:start w:val="3"/>
    </w:lvl>
  </w:abstractNum>
  <w:abstractNum w:abstractNumId="453">
    <w:nsid w:val="4DC5D907"/>
    <w:multiLevelType w:val="hybridMultilevel"/>
    <w:lvl w:ilvl="0">
      <w:lvlJc w:val="left"/>
      <w:lvlText w:val="(%1)"/>
      <w:numFmt w:val="upperLetter"/>
      <w:start w:val="1"/>
    </w:lvl>
  </w:abstractNum>
  <w:abstractNum w:abstractNumId="454">
    <w:nsid w:val="D55945E"/>
    <w:multiLevelType w:val="hybridMultilevel"/>
    <w:lvl w:ilvl="0">
      <w:lvlJc w:val="left"/>
      <w:lvlText w:val="(%1)"/>
      <w:numFmt w:val="lowerLetter"/>
      <w:start w:val="4"/>
    </w:lvl>
  </w:abstractNum>
  <w:abstractNum w:abstractNumId="455">
    <w:nsid w:val="672417E1"/>
    <w:multiLevelType w:val="hybridMultilevel"/>
    <w:lvl w:ilvl="0">
      <w:lvlJc w:val="left"/>
      <w:lvlText w:val="(%1)"/>
      <w:numFmt w:val="lowerLetter"/>
      <w:start w:val="2"/>
    </w:lvl>
  </w:abstractNum>
  <w:abstractNum w:abstractNumId="456">
    <w:nsid w:val="5FF6CA09"/>
    <w:multiLevelType w:val="hybridMultilevel"/>
    <w:lvl w:ilvl="0">
      <w:lvlJc w:val="left"/>
      <w:lvlText w:val="(%1)"/>
      <w:numFmt w:val="lowerLetter"/>
      <w:start w:val="2"/>
    </w:lvl>
  </w:abstractNum>
  <w:abstractNum w:abstractNumId="457">
    <w:nsid w:val="330B1333"/>
    <w:multiLevelType w:val="hybridMultilevel"/>
    <w:lvl w:ilvl="0">
      <w:lvlJc w:val="left"/>
      <w:lvlText w:val="(%1)"/>
      <w:numFmt w:val="lowerLetter"/>
      <w:start w:val="5"/>
    </w:lvl>
  </w:abstractNum>
  <w:abstractNum w:abstractNumId="458">
    <w:nsid w:val="2EF32EA6"/>
    <w:multiLevelType w:val="hybridMultilevel"/>
    <w:lvl w:ilvl="0">
      <w:lvlJc w:val="left"/>
      <w:lvlText w:val="(%1)"/>
      <w:numFmt w:val="lowerLetter"/>
      <w:start w:val="2"/>
    </w:lvl>
  </w:abstractNum>
  <w:abstractNum w:abstractNumId="459">
    <w:nsid w:val="32766A55"/>
    <w:multiLevelType w:val="hybridMultilevel"/>
    <w:lvl w:ilvl="0">
      <w:lvlJc w:val="left"/>
      <w:lvlText w:val="%1"/>
      <w:numFmt w:val="lowerLetter"/>
      <w:start w:val="1"/>
    </w:lvl>
    <w:lvl w:ilvl="1">
      <w:lvlJc w:val="left"/>
      <w:lvlText w:val="(%2)"/>
      <w:numFmt w:val="lowerLetter"/>
      <w:start w:val="3"/>
    </w:lvl>
  </w:abstractNum>
  <w:abstractNum w:abstractNumId="460">
    <w:nsid w:val="22D71957"/>
    <w:multiLevelType w:val="hybridMultilevel"/>
    <w:lvl w:ilvl="0">
      <w:lvlJc w:val="left"/>
      <w:lvlText w:val="(%1)"/>
      <w:numFmt w:val="lowerLetter"/>
      <w:start w:val="61"/>
    </w:lvl>
    <w:lvl w:ilvl="1">
      <w:lvlJc w:val="left"/>
      <w:lvlText w:val="%2"/>
      <w:numFmt w:val="lowerLetter"/>
      <w:start w:val="1"/>
    </w:lvl>
  </w:abstractNum>
  <w:abstractNum w:abstractNumId="461">
    <w:nsid w:val="4CC1263B"/>
    <w:multiLevelType w:val="hybridMultilevel"/>
    <w:lvl w:ilvl="0">
      <w:lvlJc w:val="left"/>
      <w:lvlText w:val="(%1)"/>
      <w:numFmt w:val="lowerLetter"/>
      <w:start w:val="1"/>
    </w:lvl>
  </w:abstractNum>
  <w:abstractNum w:abstractNumId="462">
    <w:nsid w:val="8BBEB1D"/>
    <w:multiLevelType w:val="hybridMultilevel"/>
    <w:lvl w:ilvl="0">
      <w:lvlJc w:val="left"/>
      <w:lvlText w:val="(%1)"/>
      <w:numFmt w:val="lowerRoman"/>
      <w:start w:val="1"/>
    </w:lvl>
  </w:abstractNum>
  <w:abstractNum w:abstractNumId="463">
    <w:nsid w:val="7365F1EE"/>
    <w:multiLevelType w:val="hybridMultilevel"/>
    <w:lvl w:ilvl="0">
      <w:lvlJc w:val="left"/>
      <w:lvlText w:val="%1."/>
      <w:numFmt w:val="decimal"/>
      <w:start w:val="1"/>
    </w:lvl>
  </w:abstractNum>
  <w:abstractNum w:abstractNumId="464">
    <w:nsid w:val="37524CF0"/>
    <w:multiLevelType w:val="hybridMultilevel"/>
    <w:lvl w:ilvl="0">
      <w:lvlJc w:val="left"/>
      <w:lvlText w:val="1"/>
      <w:numFmt w:val="bullet"/>
      <w:start w:val="1"/>
    </w:lvl>
  </w:abstractNum>
  <w:abstractNum w:abstractNumId="465">
    <w:nsid w:val="70CC332F"/>
    <w:multiLevelType w:val="hybridMultilevel"/>
    <w:lvl w:ilvl="0">
      <w:lvlJc w:val="left"/>
      <w:lvlText w:val="2"/>
      <w:numFmt w:val="bullet"/>
      <w:start w:val="1"/>
    </w:lvl>
  </w:abstractNum>
  <w:abstractNum w:abstractNumId="466">
    <w:nsid w:val="5661786E"/>
    <w:multiLevelType w:val="hybridMultilevel"/>
    <w:lvl w:ilvl="0">
      <w:lvlJc w:val="left"/>
      <w:lvlText w:val="3"/>
      <w:numFmt w:val="bullet"/>
      <w:start w:val="1"/>
    </w:lvl>
  </w:abstractNum>
  <w:abstractNum w:abstractNumId="467">
    <w:nsid w:val="3AF6A220"/>
    <w:multiLevelType w:val="hybridMultilevel"/>
    <w:lvl w:ilvl="0">
      <w:lvlJc w:val="left"/>
      <w:lvlText w:val="4"/>
      <w:numFmt w:val="bullet"/>
      <w:start w:val="1"/>
    </w:lvl>
  </w:abstractNum>
  <w:abstractNum w:abstractNumId="468">
    <w:nsid w:val="3C5EA902"/>
    <w:multiLevelType w:val="hybridMultilevel"/>
    <w:lvl w:ilvl="0">
      <w:lvlJc w:val="left"/>
      <w:lvlText w:val="5"/>
      <w:numFmt w:val="bullet"/>
      <w:start w:val="1"/>
    </w:lvl>
  </w:abstractNum>
  <w:abstractNum w:abstractNumId="469">
    <w:nsid w:val="256E6749"/>
    <w:multiLevelType w:val="hybridMultilevel"/>
    <w:lvl w:ilvl="0">
      <w:lvlJc w:val="left"/>
      <w:lvlText w:val="%1."/>
      <w:numFmt w:val="decimal"/>
      <w:start w:val="1"/>
    </w:lvl>
  </w:abstractNum>
  <w:abstractNum w:abstractNumId="470">
    <w:nsid w:val="1CB9A581"/>
    <w:multiLevelType w:val="hybridMultilevel"/>
    <w:lvl w:ilvl="0">
      <w:lvlJc w:val="left"/>
      <w:lvlText w:val="(%1)"/>
      <w:numFmt w:val="lowerRoman"/>
      <w:start w:val="2"/>
    </w:lvl>
  </w:abstractNum>
  <w:abstractNum w:abstractNumId="471">
    <w:nsid w:val="1F7F42E2"/>
    <w:multiLevelType w:val="hybridMultilevel"/>
    <w:lvl w:ilvl="0">
      <w:lvlJc w:val="left"/>
      <w:lvlText w:val="%1."/>
      <w:numFmt w:val="decimal"/>
      <w:start w:val="2"/>
    </w:lvl>
  </w:abstractNum>
  <w:abstractNum w:abstractNumId="472">
    <w:nsid w:val="49D1FEA0"/>
    <w:multiLevelType w:val="hybridMultilevel"/>
    <w:lvl w:ilvl="0">
      <w:lvlJc w:val="left"/>
      <w:lvlText w:val="%1."/>
      <w:numFmt w:val="upperLetter"/>
      <w:start w:val="2"/>
    </w:lvl>
  </w:abstractNum>
  <w:abstractNum w:abstractNumId="473">
    <w:nsid w:val="268CB37F"/>
    <w:multiLevelType w:val="hybridMultilevel"/>
    <w:lvl w:ilvl="0">
      <w:lvlJc w:val="left"/>
      <w:lvlText w:val=","/>
      <w:numFmt w:val="bullet"/>
      <w:start w:val="1"/>
    </w:lvl>
  </w:abstractNum>
  <w:abstractNum w:abstractNumId="474">
    <w:nsid w:val="102362F8"/>
    <w:multiLevelType w:val="hybridMultilevel"/>
    <w:lvl w:ilvl="0">
      <w:lvlJc w:val="left"/>
      <w:lvlText w:val="%1."/>
      <w:numFmt w:val="decimal"/>
      <w:start w:val="2"/>
    </w:lvl>
  </w:abstractNum>
  <w:abstractNum w:abstractNumId="475">
    <w:nsid w:val="5FEDC0E3"/>
    <w:multiLevelType w:val="hybridMultilevel"/>
    <w:lvl w:ilvl="0">
      <w:lvlJc w:val="left"/>
      <w:lvlText w:val="%1"/>
      <w:numFmt w:val="decimal"/>
      <w:start w:val="29"/>
    </w:lvl>
  </w:abstractNum>
  <w:abstractNum w:abstractNumId="476">
    <w:nsid w:val="3D75BC47"/>
    <w:multiLevelType w:val="hybridMultilevel"/>
    <w:lvl w:ilvl="0">
      <w:lvlJc w:val="left"/>
      <w:lvlText w:val="%1."/>
      <w:numFmt w:val="decimal"/>
      <w:start w:val="6"/>
    </w:lvl>
  </w:abstractNum>
  <w:abstractNum w:abstractNumId="477">
    <w:nsid w:val="3E30D969"/>
    <w:multiLevelType w:val="hybridMultilevel"/>
    <w:lvl w:ilvl="0">
      <w:lvlJc w:val="left"/>
      <w:lvlText w:val="%1."/>
      <w:numFmt w:val="decimal"/>
      <w:start w:val="7"/>
    </w:lvl>
  </w:abstractNum>
  <w:abstractNum w:abstractNumId="478">
    <w:nsid w:val="18A35FE3"/>
    <w:multiLevelType w:val="hybridMultilevel"/>
    <w:lvl w:ilvl="0">
      <w:lvlJc w:val="left"/>
      <w:lvlText w:val="%1."/>
      <w:numFmt w:val="decimal"/>
      <w:start w:val="8"/>
    </w:lvl>
  </w:abstractNum>
  <w:abstractNum w:abstractNumId="479">
    <w:nsid w:val="6DEF5211"/>
    <w:multiLevelType w:val="hybridMultilevel"/>
    <w:lvl w:ilvl="0">
      <w:lvlJc w:val="left"/>
      <w:lvlText w:val="(%1)"/>
      <w:numFmt w:val="lowerRoman"/>
      <w:start w:val="1"/>
    </w:lvl>
  </w:abstractNum>
  <w:abstractNum w:abstractNumId="480">
    <w:nsid w:val="1112DBB6"/>
    <w:multiLevelType w:val="hybridMultilevel"/>
    <w:lvl w:ilvl="0">
      <w:lvlJc w:val="left"/>
      <w:lvlText w:val="%1."/>
      <w:numFmt w:val="decimal"/>
      <w:start w:val="1"/>
    </w:lvl>
  </w:abstractNum>
  <w:abstractNum w:abstractNumId="481">
    <w:nsid w:val="2586A498"/>
    <w:multiLevelType w:val="hybridMultilevel"/>
    <w:lvl w:ilvl="0">
      <w:lvlJc w:val="left"/>
      <w:lvlText w:val="%1."/>
      <w:numFmt w:val="decimal"/>
      <w:start w:val="4"/>
    </w:lvl>
  </w:abstractNum>
  <w:abstractNum w:abstractNumId="482">
    <w:nsid w:val="17A03BB9"/>
    <w:multiLevelType w:val="hybridMultilevel"/>
    <w:lvl w:ilvl="0">
      <w:lvlJc w:val="left"/>
      <w:lvlText w:val="(%1)"/>
      <w:numFmt w:val="lowerRoman"/>
      <w:start w:val="3"/>
    </w:lvl>
  </w:abstractNum>
  <w:abstractNum w:abstractNumId="483">
    <w:nsid w:val="5CA941"/>
    <w:multiLevelType w:val="hybridMultilevel"/>
    <w:lvl w:ilvl="0">
      <w:lvlJc w:val="left"/>
      <w:lvlText w:val="(%1)"/>
      <w:numFmt w:val="lowerRoman"/>
      <w:start w:val="4"/>
    </w:lvl>
  </w:abstractNum>
  <w:abstractNum w:abstractNumId="484">
    <w:nsid w:val="734C7D9F"/>
    <w:multiLevelType w:val="hybridMultilevel"/>
    <w:lvl w:ilvl="0">
      <w:lvlJc w:val="left"/>
      <w:lvlText w:val="(%1)"/>
      <w:numFmt w:val="decimal"/>
      <w:start w:val="1"/>
    </w:lvl>
  </w:abstractNum>
  <w:abstractNum w:abstractNumId="485">
    <w:nsid w:val="24F5D018"/>
    <w:multiLevelType w:val="hybridMultilevel"/>
    <w:lvl w:ilvl="0">
      <w:lvlJc w:val="left"/>
      <w:lvlText w:val="(%1)"/>
      <w:numFmt w:val="lowerRoman"/>
      <w:start w:val="2"/>
    </w:lvl>
  </w:abstractNum>
  <w:abstractNum w:abstractNumId="486">
    <w:nsid w:val="6780C122"/>
    <w:multiLevelType w:val="hybridMultilevel"/>
    <w:lvl w:ilvl="0">
      <w:lvlJc w:val="left"/>
      <w:lvlText w:val="•"/>
      <w:numFmt w:val="bullet"/>
      <w:start w:val="1"/>
    </w:lvl>
  </w:abstractNum>
  <w:abstractNum w:abstractNumId="487">
    <w:nsid w:val="534347A8"/>
    <w:multiLevelType w:val="hybridMultilevel"/>
    <w:lvl w:ilvl="0">
      <w:lvlJc w:val="left"/>
      <w:lvlText w:val="•"/>
      <w:numFmt w:val="bullet"/>
      <w:start w:val="1"/>
    </w:lvl>
  </w:abstractNum>
  <w:abstractNum w:abstractNumId="488">
    <w:nsid w:val="5800E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2021-03-22T15:36:02Z</dcterms:created>
  <dcterms:modified xsi:type="dcterms:W3CDTF">2021-03-22T15:36:02Z</dcterms:modified>
</cp:coreProperties>
</file>