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2, 2003 (October 1, 2003)</w:t>
      </w:r>
    </w:p>
    <w:p>
      <w:pPr>
        <w:spacing w:after="0" w:line="31"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tbl>
      <w:tblPr>
        <w:tblLayout w:type="fixed"/>
        <w:tblInd w:w="960" w:type="dxa"/>
        <w:tblCellMar>
          <w:top w:w="0" w:type="dxa"/>
          <w:left w:w="0" w:type="dxa"/>
          <w:bottom w:w="0" w:type="dxa"/>
          <w:right w:w="0" w:type="dxa"/>
        </w:tblCellMar>
      </w:tblPr>
      <w:tr>
        <w:trPr>
          <w:trHeight w:val="23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68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368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372" w:lineRule="exact"/>
        <w:rPr>
          <w:sz w:val="24"/>
          <w:szCs w:val="24"/>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2" w:lineRule="exact"/>
        <w:rPr>
          <w:sz w:val="24"/>
          <w:szCs w:val="24"/>
          <w:color w:val="auto"/>
        </w:rPr>
      </w:pPr>
    </w:p>
    <w:p>
      <w:pPr>
        <w:ind w:left="120"/>
        <w:spacing w:after="0"/>
        <w:tabs>
          <w:tab w:leader="none" w:pos="55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2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420" w:right="1440" w:bottom="0" w:gutter="0" w:footer="0" w:header="0"/>
          <w:type w:val="continuous"/>
        </w:sectPr>
      </w:pPr>
    </w:p>
    <w:p>
      <w:pPr>
        <w:spacing w:after="0" w:line="39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37" w:lineRule="exact"/>
        <w:rPr>
          <w:sz w:val="24"/>
          <w:szCs w:val="24"/>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On October 1, 2003, the Company issued a press release announcing the formation of a new Slovakian company and a related asset acquisition. A copy of the press release is attached as Exhibit 99.1 hereto and incorporated herein by reference.</w:t>
      </w:r>
    </w:p>
    <w:p>
      <w:pPr>
        <w:spacing w:after="0" w:line="19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37" w:lineRule="exact"/>
        <w:rPr>
          <w:sz w:val="24"/>
          <w:szCs w:val="24"/>
          <w:color w:val="auto"/>
        </w:rPr>
      </w:pPr>
    </w:p>
    <w:p>
      <w:pPr>
        <w:ind w:left="960" w:right="3359" w:hanging="4"/>
        <w:spacing w:after="0" w:line="585" w:lineRule="auto"/>
        <w:tabs>
          <w:tab w:leader="none" w:pos="138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October 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4" w:lineRule="exact"/>
        <w:rPr>
          <w:sz w:val="24"/>
          <w:szCs w:val="24"/>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 2003</w:t>
      </w:r>
    </w:p>
    <w:p>
      <w:pPr>
        <w:spacing w:after="0" w:line="31"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420" w:right="1440" w:bottom="0" w:gutter="0" w:footer="0" w:header="0"/>
          <w:type w:val="continuous"/>
        </w:sectPr>
      </w:pPr>
    </w:p>
    <w:bookmarkStart w:id="1" w:name="page2"/>
    <w:bookmarkEnd w:id="1"/>
    <w:p>
      <w:pPr>
        <w:ind w:left="3540"/>
        <w:spacing w:after="0"/>
        <w:tabs>
          <w:tab w:leader="none" w:pos="4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3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William C. Kelly, Jr.,</w:t>
      </w:r>
    </w:p>
    <w:p>
      <w:pPr>
        <w:ind w:left="4080"/>
        <w:spacing w:after="0"/>
        <w:rPr>
          <w:sz w:val="20"/>
          <w:szCs w:val="20"/>
          <w:color w:val="auto"/>
        </w:rPr>
      </w:pPr>
      <w:r>
        <w:rPr>
          <w:rFonts w:ascii="Courier New" w:cs="Courier New" w:eastAsia="Courier New" w:hAnsi="Courier New"/>
          <w:sz w:val="16"/>
          <w:szCs w:val="16"/>
          <w:color w:val="auto"/>
        </w:rPr>
        <w:t>Secretary, Treasurer and Chief</w:t>
      </w:r>
    </w:p>
    <w:p>
      <w:pPr>
        <w:spacing w:after="0" w:line="21"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019"/>
          </w:cols>
          <w:pgMar w:left="1440" w:top="31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rPr>
              <w:t>RE: NN, Inc.</w:t>
            </w:r>
          </w:p>
        </w:tc>
        <w:tc>
          <w:tcPr>
            <w:tcW w:w="202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47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96"/>
        </w:trPr>
        <w:tc>
          <w:tcPr>
            <w:tcW w:w="5220" w:type="dxa"/>
            <w:vAlign w:val="bottom"/>
          </w:tcPr>
          <w:p>
            <w:pPr>
              <w:spacing w:after="0"/>
              <w:rPr>
                <w:sz w:val="24"/>
                <w:szCs w:val="24"/>
                <w:color w:val="auto"/>
              </w:rPr>
            </w:pP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rPr>
              <w:t>Johnson City, TN</w:t>
            </w:r>
          </w:p>
        </w:tc>
        <w:tc>
          <w:tcPr>
            <w:tcW w:w="20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37604</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87"/>
        </w:trPr>
        <w:tc>
          <w:tcPr>
            <w:tcW w:w="5220" w:type="dxa"/>
            <w:vAlign w:val="bottom"/>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4700" w:type="dxa"/>
            <w:vAlign w:val="bottom"/>
            <w:gridSpan w:val="2"/>
          </w:tcPr>
          <w:p>
            <w:pPr>
              <w:ind w:left="90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27"/>
        </w:trPr>
        <w:tc>
          <w:tcPr>
            <w:tcW w:w="5220" w:type="dxa"/>
            <w:vAlign w:val="bottom"/>
          </w:tcPr>
          <w:p>
            <w:pPr>
              <w:spacing w:after="0"/>
              <w:rPr>
                <w:sz w:val="20"/>
                <w:szCs w:val="20"/>
                <w:color w:val="auto"/>
              </w:rPr>
            </w:pPr>
            <w:r>
              <w:rPr>
                <w:rFonts w:ascii="Courier New" w:cs="Courier New" w:eastAsia="Courier New" w:hAnsi="Courier New"/>
                <w:sz w:val="18"/>
                <w:szCs w:val="18"/>
                <w:b w:val="1"/>
                <w:bCs w:val="1"/>
                <w:color w:val="auto"/>
              </w:rPr>
              <w:t>- ---------------</w:t>
            </w:r>
          </w:p>
        </w:tc>
        <w:tc>
          <w:tcPr>
            <w:tcW w:w="4700" w:type="dxa"/>
            <w:vAlign w:val="bottom"/>
            <w:gridSpan w:val="2"/>
          </w:tcPr>
          <w:p>
            <w:pPr>
              <w:ind w:left="1100"/>
              <w:spacing w:after="0"/>
              <w:rPr>
                <w:sz w:val="20"/>
                <w:szCs w:val="20"/>
                <w:color w:val="auto"/>
              </w:rPr>
            </w:pPr>
            <w:r>
              <w:rPr>
                <w:rFonts w:ascii="Courier New" w:cs="Courier New" w:eastAsia="Courier New" w:hAnsi="Courier New"/>
                <w:sz w:val="18"/>
                <w:szCs w:val="18"/>
                <w:b w:val="1"/>
                <w:bCs w:val="1"/>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Alison Ziegler</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(General info)</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96"/>
        </w:trPr>
        <w:tc>
          <w:tcPr>
            <w:tcW w:w="5220" w:type="dxa"/>
            <w:vAlign w:val="bottom"/>
          </w:tcPr>
          <w:p>
            <w:pPr>
              <w:spacing w:after="0"/>
              <w:rPr>
                <w:sz w:val="20"/>
                <w:szCs w:val="20"/>
                <w:color w:val="auto"/>
              </w:rPr>
            </w:pPr>
            <w:r>
              <w:rPr>
                <w:rFonts w:ascii="Courier New" w:cs="Courier New" w:eastAsia="Courier New" w:hAnsi="Courier New"/>
                <w:sz w:val="18"/>
                <w:szCs w:val="18"/>
                <w:color w:val="auto"/>
              </w:rPr>
              <w:t>(423) 743-9151</w:t>
            </w:r>
          </w:p>
        </w:tc>
        <w:tc>
          <w:tcPr>
            <w:tcW w:w="47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212-445-8432 212-445-8458</w:t>
            </w:r>
          </w:p>
        </w:tc>
      </w:tr>
    </w:tbl>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 2003</w:t>
      </w:r>
    </w:p>
    <w:p>
      <w:pPr>
        <w:spacing w:after="0" w:line="13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NN, INC. FORMS NEW SLOVAKIAN COMPANY TO ESTABLISH MANUFACTURING</w:t>
      </w:r>
    </w:p>
    <w:p>
      <w:pPr>
        <w:spacing w:after="0" w:line="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BASE IN EASTERN EUROPE</w:t>
      </w:r>
    </w:p>
    <w:p>
      <w:pPr>
        <w:spacing w:after="0" w:line="133" w:lineRule="exact"/>
        <w:rPr>
          <w:sz w:val="20"/>
          <w:szCs w:val="20"/>
          <w:color w:val="auto"/>
        </w:rPr>
      </w:pPr>
    </w:p>
    <w:p>
      <w:pPr>
        <w:jc w:val="both"/>
        <w:ind w:right="1779"/>
        <w:spacing w:after="0" w:line="257" w:lineRule="auto"/>
        <w:rPr>
          <w:sz w:val="20"/>
          <w:szCs w:val="20"/>
          <w:color w:val="auto"/>
        </w:rPr>
      </w:pPr>
      <w:r>
        <w:rPr>
          <w:rFonts w:ascii="Courier New" w:cs="Courier New" w:eastAsia="Courier New" w:hAnsi="Courier New"/>
          <w:sz w:val="18"/>
          <w:szCs w:val="18"/>
          <w:b w:val="1"/>
          <w:bCs w:val="1"/>
          <w:color w:val="auto"/>
        </w:rPr>
        <w:t xml:space="preserve">Johnson City, Tennessee, October 1, 2003 </w:t>
      </w:r>
      <w:r>
        <w:rPr>
          <w:rFonts w:ascii="Courier New" w:cs="Courier New" w:eastAsia="Courier New" w:hAnsi="Courier New"/>
          <w:sz w:val="18"/>
          <w:szCs w:val="18"/>
          <w:color w:val="auto"/>
        </w:rPr>
        <w:t>- NN, Inc. (Nasdaq: NNBR) today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announced that it has entered into an asset purchase agreement to acquire the precision ball operations of KLF - Gulickaren, based in Kysucke Nove Mesto, Slovakia for approximately 1.7 million Euros. The transaction, which is subject to customary governmental approval of the transfer of real estate, is expected to close in October 2003. The assets will be utilized in forming a new company that will begin production in early 2004 with first year revenues expected to be approximately $2.0 to $3.0 million. The financial results of the operations will be consolidated in the Company's NN Euroball Segment.</w:t>
      </w:r>
    </w:p>
    <w:p>
      <w:pPr>
        <w:spacing w:after="0" w:line="97"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Roderick R. Baty, Chairman and Chief Executive Officer said, "The formation of this company in Eastern Europe is consistent with our efforts to further expand our geographic manufacturing base. Our Slovakian operation will allow us to better serve our worldwide bearing customers, many of whom have already established Eastern European operations. We believe this operation will provide new opportunities for NN to create value for our customers. As a result, we are optimistic regarding the long-term growth prospects for our newest facility."</w:t>
      </w:r>
    </w:p>
    <w:p>
      <w:pPr>
        <w:spacing w:after="0" w:line="72"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NN, Inc. manufactures and supplies high precision bearing components, consisting of balls, rollers, seals and retainers, for leading bearing manufacturers on a global basis and had sales of US $193 million in 2002.</w:t>
      </w:r>
    </w:p>
    <w:p>
      <w:pPr>
        <w:spacing w:after="0" w:line="66" w:lineRule="exact"/>
        <w:rPr>
          <w:sz w:val="20"/>
          <w:szCs w:val="20"/>
          <w:color w:val="auto"/>
        </w:rPr>
      </w:pPr>
    </w:p>
    <w:p>
      <w:pPr>
        <w:jc w:val="both"/>
        <w:ind w:right="1779"/>
        <w:spacing w:after="0" w:line="241" w:lineRule="auto"/>
        <w:rPr>
          <w:sz w:val="20"/>
          <w:szCs w:val="20"/>
          <w:color w:val="auto"/>
        </w:rPr>
      </w:pPr>
      <w:r>
        <w:rPr>
          <w:rFonts w:ascii="Courier New" w:cs="Courier New" w:eastAsia="Courier New" w:hAnsi="Courier New"/>
          <w:sz w:val="18"/>
          <w:szCs w:val="18"/>
          <w:color w:val="auto"/>
        </w:rPr>
        <w:t>The statement concerning expected first year revenues is a forward-looking statement that is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2019-12-14T02:35:26Z</dcterms:created>
  <dcterms:modified xsi:type="dcterms:W3CDTF">2019-12-14T02:35:26Z</dcterms:modified>
</cp:coreProperties>
</file>