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61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FELCHER, JR. MICHAEL C.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6210 ARDREY KELL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369" w:hanging="369"/>
        <w:spacing w:after="0"/>
        <w:tabs>
          <w:tab w:leader="none" w:pos="36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NNBR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ind w:left="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03/28/2023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58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SVP, Chief Financial Officer</w:t>
      </w:r>
    </w:p>
    <w:p>
      <w:pPr>
        <w:spacing w:after="0" w:line="32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91" w:space="720"/>
            <w:col w:w="3104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6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CHARLOTTE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NC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28277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20"/>
        <w:spacing w:after="0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11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restart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03/28/2023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4,314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57,316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560" w:type="dxa"/>
            <w:vAlign w:val="bottom"/>
            <w:gridSpan w:val="1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Represents the amount of shares delivered to satisfy applicable tax withholding obligations in connection with the vesting of shares of restricted stock.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auto"/>
            </w:tcBorders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Michael C. Felcher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03/30/2023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16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6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-2814320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"/>
      <w:numFmt w:val="upperLetter"/>
      <w:start w:val="40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867919" TargetMode="External"/><Relationship Id="rId13" Type="http://schemas.openxmlformats.org/officeDocument/2006/relationships/hyperlink" Target="http://www.sec.gov/cgi-bin/browse-edgar?action=getcompany&amp;CIK=000091854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2023-03-30T16:02:57Z</dcterms:created>
  <dcterms:modified xsi:type="dcterms:W3CDTF">2023-03-30T16:02:57Z</dcterms:modified>
</cp:coreProperties>
</file>