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August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94"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10"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00"/>
        <w:spacing w:after="0" w:line="235"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21"/>
          <w:szCs w:val="21"/>
          <w:color w:val="auto"/>
          <w:vertAlign w:val="subscript"/>
        </w:rPr>
        <w:t>☐</w:t>
      </w:r>
    </w:p>
    <w:p>
      <w:pPr>
        <w:spacing w:after="0" w:line="1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46"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On August 7, 2024, NN, Inc. (the “Company”) issued a press release announcing the Company’s financial results for the quarter ended June 30, 2024. The full text of the press release is furnished as Exhibit 99.1 to this Current Report on Form 8-K (the "Current Report").</w:t>
      </w:r>
    </w:p>
    <w:p>
      <w:pPr>
        <w:spacing w:after="0" w:line="39"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4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On August 7, 2024, the Company posted a supplemental presentation to its website, https://investors.nninc.com/, which will be presented during its quarterly investor conference call on August 8, 2024, at 10:00a.m. ET. The supplemental presentation is included as Exhibit 99.2 to this Current Report.</w:t>
      </w:r>
    </w:p>
    <w:p>
      <w:pPr>
        <w:spacing w:after="0" w:line="39" w:lineRule="exact"/>
        <w:rPr>
          <w:sz w:val="20"/>
          <w:szCs w:val="20"/>
          <w:color w:val="auto"/>
        </w:rPr>
      </w:pPr>
    </w:p>
    <w:p>
      <w:pPr>
        <w:ind w:right="2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SEC, the information furnished pursuant to Item 7.01 of this Current Report (including Exhibit 99.2) is deemed to have been furnished and shall not be deemed to be “filed” for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gridSpan w:val="5"/>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Description of Exhibit</w:t>
            </w:r>
          </w:p>
        </w:tc>
        <w:tc>
          <w:tcPr>
            <w:tcW w:w="98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9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220" w:type="dxa"/>
            <w:vAlign w:val="bottom"/>
          </w:tcPr>
          <w:p>
            <w:pPr>
              <w:spacing w:after="0"/>
              <w:rPr>
                <w:sz w:val="13"/>
                <w:szCs w:val="13"/>
                <w:color w:val="auto"/>
              </w:rPr>
            </w:pPr>
          </w:p>
        </w:tc>
        <w:tc>
          <w:tcPr>
            <w:tcW w:w="2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8"/>
              </w:rPr>
              <w:t>Press Release issued by NN, Inc., dated August 7, 2024</w:t>
            </w:r>
          </w:p>
        </w:tc>
        <w:tc>
          <w:tcPr>
            <w:tcW w:w="8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99.2</w:t>
            </w:r>
          </w:p>
        </w:tc>
        <w:tc>
          <w:tcPr>
            <w:tcW w:w="220" w:type="dxa"/>
            <w:vAlign w:val="bottom"/>
          </w:tcPr>
          <w:p>
            <w:pPr>
              <w:spacing w:after="0"/>
              <w:rPr>
                <w:sz w:val="11"/>
                <w:szCs w:val="11"/>
                <w:color w:val="auto"/>
              </w:rPr>
            </w:pPr>
          </w:p>
        </w:tc>
        <w:tc>
          <w:tcPr>
            <w:tcW w:w="2100" w:type="dxa"/>
            <w:vAlign w:val="bottom"/>
            <w:tcBorders>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8"/>
              </w:rPr>
              <w:t>Investor Presentation, dated August 8, 2024</w:t>
            </w:r>
          </w:p>
        </w:tc>
        <w:tc>
          <w:tcPr>
            <w:tcW w:w="86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60" w:type="dxa"/>
            <w:vAlign w:val="bottom"/>
            <w:gridSpan w:val="4"/>
          </w:tcPr>
          <w:p>
            <w:pPr>
              <w:jc w:val="center"/>
              <w:ind w:left="3"/>
              <w:spacing w:after="0"/>
              <w:rPr>
                <w:sz w:val="20"/>
                <w:szCs w:val="20"/>
                <w:color w:val="auto"/>
              </w:rPr>
            </w:pPr>
            <w:r>
              <w:rPr>
                <w:rFonts w:ascii="Times New Roman" w:cs="Times New Roman" w:eastAsia="Times New Roman" w:hAnsi="Times New Roman"/>
                <w:sz w:val="12"/>
                <w:szCs w:val="12"/>
                <w:color w:val="auto"/>
                <w:w w:val="99"/>
              </w:rPr>
              <w:t>104</w:t>
            </w:r>
          </w:p>
        </w:tc>
        <w:tc>
          <w:tcPr>
            <w:tcW w:w="220" w:type="dxa"/>
            <w:vAlign w:val="bottom"/>
          </w:tcPr>
          <w:p>
            <w:pPr>
              <w:spacing w:after="0"/>
              <w:rPr>
                <w:sz w:val="15"/>
                <w:szCs w:val="15"/>
                <w:color w:val="auto"/>
              </w:rPr>
            </w:pPr>
          </w:p>
        </w:tc>
        <w:tc>
          <w:tcPr>
            <w:tcW w:w="107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080"/>
        </w:trPr>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August 7, 2024</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4"/>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464820</wp:posOffset>
            </wp:positionV>
            <wp:extent cx="1097280" cy="817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1724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664845</wp:posOffset>
            </wp:positionV>
            <wp:extent cx="128587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12"/>
          <w:szCs w:val="12"/>
          <w:color w:val="auto"/>
        </w:rPr>
        <w:t>NN, Inc.</w:t>
      </w:r>
    </w:p>
    <w:p>
      <w:pPr>
        <w:spacing w:after="0" w:line="235" w:lineRule="auto"/>
        <w:rPr>
          <w:sz w:val="20"/>
          <w:szCs w:val="20"/>
          <w:color w:val="auto"/>
        </w:rPr>
      </w:pPr>
      <w:r>
        <w:rPr>
          <w:rFonts w:ascii="Calibri" w:cs="Calibri" w:eastAsia="Calibri" w:hAnsi="Calibri"/>
          <w:sz w:val="12"/>
          <w:szCs w:val="12"/>
          <w:color w:val="auto"/>
        </w:rPr>
        <w:t>6210 Ardrey Kell Road, Suite 120</w:t>
      </w:r>
    </w:p>
    <w:p>
      <w:pPr>
        <w:spacing w:after="0" w:line="236" w:lineRule="auto"/>
        <w:rPr>
          <w:sz w:val="20"/>
          <w:szCs w:val="20"/>
          <w:color w:val="auto"/>
        </w:rPr>
      </w:pPr>
      <w:r>
        <w:rPr>
          <w:rFonts w:ascii="Calibri" w:cs="Calibri" w:eastAsia="Calibri" w:hAnsi="Calibri"/>
          <w:sz w:val="12"/>
          <w:szCs w:val="12"/>
          <w:color w:val="auto"/>
        </w:rPr>
        <w:t>Charlote, NC 28277</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FOR IMMEDIATE RELEASE</w:t>
      </w:r>
    </w:p>
    <w:p>
      <w:pPr>
        <w:spacing w:after="0" w:line="165" w:lineRule="exact"/>
        <w:rPr>
          <w:sz w:val="20"/>
          <w:szCs w:val="20"/>
          <w:color w:val="auto"/>
        </w:rPr>
      </w:pPr>
    </w:p>
    <w:p>
      <w:pPr>
        <w:jc w:val="center"/>
        <w:spacing w:after="0"/>
        <w:rPr>
          <w:sz w:val="20"/>
          <w:szCs w:val="20"/>
          <w:color w:val="auto"/>
        </w:rPr>
      </w:pPr>
      <w:r>
        <w:rPr>
          <w:rFonts w:ascii="Calibri" w:cs="Calibri" w:eastAsia="Calibri" w:hAnsi="Calibri"/>
          <w:sz w:val="13"/>
          <w:szCs w:val="13"/>
          <w:b w:val="1"/>
          <w:bCs w:val="1"/>
          <w:color w:val="auto"/>
        </w:rPr>
        <w:t>NN, INC. REPORTS SECOND QUARTER 2024 RESULTS</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Contnued proftability improvement and stronger pace of new business wins driven by strategic transformaton plan</w:t>
      </w:r>
    </w:p>
    <w:p>
      <w:pPr>
        <w:spacing w:after="0" w:line="147"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Company reafrms full year 2024 outlook</w:t>
      </w:r>
    </w:p>
    <w:p>
      <w:pPr>
        <w:spacing w:after="0" w:line="160" w:lineRule="exact"/>
        <w:rPr>
          <w:sz w:val="20"/>
          <w:szCs w:val="20"/>
          <w:color w:val="auto"/>
        </w:rPr>
      </w:pPr>
    </w:p>
    <w:p>
      <w:pPr>
        <w:ind w:right="20"/>
        <w:spacing w:after="0" w:line="255" w:lineRule="auto"/>
        <w:rPr>
          <w:sz w:val="20"/>
          <w:szCs w:val="20"/>
          <w:color w:val="auto"/>
        </w:rPr>
      </w:pPr>
      <w:r>
        <w:rPr>
          <w:rFonts w:ascii="Calibri" w:cs="Calibri" w:eastAsia="Calibri" w:hAnsi="Calibri"/>
          <w:sz w:val="13"/>
          <w:szCs w:val="13"/>
          <w:b w:val="1"/>
          <w:bCs w:val="1"/>
          <w:color w:val="auto"/>
        </w:rPr>
        <w:t xml:space="preserve">CHARLOTTE, N.C., August 7, 2024 </w:t>
      </w:r>
      <w:r>
        <w:rPr>
          <w:rFonts w:ascii="Calibri" w:cs="Calibri" w:eastAsia="Calibri" w:hAnsi="Calibri"/>
          <w:sz w:val="13"/>
          <w:szCs w:val="13"/>
          <w:color w:val="auto"/>
        </w:rPr>
        <w:t>– NN, Inc. (NASDAQ: NNBR), a global diversifed industrial company that engineers and manufactures high-precision components and assemblies, today reported its</w:t>
      </w:r>
      <w:r>
        <w:rPr>
          <w:rFonts w:ascii="Calibri" w:cs="Calibri" w:eastAsia="Calibri" w:hAnsi="Calibri"/>
          <w:sz w:val="13"/>
          <w:szCs w:val="13"/>
          <w:b w:val="1"/>
          <w:bCs w:val="1"/>
          <w:color w:val="auto"/>
        </w:rPr>
        <w:t xml:space="preserve"> </w:t>
      </w:r>
      <w:r>
        <w:rPr>
          <w:rFonts w:ascii="Calibri" w:cs="Calibri" w:eastAsia="Calibri" w:hAnsi="Calibri"/>
          <w:sz w:val="13"/>
          <w:szCs w:val="13"/>
          <w:color w:val="auto"/>
        </w:rPr>
        <w:t>fnancial results for the second quarter ended June 30, 2024.</w:t>
      </w:r>
    </w:p>
    <w:p>
      <w:pPr>
        <w:spacing w:after="0" w:line="102"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Highlights</w:t>
      </w:r>
    </w:p>
    <w:p>
      <w:pPr>
        <w:spacing w:after="0" w:line="23"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Calibri" w:cs="Calibri" w:eastAsia="Calibri" w:hAnsi="Calibri"/>
          <w:sz w:val="13"/>
          <w:szCs w:val="13"/>
          <w:color w:val="auto"/>
        </w:rPr>
        <w:t>Strategic transformaton program drove enhanced results, fourth consecutve quarter of improved year-over-year performance;</w:t>
      </w:r>
    </w:p>
    <w:p>
      <w:pPr>
        <w:spacing w:after="0" w:line="22"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Calibri" w:cs="Calibri" w:eastAsia="Calibri" w:hAnsi="Calibri"/>
          <w:sz w:val="13"/>
          <w:szCs w:val="13"/>
          <w:color w:val="auto"/>
        </w:rPr>
        <w:t>Second quarter net sales of $123.0 million, down 1.8% versus prior year, driven primarily by unfavorable foreign exchange impacts and ratonalizaton of unproftable business in Mobile Solutons;</w:t>
      </w:r>
    </w:p>
    <w:p>
      <w:pPr>
        <w:spacing w:after="0" w:line="22"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Calibri" w:cs="Calibri" w:eastAsia="Calibri" w:hAnsi="Calibri"/>
          <w:sz w:val="13"/>
          <w:szCs w:val="13"/>
          <w:color w:val="auto"/>
        </w:rPr>
        <w:t>Second quarter operatng loss of $2.1 million, an improvement of 47.5% versus prior year;</w:t>
      </w:r>
    </w:p>
    <w:p>
      <w:pPr>
        <w:spacing w:after="0" w:line="31"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Calibri" w:cs="Calibri" w:eastAsia="Calibri" w:hAnsi="Calibri"/>
          <w:sz w:val="13"/>
          <w:szCs w:val="13"/>
          <w:color w:val="auto"/>
        </w:rPr>
        <w:t>Second quarter adjusted EBITDA of $13.4 million, an improvement of 27.6% versus prior year;</w:t>
      </w:r>
    </w:p>
    <w:p>
      <w:pPr>
        <w:spacing w:after="0" w:line="22"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Calibri" w:cs="Calibri" w:eastAsia="Calibri" w:hAnsi="Calibri"/>
          <w:sz w:val="13"/>
          <w:szCs w:val="13"/>
          <w:color w:val="auto"/>
        </w:rPr>
        <w:t>Secured new business awards of $34.3 million year-to-date; and</w:t>
      </w:r>
    </w:p>
    <w:p>
      <w:pPr>
        <w:spacing w:after="0" w:line="14" w:lineRule="exact"/>
        <w:rPr>
          <w:rFonts w:ascii="Arial" w:cs="Arial" w:eastAsia="Arial" w:hAnsi="Arial"/>
          <w:sz w:val="14"/>
          <w:szCs w:val="14"/>
          <w:color w:val="auto"/>
        </w:rPr>
      </w:pPr>
    </w:p>
    <w:p>
      <w:pPr>
        <w:ind w:left="420" w:hanging="212"/>
        <w:spacing w:after="0" w:line="223" w:lineRule="auto"/>
        <w:tabs>
          <w:tab w:leader="none" w:pos="420"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Subsequent to quarter-end, the company executed the sale of its lone non-core plastcs plant and used $15.4 million of proceeds to pay down debt.</w:t>
      </w:r>
    </w:p>
    <w:p>
      <w:pPr>
        <w:spacing w:after="0" w:line="168" w:lineRule="exact"/>
        <w:rPr>
          <w:sz w:val="20"/>
          <w:szCs w:val="20"/>
          <w:color w:val="auto"/>
        </w:rPr>
      </w:pPr>
    </w:p>
    <w:p>
      <w:pPr>
        <w:jc w:val="both"/>
        <w:spacing w:after="0" w:line="224" w:lineRule="auto"/>
        <w:rPr>
          <w:sz w:val="20"/>
          <w:szCs w:val="20"/>
          <w:color w:val="auto"/>
        </w:rPr>
      </w:pPr>
      <w:r>
        <w:rPr>
          <w:rFonts w:ascii="Calibri" w:cs="Calibri" w:eastAsia="Calibri" w:hAnsi="Calibri"/>
          <w:sz w:val="13"/>
          <w:szCs w:val="13"/>
          <w:color w:val="auto"/>
        </w:rPr>
        <w:t>“NN delivered another quarter of improvement, driven by the executon of our strategic transformaton plan which is yielding observable momentum across key focus areas of proftability enhancement, operatonal performance, and accelerated new business wins,” said Harold Bevis, President and Chief Executve Ofcer. “Our commited eforts to strengthen proftability were evident in the quarter, as our $13.4 million of adjusted EBITDA refected solid growth over the prior year, which is the fourth consecutve quarter of year-over-year improvement. On a trailing-twelve-month basis we have delivered adjusted EBITDA of $49.2 million, an improvement of 28.7% year-over-year. Our focus on improved operatng performance and productvity has helped drive solid margin expansion, advancing our proftability and overcoming the strategic ratonalizaton of volumes which impacted our top-line. ”</w:t>
      </w:r>
    </w:p>
    <w:p>
      <w:pPr>
        <w:spacing w:after="0" w:line="159"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13"/>
          <w:szCs w:val="13"/>
          <w:color w:val="auto"/>
        </w:rPr>
        <w:t>Mr. Bevis contnued, “We contnue to see strong momentum in our commercial eforts as we have won nearly $18 million of new business awards in the second quarter and $97 million over the last six quarters. We are on pace to deliver our 2024 targets for new business wins. The electrical, industrial, and medical markets remain unchanged, healthy, and growing. However, the global auto market is recalibratng the choices of powertrain and low-cost country producton.”</w:t>
      </w:r>
    </w:p>
    <w:p>
      <w:pPr>
        <w:spacing w:after="0" w:line="140"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1</w:t>
      </w:r>
    </w:p>
    <w:p>
      <w:pPr>
        <w:sectPr>
          <w:pgSz w:w="11900" w:h="16838" w:orient="portrait"/>
          <w:cols w:equalWidth="0" w:num="1">
            <w:col w:w="11300"/>
          </w:cols>
          <w:pgMar w:left="300" w:top="128" w:right="299" w:bottom="1440" w:gutter="0" w:footer="0" w:header="0"/>
        </w:sectPr>
      </w:pPr>
    </w:p>
    <w:bookmarkStart w:id="4" w:name="page5"/>
    <w:bookmarkEnd w:id="4"/>
    <w:p>
      <w:pPr>
        <w:jc w:val="both"/>
        <w:spacing w:after="0" w:line="227" w:lineRule="auto"/>
        <w:rPr>
          <w:sz w:val="20"/>
          <w:szCs w:val="20"/>
          <w:color w:val="auto"/>
        </w:rPr>
      </w:pPr>
      <w:r>
        <w:rPr>
          <w:rFonts w:ascii="Calibri" w:cs="Calibri" w:eastAsia="Calibri" w:hAnsi="Calibri"/>
          <w:sz w:val="13"/>
          <w:szCs w:val="13"/>
          <w:color w:val="auto"/>
        </w:rPr>
        <w:t>Mr. Bevis concluded, “We are pleased with our overall performance for the quarter and remain highly confdent in our ability to accelerate our transformaton and pace of growth. We are delivering signifcantly improved plant level performance, which is strengthening our proftability and new business win platorm. In the near term, we remain highly focused on optmizing our capital structure and lowering our cost of capital through a strategic refnancing which is currently underway. We are also focusing our commercial growth agenda on expanding our electrical business, across auto and non-auto end markets, as well as our high-value NN Medical business in low-cost geographies. I would like to recognize the eforts of our global team members in supportng our ongoing transformaton, as we thank them for delivering results as our improved performance is generated through their hard work.”</w:t>
      </w:r>
    </w:p>
    <w:p>
      <w:pPr>
        <w:spacing w:after="0" w:line="112"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Second Quarter GAAP Results</w:t>
      </w:r>
    </w:p>
    <w:p>
      <w:pPr>
        <w:spacing w:after="0" w:line="41" w:lineRule="exact"/>
        <w:rPr>
          <w:sz w:val="20"/>
          <w:szCs w:val="20"/>
          <w:color w:val="auto"/>
        </w:rPr>
      </w:pPr>
    </w:p>
    <w:p>
      <w:pPr>
        <w:ind w:right="180"/>
        <w:spacing w:after="0" w:line="227" w:lineRule="auto"/>
        <w:rPr>
          <w:sz w:val="20"/>
          <w:szCs w:val="20"/>
          <w:color w:val="auto"/>
        </w:rPr>
      </w:pPr>
      <w:r>
        <w:rPr>
          <w:rFonts w:ascii="Calibri" w:cs="Calibri" w:eastAsia="Calibri" w:hAnsi="Calibri"/>
          <w:sz w:val="13"/>
          <w:szCs w:val="13"/>
          <w:color w:val="auto"/>
        </w:rPr>
        <w:t>Net sales were $123.0 million, a decrease of 1.8% from the second quarter of 2023, which was primarily due to ratonalized volume at plants undergoing transformatons and unfavorable foreign exchange efects of 0.8% or $1.0 million, partally ofset by the net impact of contractual pricing provisions.</w:t>
      </w:r>
    </w:p>
    <w:p>
      <w:pPr>
        <w:spacing w:after="0" w:line="168" w:lineRule="exact"/>
        <w:rPr>
          <w:sz w:val="20"/>
          <w:szCs w:val="20"/>
          <w:color w:val="auto"/>
        </w:rPr>
      </w:pPr>
    </w:p>
    <w:p>
      <w:pPr>
        <w:spacing w:after="0" w:line="242" w:lineRule="auto"/>
        <w:rPr>
          <w:sz w:val="20"/>
          <w:szCs w:val="20"/>
          <w:color w:val="auto"/>
        </w:rPr>
      </w:pPr>
      <w:r>
        <w:rPr>
          <w:rFonts w:ascii="Calibri" w:cs="Calibri" w:eastAsia="Calibri" w:hAnsi="Calibri"/>
          <w:sz w:val="13"/>
          <w:szCs w:val="13"/>
          <w:color w:val="auto"/>
        </w:rPr>
        <w:t>Loss from operatons was $2.1 million compared to a loss from operatons of $4.0 million in the second quarter of 2023. The decrease in loss from operatons was primarily due to improved operatng performance within several facilites.</w:t>
      </w:r>
    </w:p>
    <w:p>
      <w:pPr>
        <w:spacing w:after="0" w:line="130" w:lineRule="exact"/>
        <w:rPr>
          <w:sz w:val="20"/>
          <w:szCs w:val="20"/>
          <w:color w:val="auto"/>
        </w:rPr>
      </w:pPr>
    </w:p>
    <w:p>
      <w:pPr>
        <w:ind w:right="20"/>
        <w:spacing w:after="0" w:line="242" w:lineRule="auto"/>
        <w:rPr>
          <w:sz w:val="20"/>
          <w:szCs w:val="20"/>
          <w:color w:val="auto"/>
        </w:rPr>
      </w:pPr>
      <w:r>
        <w:rPr>
          <w:rFonts w:ascii="Calibri" w:cs="Calibri" w:eastAsia="Calibri" w:hAnsi="Calibri"/>
          <w:sz w:val="13"/>
          <w:szCs w:val="13"/>
          <w:color w:val="auto"/>
        </w:rPr>
        <w:t>Income from operatons for Power Solutons was $5.3 million compared to income from operatons of $2.6 million for the same period in 2023. Loss from operatons for Mobile Solutons was $1.6 million compared to loss from operatons of $1.5 million for the same period in 2023.</w:t>
      </w:r>
    </w:p>
    <w:p>
      <w:pPr>
        <w:spacing w:after="0" w:line="130" w:lineRule="exact"/>
        <w:rPr>
          <w:sz w:val="20"/>
          <w:szCs w:val="20"/>
          <w:color w:val="auto"/>
        </w:rPr>
      </w:pPr>
    </w:p>
    <w:p>
      <w:pPr>
        <w:ind w:right="280"/>
        <w:spacing w:after="0" w:line="234" w:lineRule="auto"/>
        <w:rPr>
          <w:sz w:val="20"/>
          <w:szCs w:val="20"/>
          <w:color w:val="auto"/>
        </w:rPr>
      </w:pPr>
      <w:r>
        <w:rPr>
          <w:rFonts w:ascii="Calibri" w:cs="Calibri" w:eastAsia="Calibri" w:hAnsi="Calibri"/>
          <w:sz w:val="13"/>
          <w:szCs w:val="13"/>
          <w:color w:val="auto"/>
        </w:rPr>
        <w:t>Net loss was $2.2 million compared to net loss of $14.4 million for the same period in 2023. The decrease in net loss was primarily due to non-cash derivatve mark-to-market gains recognized during the current quarter compared to losses recognized in the second quarter of 2023.</w:t>
      </w:r>
    </w:p>
    <w:p>
      <w:pPr>
        <w:spacing w:after="0" w:line="121"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Second Quarter Adjusted Results</w:t>
      </w:r>
    </w:p>
    <w:p>
      <w:pPr>
        <w:spacing w:after="0" w:line="41" w:lineRule="exact"/>
        <w:rPr>
          <w:sz w:val="20"/>
          <w:szCs w:val="20"/>
          <w:color w:val="auto"/>
        </w:rPr>
      </w:pPr>
    </w:p>
    <w:p>
      <w:pPr>
        <w:spacing w:after="0" w:line="255" w:lineRule="auto"/>
        <w:rPr>
          <w:sz w:val="20"/>
          <w:szCs w:val="20"/>
          <w:color w:val="auto"/>
        </w:rPr>
      </w:pPr>
      <w:r>
        <w:rPr>
          <w:rFonts w:ascii="Calibri" w:cs="Calibri" w:eastAsia="Calibri" w:hAnsi="Calibri"/>
          <w:sz w:val="13"/>
          <w:szCs w:val="13"/>
          <w:color w:val="auto"/>
        </w:rPr>
        <w:t>Adjusted income from operatons for the second quarter of 2024 was $2.1 million compared to adjusted income from operatons of $1.3 million for the same period in 2023. Adjusted EBITDA was $13.4 million, or 10.9% of sales, compared to $10.5 million, or 8.4% of sales, for the same period in 2023.</w:t>
      </w:r>
    </w:p>
    <w:p>
      <w:pPr>
        <w:spacing w:after="0" w:line="113" w:lineRule="exact"/>
        <w:rPr>
          <w:sz w:val="20"/>
          <w:szCs w:val="20"/>
          <w:color w:val="auto"/>
        </w:rPr>
      </w:pPr>
    </w:p>
    <w:p>
      <w:pPr>
        <w:ind w:right="20"/>
        <w:spacing w:after="0" w:line="255" w:lineRule="auto"/>
        <w:rPr>
          <w:sz w:val="20"/>
          <w:szCs w:val="20"/>
          <w:color w:val="auto"/>
        </w:rPr>
      </w:pPr>
      <w:r>
        <w:rPr>
          <w:rFonts w:ascii="Calibri" w:cs="Calibri" w:eastAsia="Calibri" w:hAnsi="Calibri"/>
          <w:sz w:val="13"/>
          <w:szCs w:val="13"/>
          <w:color w:val="auto"/>
        </w:rPr>
        <w:t>Adjusted net loss was $0.8 million, or $0.02 per diluted share, compared to adjusted net loss of $3.3 million, or $0.08 per diluted share, for the same period in 2023. Free cash fow was a use of cash of $1.3 million compared to a generaton of cash of $3.0 million for the same period in 2023.</w:t>
      </w:r>
    </w:p>
    <w:p>
      <w:pPr>
        <w:spacing w:after="0" w:line="102"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Power Solutons</w:t>
      </w:r>
    </w:p>
    <w:p>
      <w:pPr>
        <w:ind w:right="220"/>
        <w:spacing w:after="0" w:line="224" w:lineRule="auto"/>
        <w:rPr>
          <w:sz w:val="20"/>
          <w:szCs w:val="20"/>
          <w:color w:val="auto"/>
        </w:rPr>
      </w:pPr>
      <w:r>
        <w:rPr>
          <w:rFonts w:ascii="Calibri" w:cs="Calibri" w:eastAsia="Calibri" w:hAnsi="Calibri"/>
          <w:sz w:val="13"/>
          <w:szCs w:val="13"/>
          <w:color w:val="auto"/>
        </w:rPr>
        <w:t>Net sales for the second quarter of 2024 were $50.2 million compared to $48.1 million in the second quarter of 2023, an increase of 4.3%, or $2.1 million. The increase in sales was primarily due to higher precious metals pass-through pricing and infaton pricing, partally ofset by lower volume during the current quarter.</w:t>
      </w:r>
    </w:p>
    <w:p>
      <w:pPr>
        <w:spacing w:after="0" w:line="168" w:lineRule="exact"/>
        <w:rPr>
          <w:sz w:val="20"/>
          <w:szCs w:val="20"/>
          <w:color w:val="auto"/>
        </w:rPr>
      </w:pPr>
    </w:p>
    <w:p>
      <w:pPr>
        <w:ind w:right="520"/>
        <w:spacing w:after="0" w:line="242" w:lineRule="auto"/>
        <w:rPr>
          <w:sz w:val="20"/>
          <w:szCs w:val="20"/>
          <w:color w:val="auto"/>
        </w:rPr>
      </w:pPr>
      <w:r>
        <w:rPr>
          <w:rFonts w:ascii="Calibri" w:cs="Calibri" w:eastAsia="Calibri" w:hAnsi="Calibri"/>
          <w:sz w:val="13"/>
          <w:szCs w:val="13"/>
          <w:color w:val="auto"/>
        </w:rPr>
        <w:t>Adjusted income from operatons was $8.0 million compared to adjusted income from operatons of $5.6 million in the second quarter of 2023. The increase in adjusted income from operatons was primarily due to favorable producton volumes and improved operatng performance.</w:t>
      </w:r>
    </w:p>
    <w:p>
      <w:pPr>
        <w:spacing w:after="0" w:line="128"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Mobile Solutons</w:t>
      </w:r>
    </w:p>
    <w:p>
      <w:pPr>
        <w:spacing w:after="0" w:line="32" w:lineRule="exact"/>
        <w:rPr>
          <w:sz w:val="20"/>
          <w:szCs w:val="20"/>
          <w:color w:val="auto"/>
        </w:rPr>
      </w:pPr>
    </w:p>
    <w:p>
      <w:pPr>
        <w:ind w:right="260"/>
        <w:spacing w:after="0" w:line="227" w:lineRule="auto"/>
        <w:rPr>
          <w:sz w:val="20"/>
          <w:szCs w:val="20"/>
          <w:color w:val="auto"/>
        </w:rPr>
      </w:pPr>
      <w:r>
        <w:rPr>
          <w:rFonts w:ascii="Calibri" w:cs="Calibri" w:eastAsia="Calibri" w:hAnsi="Calibri"/>
          <w:sz w:val="13"/>
          <w:szCs w:val="13"/>
          <w:color w:val="auto"/>
        </w:rPr>
        <w:t>Net sales for the second quarter of 2024 were $72.9 million compared to $77.2 million in the second quarter of 2023, a decrease of 5.6%, or $4.3 million. The decrease in sales was primarily due to lower volume at facilites undergoing transformatons, contractual reducton in customer pricing, and unfavorable foreign exchange efects.</w:t>
      </w:r>
    </w:p>
    <w:p>
      <w:pPr>
        <w:spacing w:after="0" w:line="159" w:lineRule="exact"/>
        <w:rPr>
          <w:sz w:val="20"/>
          <w:szCs w:val="20"/>
          <w:color w:val="auto"/>
        </w:rPr>
      </w:pPr>
    </w:p>
    <w:p>
      <w:pPr>
        <w:ind w:right="160"/>
        <w:spacing w:after="0" w:line="227" w:lineRule="auto"/>
        <w:rPr>
          <w:sz w:val="20"/>
          <w:szCs w:val="20"/>
          <w:color w:val="auto"/>
        </w:rPr>
      </w:pPr>
      <w:r>
        <w:rPr>
          <w:rFonts w:ascii="Calibri" w:cs="Calibri" w:eastAsia="Calibri" w:hAnsi="Calibri"/>
          <w:sz w:val="13"/>
          <w:szCs w:val="13"/>
          <w:color w:val="auto"/>
        </w:rPr>
        <w:t>Adjusted loss from operatons was $0.7 million compared to adjusted income from operatons of $0.2 million in the second quarter of 2023. The decrease in adjusted income from operatons was primarily due to lower producton volumes.</w:t>
      </w:r>
    </w:p>
    <w:p>
      <w:pPr>
        <w:spacing w:after="0" w:line="148"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2</w:t>
      </w:r>
    </w:p>
    <w:p>
      <w:pPr>
        <w:sectPr>
          <w:pgSz w:w="11900" w:h="16838" w:orient="portrait"/>
          <w:cols w:equalWidth="0" w:num="1">
            <w:col w:w="11300"/>
          </w:cols>
          <w:pgMar w:left="300" w:top="1122" w:right="299" w:bottom="1440" w:gutter="0" w:footer="0" w:header="0"/>
        </w:sectPr>
      </w:pPr>
    </w:p>
    <w:bookmarkStart w:id="5" w:name="page6"/>
    <w:bookmarkEnd w:id="5"/>
    <w:p>
      <w:pPr>
        <w:ind w:left="8"/>
        <w:spacing w:after="0"/>
        <w:rPr>
          <w:sz w:val="20"/>
          <w:szCs w:val="20"/>
          <w:color w:val="auto"/>
        </w:rPr>
      </w:pPr>
      <w:r>
        <w:rPr>
          <w:rFonts w:ascii="Calibri" w:cs="Calibri" w:eastAsia="Calibri" w:hAnsi="Calibri"/>
          <w:sz w:val="13"/>
          <w:szCs w:val="13"/>
          <w:b w:val="1"/>
          <w:bCs w:val="1"/>
          <w:u w:val="single" w:color="auto"/>
          <w:color w:val="auto"/>
        </w:rPr>
        <w:t>Updated 2024 Outlook</w:t>
      </w:r>
    </w:p>
    <w:p>
      <w:pPr>
        <w:spacing w:after="0" w:line="39" w:lineRule="exact"/>
        <w:rPr>
          <w:sz w:val="20"/>
          <w:szCs w:val="20"/>
          <w:color w:val="auto"/>
        </w:rPr>
      </w:pPr>
    </w:p>
    <w:p>
      <w:pPr>
        <w:ind w:left="208" w:hanging="208"/>
        <w:spacing w:after="0"/>
        <w:tabs>
          <w:tab w:leader="none" w:pos="208"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is reafrming its full-year 2024 outlook previously provided in its news release on July 2, 2024.</w:t>
      </w:r>
    </w:p>
    <w:p>
      <w:pPr>
        <w:ind w:left="428" w:hanging="212"/>
        <w:spacing w:after="0" w:line="231" w:lineRule="auto"/>
        <w:tabs>
          <w:tab w:leader="none" w:pos="428" w:val="left"/>
        </w:tabs>
        <w:numPr>
          <w:ilvl w:val="1"/>
          <w:numId w:val="4"/>
        </w:numPr>
        <w:rPr>
          <w:rFonts w:ascii="Arial" w:cs="Arial" w:eastAsia="Arial" w:hAnsi="Arial"/>
          <w:sz w:val="13"/>
          <w:szCs w:val="13"/>
          <w:color w:val="auto"/>
        </w:rPr>
      </w:pPr>
      <w:r>
        <w:rPr>
          <w:rFonts w:ascii="Calibri" w:cs="Calibri" w:eastAsia="Calibri" w:hAnsi="Calibri"/>
          <w:sz w:val="13"/>
          <w:szCs w:val="13"/>
          <w:color w:val="auto"/>
        </w:rPr>
        <w:t>Revenue in the range of $465 million to $485 million;</w:t>
      </w:r>
    </w:p>
    <w:p>
      <w:pPr>
        <w:spacing w:after="0" w:line="21" w:lineRule="exact"/>
        <w:rPr>
          <w:rFonts w:ascii="Arial" w:cs="Arial" w:eastAsia="Arial" w:hAnsi="Arial"/>
          <w:sz w:val="13"/>
          <w:szCs w:val="13"/>
          <w:color w:val="auto"/>
        </w:rPr>
      </w:pPr>
    </w:p>
    <w:p>
      <w:pPr>
        <w:ind w:left="428" w:hanging="212"/>
        <w:spacing w:after="0"/>
        <w:tabs>
          <w:tab w:leader="none" w:pos="428" w:val="left"/>
        </w:tabs>
        <w:numPr>
          <w:ilvl w:val="1"/>
          <w:numId w:val="4"/>
        </w:numPr>
        <w:rPr>
          <w:rFonts w:ascii="Arial" w:cs="Arial" w:eastAsia="Arial" w:hAnsi="Arial"/>
          <w:sz w:val="13"/>
          <w:szCs w:val="13"/>
          <w:color w:val="auto"/>
        </w:rPr>
      </w:pPr>
      <w:r>
        <w:rPr>
          <w:rFonts w:ascii="Calibri" w:cs="Calibri" w:eastAsia="Calibri" w:hAnsi="Calibri"/>
          <w:sz w:val="13"/>
          <w:szCs w:val="13"/>
          <w:color w:val="auto"/>
        </w:rPr>
        <w:t>Adjusted EBITDA in the range of $47 million to $51 million;</w:t>
      </w:r>
    </w:p>
    <w:p>
      <w:pPr>
        <w:spacing w:after="0" w:line="12" w:lineRule="exact"/>
        <w:rPr>
          <w:rFonts w:ascii="Arial" w:cs="Arial" w:eastAsia="Arial" w:hAnsi="Arial"/>
          <w:sz w:val="13"/>
          <w:szCs w:val="13"/>
          <w:color w:val="auto"/>
        </w:rPr>
      </w:pPr>
    </w:p>
    <w:p>
      <w:pPr>
        <w:ind w:left="428" w:hanging="212"/>
        <w:spacing w:after="0"/>
        <w:tabs>
          <w:tab w:leader="none" w:pos="428" w:val="left"/>
        </w:tabs>
        <w:numPr>
          <w:ilvl w:val="1"/>
          <w:numId w:val="4"/>
        </w:numPr>
        <w:rPr>
          <w:rFonts w:ascii="Arial" w:cs="Arial" w:eastAsia="Arial" w:hAnsi="Arial"/>
          <w:sz w:val="13"/>
          <w:szCs w:val="13"/>
          <w:color w:val="auto"/>
        </w:rPr>
      </w:pPr>
      <w:r>
        <w:rPr>
          <w:rFonts w:ascii="Calibri" w:cs="Calibri" w:eastAsia="Calibri" w:hAnsi="Calibri"/>
          <w:sz w:val="13"/>
          <w:szCs w:val="13"/>
          <w:color w:val="auto"/>
        </w:rPr>
        <w:t>Free cash fow in the range of $8 million to $12 million; and</w:t>
      </w:r>
    </w:p>
    <w:p>
      <w:pPr>
        <w:spacing w:after="0" w:line="21" w:lineRule="exact"/>
        <w:rPr>
          <w:rFonts w:ascii="Arial" w:cs="Arial" w:eastAsia="Arial" w:hAnsi="Arial"/>
          <w:sz w:val="13"/>
          <w:szCs w:val="13"/>
          <w:color w:val="auto"/>
        </w:rPr>
      </w:pPr>
    </w:p>
    <w:p>
      <w:pPr>
        <w:ind w:left="428" w:hanging="212"/>
        <w:spacing w:after="0"/>
        <w:tabs>
          <w:tab w:leader="none" w:pos="428" w:val="left"/>
        </w:tabs>
        <w:numPr>
          <w:ilvl w:val="1"/>
          <w:numId w:val="4"/>
        </w:numPr>
        <w:rPr>
          <w:rFonts w:ascii="Arial" w:cs="Arial" w:eastAsia="Arial" w:hAnsi="Arial"/>
          <w:sz w:val="13"/>
          <w:szCs w:val="13"/>
          <w:color w:val="auto"/>
        </w:rPr>
      </w:pPr>
      <w:r>
        <w:rPr>
          <w:rFonts w:ascii="Calibri" w:cs="Calibri" w:eastAsia="Calibri" w:hAnsi="Calibri"/>
          <w:sz w:val="13"/>
          <w:szCs w:val="13"/>
          <w:color w:val="auto"/>
        </w:rPr>
        <w:t>New business wins in the range of $55 million to $70 million.</w:t>
      </w:r>
    </w:p>
    <w:p>
      <w:pPr>
        <w:spacing w:after="0" w:line="158" w:lineRule="exact"/>
        <w:rPr>
          <w:sz w:val="20"/>
          <w:szCs w:val="20"/>
          <w:color w:val="auto"/>
        </w:rPr>
      </w:pPr>
    </w:p>
    <w:p>
      <w:pPr>
        <w:jc w:val="both"/>
        <w:ind w:left="8"/>
        <w:spacing w:after="0" w:line="228" w:lineRule="auto"/>
        <w:rPr>
          <w:sz w:val="20"/>
          <w:szCs w:val="20"/>
          <w:color w:val="auto"/>
        </w:rPr>
      </w:pPr>
      <w:r>
        <w:rPr>
          <w:rFonts w:ascii="Calibri" w:cs="Calibri" w:eastAsia="Calibri" w:hAnsi="Calibri"/>
          <w:sz w:val="13"/>
          <w:szCs w:val="13"/>
          <w:color w:val="auto"/>
        </w:rPr>
        <w:t>Chris Bohnert, Senior Vice President and Chief Financial Ofcer, commented, “NN contnued to make signifcant progress on its transformaton goals in the quarter and we are maintaining our full year 2024 guidance ranges as market fundamentals and our improved operatng performance have been in line with our previous expectatons. Additonally, optmizing NN’s capital structure and the proactve strategic re-fnancing of our term loan remains a top priority for our team in the near-term and will be a key next step in our transformatonal strategy.”</w:t>
      </w:r>
    </w:p>
    <w:p>
      <w:pPr>
        <w:spacing w:after="0" w:line="149"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3</w:t>
      </w:r>
    </w:p>
    <w:p>
      <w:pPr>
        <w:sectPr>
          <w:pgSz w:w="11900" w:h="16838" w:orient="portrait"/>
          <w:cols w:equalWidth="0" w:num="1">
            <w:col w:w="11308"/>
          </w:cols>
          <w:pgMar w:left="292" w:top="670" w:right="299" w:bottom="1440" w:gutter="0" w:footer="0" w:header="0"/>
        </w:sectPr>
      </w:pPr>
    </w:p>
    <w:bookmarkStart w:id="6" w:name="page7"/>
    <w:bookmarkEnd w:id="6"/>
    <w:p>
      <w:pPr>
        <w:ind w:left="8"/>
        <w:spacing w:after="0"/>
        <w:rPr>
          <w:sz w:val="20"/>
          <w:szCs w:val="20"/>
          <w:color w:val="auto"/>
        </w:rPr>
      </w:pPr>
      <w:r>
        <w:rPr>
          <w:rFonts w:ascii="Calibri" w:cs="Calibri" w:eastAsia="Calibri" w:hAnsi="Calibri"/>
          <w:sz w:val="13"/>
          <w:szCs w:val="13"/>
          <w:b w:val="1"/>
          <w:bCs w:val="1"/>
          <w:u w:val="single" w:color="auto"/>
          <w:color w:val="auto"/>
        </w:rPr>
        <w:t>Conference Call</w:t>
      </w:r>
    </w:p>
    <w:p>
      <w:pPr>
        <w:spacing w:after="0" w:line="50" w:lineRule="exact"/>
        <w:rPr>
          <w:sz w:val="20"/>
          <w:szCs w:val="20"/>
          <w:color w:val="auto"/>
        </w:rPr>
      </w:pPr>
    </w:p>
    <w:p>
      <w:pPr>
        <w:jc w:val="both"/>
        <w:ind w:left="8" w:hanging="8"/>
        <w:spacing w:after="0" w:line="244" w:lineRule="auto"/>
        <w:tabs>
          <w:tab w:leader="none" w:pos="226"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will discuss its results during its quarterly investor conference call on August 8, 2024, at 10 a.m. ET. The call and supplemental presentaton may be accessed via NN's website, www.nninc.com. The conference call can also be accessed by dialing 1-877-255-4315 or 1-412-317-6579. For those who are unavailable to listen to the live broadcast, a replay will be available shortly afer the call untl August 8, 2025.</w:t>
      </w:r>
    </w:p>
    <w:p>
      <w:pPr>
        <w:spacing w:after="0" w:line="289" w:lineRule="exact"/>
        <w:rPr>
          <w:sz w:val="20"/>
          <w:szCs w:val="20"/>
          <w:color w:val="auto"/>
        </w:rPr>
      </w:pPr>
    </w:p>
    <w:p>
      <w:pPr>
        <w:jc w:val="both"/>
        <w:ind w:left="8" w:hanging="8"/>
        <w:spacing w:after="0" w:line="250" w:lineRule="auto"/>
        <w:tabs>
          <w:tab w:leader="none" w:pos="22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discloses in this press release the non-GAAP fnancial measures of adjusted income (loss) from operatons, adjusted EBITDA, adjusted net income (loss), adjusted net income (loss) per diluted common share, and free cash fow. Each of these non-GAAP fnancial measures provides supplementary informaton about the impacts of restructuring and integraton expense, acquisiton and transiton expenses, foreign exchange impacts on inter-company loans, amortzaton of intangibles and deferred fnancing costs, and other non-operatng impacts on our business.</w:t>
      </w:r>
    </w:p>
    <w:p>
      <w:pPr>
        <w:spacing w:after="0" w:line="116" w:lineRule="exact"/>
        <w:rPr>
          <w:sz w:val="20"/>
          <w:szCs w:val="20"/>
          <w:color w:val="auto"/>
        </w:rPr>
      </w:pPr>
    </w:p>
    <w:p>
      <w:pPr>
        <w:jc w:val="both"/>
        <w:ind w:left="8"/>
        <w:spacing w:after="0" w:line="250" w:lineRule="auto"/>
        <w:rPr>
          <w:sz w:val="20"/>
          <w:szCs w:val="20"/>
          <w:color w:val="auto"/>
        </w:rPr>
      </w:pPr>
      <w:r>
        <w:rPr>
          <w:rFonts w:ascii="Calibri" w:cs="Calibri" w:eastAsia="Calibri" w:hAnsi="Calibri"/>
          <w:sz w:val="13"/>
          <w:szCs w:val="13"/>
          <w:color w:val="auto"/>
        </w:rPr>
        <w:t>The fnancial tables found later in this press release include a reconciliaton of adjusted income (loss) from operatons, adjusted operatng margin, adjusted EBITDA, adjusted EBITDA margin, adjusted net income (loss), adjusted net income (loss) per diluted share, free cash fow to the U.S. GAAP fnancial measures of income (loss) from operatons, net income (loss), net income (loss) per diluted common share, and cash provided (used) by operatng actvites.</w:t>
      </w:r>
    </w:p>
    <w:p>
      <w:pPr>
        <w:spacing w:after="0" w:line="267"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4</w:t>
      </w:r>
    </w:p>
    <w:p>
      <w:pPr>
        <w:sectPr>
          <w:pgSz w:w="11900" w:h="16838" w:orient="portrait"/>
          <w:cols w:equalWidth="0" w:num="1">
            <w:col w:w="11308"/>
          </w:cols>
          <w:pgMar w:left="292" w:top="670" w:right="299" w:bottom="1440" w:gutter="0" w:footer="0" w:header="0"/>
        </w:sectPr>
      </w:pPr>
    </w:p>
    <w:bookmarkStart w:id="7" w:name="page8"/>
    <w:bookmarkEnd w:id="7"/>
    <w:p>
      <w:pPr>
        <w:spacing w:after="0"/>
        <w:rPr>
          <w:sz w:val="20"/>
          <w:szCs w:val="20"/>
          <w:color w:val="auto"/>
        </w:rPr>
      </w:pPr>
      <w:r>
        <w:rPr>
          <w:rFonts w:ascii="Calibri" w:cs="Calibri" w:eastAsia="Calibri" w:hAnsi="Calibri"/>
          <w:sz w:val="13"/>
          <w:szCs w:val="13"/>
          <w:b w:val="1"/>
          <w:bCs w:val="1"/>
          <w:u w:val="single" w:color="auto"/>
          <w:color w:val="auto"/>
        </w:rPr>
        <w:t>About NN, Inc</w:t>
      </w:r>
      <w:r>
        <w:rPr>
          <w:rFonts w:ascii="Calibri" w:cs="Calibri" w:eastAsia="Calibri" w:hAnsi="Calibri"/>
          <w:sz w:val="13"/>
          <w:szCs w:val="13"/>
          <w:b w:val="1"/>
          <w:bCs w:val="1"/>
          <w:color w:val="auto"/>
          <w:highlight w:val="white"/>
        </w:rPr>
        <w:t>.</w:t>
      </w:r>
    </w:p>
    <w:p>
      <w:pPr>
        <w:spacing w:after="0" w:line="50" w:lineRule="exact"/>
        <w:rPr>
          <w:sz w:val="20"/>
          <w:szCs w:val="20"/>
          <w:color w:val="auto"/>
        </w:rPr>
      </w:pPr>
    </w:p>
    <w:p>
      <w:pPr>
        <w:jc w:val="both"/>
        <w:spacing w:after="0" w:line="243" w:lineRule="auto"/>
        <w:rPr>
          <w:sz w:val="20"/>
          <w:szCs w:val="20"/>
          <w:color w:val="auto"/>
        </w:rPr>
      </w:pPr>
      <w:r>
        <w:rPr>
          <w:rFonts w:ascii="Calibri" w:cs="Calibri" w:eastAsia="Calibri" w:hAnsi="Calibri"/>
          <w:sz w:val="13"/>
          <w:szCs w:val="13"/>
          <w:color w:val="auto"/>
        </w:rPr>
        <w:t>NN, Inc., a global diversifed industrial company, combines advanced engineering and producton capabilites with in-depth materials science expertse to design and manufacture high-precision components and assemblies for a variety of markets on a global basis. Headquartered in Charlote, North Carolina, NN has facilites in North America, Europe, South America, and Asia. For more informaton about the company and its products, please visit www.nninc.com.</w:t>
      </w:r>
    </w:p>
    <w:p>
      <w:pPr>
        <w:spacing w:after="0" w:line="138" w:lineRule="exact"/>
        <w:rPr>
          <w:sz w:val="20"/>
          <w:szCs w:val="20"/>
          <w:color w:val="auto"/>
        </w:rPr>
      </w:pPr>
    </w:p>
    <w:p>
      <w:pPr>
        <w:jc w:val="both"/>
        <w:spacing w:after="0" w:line="234" w:lineRule="auto"/>
        <w:rPr>
          <w:sz w:val="20"/>
          <w:szCs w:val="20"/>
          <w:color w:val="auto"/>
        </w:rPr>
      </w:pPr>
      <w:r>
        <w:rPr>
          <w:rFonts w:ascii="Calibri" w:cs="Calibri" w:eastAsia="Calibri" w:hAnsi="Calibri"/>
          <w:sz w:val="10"/>
          <w:szCs w:val="10"/>
          <w:i w:val="1"/>
          <w:iCs w:val="1"/>
          <w:color w:val="auto"/>
        </w:rPr>
        <w:t>Except for specifc historical informaton, many of the maters discussed in this press release may express or imply projectons of revenues or expenditures, statements of plans and objectves or future operatons or statements of future economic performance. These statements may discuss goals, intentons and expectatons as to future trends, plans, events, results of operatons or fnancial conditon, or state other informaton relatng to NN, Inc. (the “Company”) based on current beliefs of management as well as assumptons made by, and informaton currently available to, management. Forward-looking statements generally will be accompanied by words such as “antcipate,” “believe,” “could,” “estmate,” “expect,” “forecast,” “guidance,” “intend,” “may,” “possible,” “potental,” “predict,” “project” or other similar words, phrases or expressions. Forward-looking statements involve a number of risks and uncertaintes that are outside of management’s control and that may cause actual results to be materially diferent from such forward-looking statements. Such factors include, among others, general economic conditons and economic conditons in the industrial sector; the impacts of pandemics, epidemics, disease outbreaks and other public health crises on our fnancial conditon, business operatons and liquidity; compettve infuences; risks that current customers will commence or increase captve producton; risks of capacity underutlizaton; quality issues; material changes in the costs and availability of raw materials; economic, social, politcal and geopolitcal instability, military confict, currency fuctuaton, and other risks of doing business outside of the United States; infatonary pressures and changes in the cost or availability of materials, supply chain shortages and disruptons, the availability of labor and labor disruptons along the supply chain; our dependence on certain major customers, some of whom are not partes to long-term agreements (and/or are terminable on short notce); the impact of acquisitons and divesttures, as well as expansion of end markets and product oferings; our ability to hire or retain key personnel; the level of our indebtedness; the restrictons contained in our debt agreements; our ability to obtain fnancing at favorable rates, if at all, and to refnance existng debt as it matures; our ability to secure, maintain or enforce patents or other appropriate protectons for our intellectual property; new laws and governmental regulatons; the impact of climate change on our operatons; and cyber liability or potental liability for breaches of our or our service providers’ informaton technology systems or business operatons disruptons. The foregoing factors should not be construed as exhaustve and should be read in conjuncton with the sectons enttled “Risk Factors” and “Management’s Discussion and Analysis of Financial Conditon and Results of Operatons” included in the Company’s flings made with the Securites and Exchange Commission. Any forward-looking statement speaks only as of the date of this press release, and the Company undertakes no obligaton to publicly update or review any forward-looking statement, whether as a result of new informaton, future developments or otherwise, except as required by law. New risks and uncertaintes may emerge from tme to tme, and it is not possible for the Company to predict their occurrence or how they will afect the Company. The Company qualifes all forward-looking statements by these cautonary statements.</w:t>
      </w:r>
    </w:p>
    <w:p>
      <w:pPr>
        <w:spacing w:after="0" w:line="172" w:lineRule="exact"/>
        <w:rPr>
          <w:sz w:val="20"/>
          <w:szCs w:val="20"/>
          <w:color w:val="auto"/>
        </w:rPr>
      </w:pPr>
    </w:p>
    <w:p>
      <w:pPr>
        <w:ind w:right="60"/>
        <w:spacing w:after="0" w:line="233" w:lineRule="auto"/>
        <w:rPr>
          <w:sz w:val="20"/>
          <w:szCs w:val="20"/>
          <w:color w:val="auto"/>
        </w:rPr>
      </w:pPr>
      <w:r>
        <w:rPr>
          <w:rFonts w:ascii="Calibri" w:cs="Calibri" w:eastAsia="Calibri" w:hAnsi="Calibri"/>
          <w:sz w:val="10"/>
          <w:szCs w:val="10"/>
          <w:i w:val="1"/>
          <w:iCs w:val="1"/>
          <w:color w:val="auto"/>
        </w:rPr>
        <w:t>With respect to any non-GAAP fnancial measures included in the following document, the accompanying informaton required by SEC Regulaton G can be found in the back of this document or in the “Investors” secton of the Company’s web site, www.nninc.com, under the heading “News &amp; Events” and subheading “Presentatons.”</w:t>
      </w:r>
    </w:p>
    <w:p>
      <w:pPr>
        <w:spacing w:after="0" w:line="149"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Investor &amp; Media Contacts:</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Joe Caminit or Stephen Poe, Investors</w:t>
      </w:r>
    </w:p>
    <w:p>
      <w:pPr>
        <w:spacing w:after="0" w:line="231" w:lineRule="auto"/>
        <w:rPr>
          <w:sz w:val="20"/>
          <w:szCs w:val="20"/>
          <w:color w:val="auto"/>
        </w:rPr>
      </w:pPr>
      <w:r>
        <w:rPr>
          <w:rFonts w:ascii="Calibri" w:cs="Calibri" w:eastAsia="Calibri" w:hAnsi="Calibri"/>
          <w:sz w:val="13"/>
          <w:szCs w:val="13"/>
          <w:color w:val="auto"/>
        </w:rPr>
        <w:t>Tim Peters or Emma Brandeis, Media</w:t>
      </w:r>
    </w:p>
    <w:p>
      <w:pPr>
        <w:spacing w:after="0" w:line="4" w:lineRule="exact"/>
        <w:rPr>
          <w:sz w:val="20"/>
          <w:szCs w:val="20"/>
          <w:color w:val="auto"/>
        </w:rPr>
      </w:pPr>
    </w:p>
    <w:p>
      <w:pPr>
        <w:spacing w:after="0"/>
        <w:rPr>
          <w:sz w:val="20"/>
          <w:szCs w:val="20"/>
          <w:color w:val="auto"/>
        </w:rPr>
      </w:pPr>
      <w:r>
        <w:rPr>
          <w:rFonts w:ascii="Calibri" w:cs="Calibri" w:eastAsia="Calibri" w:hAnsi="Calibri"/>
          <w:sz w:val="13"/>
          <w:szCs w:val="13"/>
          <w:color w:val="auto"/>
        </w:rPr>
        <w:t>NNBR@alpha-ir.com</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312-445-2870</w:t>
      </w:r>
    </w:p>
    <w:p>
      <w:pPr>
        <w:spacing w:after="0" w:line="156"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Financial Tables Follow</w:t>
      </w:r>
    </w:p>
    <w:p>
      <w:pPr>
        <w:spacing w:after="0" w:line="147"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5</w:t>
      </w:r>
    </w:p>
    <w:p>
      <w:pPr>
        <w:sectPr>
          <w:pgSz w:w="11900" w:h="16838" w:orient="portrait"/>
          <w:cols w:equalWidth="0" w:num="1">
            <w:col w:w="11300"/>
          </w:cols>
          <w:pgMar w:left="300" w:top="670"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Income (Loss)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tcPr>
          <w:p>
            <w:pPr>
              <w:ind w:left="56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820" w:type="dxa"/>
            <w:vAlign w:val="bottom"/>
          </w:tcPr>
          <w:p>
            <w:pPr>
              <w:spacing w:after="0"/>
              <w:rPr>
                <w:sz w:val="10"/>
                <w:szCs w:val="10"/>
                <w:color w:val="auto"/>
              </w:rPr>
            </w:pPr>
          </w:p>
        </w:tc>
      </w:tr>
      <w:tr>
        <w:trPr>
          <w:trHeight w:val="125"/>
        </w:trPr>
        <w:tc>
          <w:tcPr>
            <w:tcW w:w="60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820" w:type="dxa"/>
            <w:vAlign w:val="bottom"/>
            <w:tcBorders>
              <w:bottom w:val="single" w:sz="8" w:color="auto"/>
            </w:tcBorders>
          </w:tcPr>
          <w:p>
            <w:pPr>
              <w:spacing w:after="0"/>
              <w:rPr>
                <w:sz w:val="10"/>
                <w:szCs w:val="10"/>
                <w:color w:val="auto"/>
              </w:rPr>
            </w:pPr>
          </w:p>
        </w:tc>
      </w:tr>
      <w:tr>
        <w:trPr>
          <w:trHeight w:val="127"/>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7"/>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122,992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125,206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244,190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252,294</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 shown separately below)</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101,257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107,684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202,343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216,105</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13,511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10,975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26,859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24,140</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Pr>
          <w:p>
            <w:pPr>
              <w:spacing w:after="0"/>
              <w:rPr>
                <w:sz w:val="13"/>
                <w:szCs w:val="13"/>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11,761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11,550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24,308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23,066</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 (income), net</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(1,390)</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(2,390)</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r>
      <w:tr>
        <w:trPr>
          <w:trHeight w:val="142"/>
        </w:trPr>
        <w:tc>
          <w:tcPr>
            <w:tcW w:w="6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300" w:type="dxa"/>
            <w:vAlign w:val="bottom"/>
          </w:tcPr>
          <w:p>
            <w:pPr>
              <w:spacing w:after="0"/>
              <w:rPr>
                <w:sz w:val="12"/>
                <w:szCs w:val="12"/>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(2,147)</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(11,122)</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5,873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5,457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11,239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9,745</w:t>
            </w:r>
          </w:p>
        </w:tc>
      </w:tr>
      <w:tr>
        <w:trPr>
          <w:trHeight w:val="153"/>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color w:val="auto"/>
              </w:rPr>
              <w:t>(3,461)</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5,641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692</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3,433</w:t>
            </w:r>
          </w:p>
        </w:tc>
      </w:tr>
      <w:tr>
        <w:trPr>
          <w:trHeight w:val="142"/>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benefit (provision) for income taxes and share of net income from joint venture</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2"/>
                <w:szCs w:val="12"/>
                <w:color w:val="auto"/>
              </w:rPr>
              <w:t>(4,559)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(15,145)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(18,861)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(24,300)</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Benefit (provision) for income taxes</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(1,626)</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2,141</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1,093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4,412</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1,374</w:t>
            </w:r>
          </w:p>
        </w:tc>
      </w:tr>
      <w:tr>
        <w:trPr>
          <w:trHeight w:val="158"/>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color w:val="auto"/>
              </w:rPr>
              <w:t>(2,203)</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(14,377)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(14,740)</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(24,552)</w:t>
            </w:r>
          </w:p>
        </w:tc>
      </w:tr>
      <w:tr>
        <w:trPr>
          <w:trHeight w:val="135"/>
        </w:trPr>
        <w:tc>
          <w:tcPr>
            <w:tcW w:w="6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loss:</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53"/>
        </w:trPr>
        <w:tc>
          <w:tcPr>
            <w:tcW w:w="6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Foreign currency transaction loss</w:t>
            </w:r>
          </w:p>
        </w:tc>
        <w:tc>
          <w:tcPr>
            <w:tcW w:w="300" w:type="dxa"/>
            <w:vAlign w:val="bottom"/>
          </w:tcPr>
          <w:p>
            <w:pPr>
              <w:spacing w:after="0"/>
              <w:rPr>
                <w:sz w:val="13"/>
                <w:szCs w:val="13"/>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(3,387)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w:t>
            </w:r>
          </w:p>
        </w:tc>
      </w:tr>
      <w:tr>
        <w:trPr>
          <w:trHeight w:val="15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rate swap:</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3"/>
        </w:trPr>
        <w:tc>
          <w:tcPr>
            <w:tcW w:w="602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Change in fair value, net of tax</w:t>
            </w:r>
          </w:p>
        </w:tc>
        <w:tc>
          <w:tcPr>
            <w:tcW w:w="3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w:t>
            </w:r>
          </w:p>
        </w:tc>
      </w:tr>
      <w:tr>
        <w:trPr>
          <w:trHeight w:val="153"/>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Reclassification adjustments included in net loss, net of tax</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(917)</w:t>
            </w:r>
          </w:p>
        </w:tc>
      </w:tr>
      <w:tr>
        <w:trPr>
          <w:trHeight w:val="142"/>
        </w:trPr>
        <w:tc>
          <w:tcPr>
            <w:tcW w:w="602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loss</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color w:val="auto"/>
              </w:rPr>
              <w:t>(3,836)</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(2,823)</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(6,631)</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(1,681)</w:t>
            </w:r>
          </w:p>
        </w:tc>
      </w:tr>
      <w:tr>
        <w:trPr>
          <w:trHeight w:val="140"/>
        </w:trPr>
        <w:tc>
          <w:tcPr>
            <w:tcW w:w="602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Comprehensive loss</w:t>
            </w:r>
          </w:p>
        </w:tc>
        <w:tc>
          <w:tcPr>
            <w:tcW w:w="300" w:type="dxa"/>
            <w:vAlign w:val="bottom"/>
            <w:tcBorders>
              <w:bottom w:val="single" w:sz="8" w:color="auto"/>
            </w:tcBorders>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ind w:left="580"/>
              <w:spacing w:after="0" w:line="124" w:lineRule="exact"/>
              <w:rPr>
                <w:sz w:val="20"/>
                <w:szCs w:val="20"/>
                <w:color w:val="auto"/>
              </w:rPr>
            </w:pPr>
            <w:r>
              <w:rPr>
                <w:rFonts w:ascii="Times New Roman" w:cs="Times New Roman" w:eastAsia="Times New Roman" w:hAnsi="Times New Roman"/>
                <w:sz w:val="12"/>
                <w:szCs w:val="12"/>
                <w:color w:val="auto"/>
              </w:rPr>
              <w:t>(6,039)</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2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(17,200)</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(21,371)</w:t>
            </w: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(26,233)</w:t>
            </w:r>
          </w:p>
        </w:tc>
      </w:tr>
      <w:tr>
        <w:trPr>
          <w:trHeight w:val="153"/>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net loss per share</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(0.46)</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(0.67)</w:t>
            </w:r>
          </w:p>
        </w:tc>
      </w:tr>
      <w:tr>
        <w:trPr>
          <w:trHeight w:val="155"/>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Shares used to calculate basic and diluted net loss per share</w:t>
            </w:r>
          </w:p>
        </w:tc>
        <w:tc>
          <w:tcPr>
            <w:tcW w:w="300" w:type="dxa"/>
            <w:vAlign w:val="bottom"/>
          </w:tcPr>
          <w:p>
            <w:pPr>
              <w:spacing w:after="0"/>
              <w:rPr>
                <w:sz w:val="13"/>
                <w:szCs w:val="13"/>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48,839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46,357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48,281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45,836</w:t>
            </w:r>
          </w:p>
        </w:tc>
      </w:tr>
      <w:tr>
        <w:trPr>
          <w:trHeight w:val="372"/>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alibri" w:cs="Calibri" w:eastAsia="Calibri" w:hAnsi="Calibri"/>
                <w:sz w:val="13"/>
                <w:szCs w:val="13"/>
                <w:color w:val="auto"/>
              </w:rPr>
              <w:t>6</w:t>
            </w:r>
          </w:p>
        </w:tc>
      </w:tr>
    </w:tbl>
    <w:p>
      <w:pPr>
        <w:sectPr>
          <w:pgSz w:w="11900" w:h="16838" w:orient="portrait"/>
          <w:cols w:equalWidth="0" w:num="1">
            <w:col w:w="11300"/>
          </w:cols>
          <w:pgMar w:left="300" w:top="674" w:right="299" w:bottom="1440" w:gutter="0" w:footer="0" w:header="0"/>
        </w:sectPr>
      </w:pPr>
    </w:p>
    <w:bookmarkStart w:id="9" w:name="page10"/>
    <w:bookmarkEnd w:id="9"/>
    <w:p>
      <w:pPr>
        <w:ind w:left="54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4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280" w:type="dxa"/>
            <w:vAlign w:val="bottom"/>
          </w:tcPr>
          <w:p>
            <w:pPr>
              <w:spacing w:after="0"/>
              <w:rPr>
                <w:sz w:val="10"/>
                <w:szCs w:val="10"/>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220" w:type="dxa"/>
            <w:vAlign w:val="bottom"/>
          </w:tcPr>
          <w:p>
            <w:pPr>
              <w:spacing w:after="0"/>
              <w:rPr>
                <w:sz w:val="10"/>
                <w:szCs w:val="10"/>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9"/>
        </w:trPr>
        <w:tc>
          <w:tcPr>
            <w:tcW w:w="8660" w:type="dxa"/>
            <w:vAlign w:val="bottom"/>
            <w:tcBorders>
              <w:bottom w:val="single" w:sz="8" w:color="BFE4FF"/>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BFE4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37"/>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80" w:type="dxa"/>
            <w:vAlign w:val="bottom"/>
            <w:shd w:val="clear" w:color="auto" w:fill="BFE4FF"/>
          </w:tcPr>
          <w:p>
            <w:pPr>
              <w:spacing w:after="0"/>
              <w:rPr>
                <w:sz w:val="11"/>
                <w:szCs w:val="11"/>
                <w:color w:val="auto"/>
              </w:rPr>
            </w:pPr>
          </w:p>
        </w:tc>
        <w:tc>
          <w:tcPr>
            <w:tcW w:w="100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8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13,746</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21,903</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 net</w:t>
            </w:r>
          </w:p>
        </w:tc>
        <w:tc>
          <w:tcPr>
            <w:tcW w:w="28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68,832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65,545</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280" w:type="dxa"/>
            <w:vAlign w:val="bottom"/>
            <w:shd w:val="clear" w:color="auto" w:fill="BFE4FF"/>
          </w:tcPr>
          <w:p>
            <w:pPr>
              <w:spacing w:after="0"/>
              <w:rPr>
                <w:sz w:val="13"/>
                <w:szCs w:val="13"/>
                <w:color w:val="auto"/>
              </w:rPr>
            </w:pPr>
          </w:p>
        </w:tc>
        <w:tc>
          <w:tcPr>
            <w:tcW w:w="10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68,291</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71,563</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 receivable</w:t>
            </w:r>
          </w:p>
        </w:tc>
        <w:tc>
          <w:tcPr>
            <w:tcW w:w="28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13,045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11,885</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Prepaid assets</w:t>
            </w:r>
          </w:p>
        </w:tc>
        <w:tc>
          <w:tcPr>
            <w:tcW w:w="280" w:type="dxa"/>
            <w:vAlign w:val="bottom"/>
            <w:shd w:val="clear" w:color="auto" w:fill="BFE4FF"/>
          </w:tcPr>
          <w:p>
            <w:pPr>
              <w:spacing w:after="0"/>
              <w:rPr>
                <w:sz w:val="13"/>
                <w:szCs w:val="13"/>
                <w:color w:val="auto"/>
              </w:rPr>
            </w:pPr>
          </w:p>
        </w:tc>
        <w:tc>
          <w:tcPr>
            <w:tcW w:w="10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4,545</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2,464</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assets</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16,883</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9,194</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28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185,342</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182,554</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8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171,591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185,812</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80" w:type="dxa"/>
            <w:vAlign w:val="bottom"/>
            <w:shd w:val="clear" w:color="auto" w:fill="BFE4FF"/>
          </w:tcPr>
          <w:p>
            <w:pPr>
              <w:spacing w:after="0"/>
              <w:rPr>
                <w:sz w:val="13"/>
                <w:szCs w:val="13"/>
                <w:color w:val="auto"/>
              </w:rPr>
            </w:pPr>
          </w:p>
        </w:tc>
        <w:tc>
          <w:tcPr>
            <w:tcW w:w="10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41,593</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43,357</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8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51,221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58,724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Investment in joint venture</w:t>
            </w:r>
          </w:p>
        </w:tc>
        <w:tc>
          <w:tcPr>
            <w:tcW w:w="280" w:type="dxa"/>
            <w:vAlign w:val="bottom"/>
            <w:shd w:val="clear" w:color="auto" w:fill="BFE4FF"/>
          </w:tcPr>
          <w:p>
            <w:pPr>
              <w:spacing w:after="0"/>
              <w:rPr>
                <w:sz w:val="13"/>
                <w:szCs w:val="13"/>
                <w:color w:val="auto"/>
              </w:rPr>
            </w:pPr>
          </w:p>
        </w:tc>
        <w:tc>
          <w:tcPr>
            <w:tcW w:w="10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36,330</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32,701</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28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771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734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80" w:type="dxa"/>
            <w:vAlign w:val="bottom"/>
            <w:tcBorders>
              <w:bottom w:val="single" w:sz="8" w:color="auto"/>
            </w:tcBorders>
            <w:shd w:val="clear" w:color="auto" w:fill="BFE4FF"/>
          </w:tcPr>
          <w:p>
            <w:pPr>
              <w:spacing w:after="0"/>
              <w:rPr>
                <w:sz w:val="13"/>
                <w:szCs w:val="13"/>
                <w:color w:val="auto"/>
              </w:rPr>
            </w:pPr>
          </w:p>
        </w:tc>
        <w:tc>
          <w:tcPr>
            <w:tcW w:w="100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10,386</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7,003</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assets</w:t>
            </w: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497,234</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510,885</w:t>
            </w:r>
          </w:p>
        </w:tc>
        <w:tc>
          <w:tcPr>
            <w:tcW w:w="0" w:type="dxa"/>
            <w:vAlign w:val="bottom"/>
          </w:tcPr>
          <w:p>
            <w:pPr>
              <w:spacing w:after="0"/>
              <w:rPr>
                <w:sz w:val="1"/>
                <w:szCs w:val="1"/>
                <w:color w:val="auto"/>
              </w:rPr>
            </w:pPr>
          </w:p>
        </w:tc>
      </w:tr>
      <w:tr>
        <w:trPr>
          <w:trHeight w:val="135"/>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Preferred Stock, and Stockholders’ Equity</w:t>
            </w:r>
          </w:p>
        </w:tc>
        <w:tc>
          <w:tcPr>
            <w:tcW w:w="280" w:type="dxa"/>
            <w:vAlign w:val="bottom"/>
            <w:shd w:val="clear" w:color="auto" w:fill="BFE4FF"/>
          </w:tcPr>
          <w:p>
            <w:pPr>
              <w:spacing w:after="0"/>
              <w:rPr>
                <w:sz w:val="11"/>
                <w:szCs w:val="11"/>
                <w:color w:val="auto"/>
              </w:rPr>
            </w:pPr>
          </w:p>
        </w:tc>
        <w:tc>
          <w:tcPr>
            <w:tcW w:w="100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28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45,470</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45,480</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Accrued salaries, wages and benefits</w:t>
            </w:r>
          </w:p>
        </w:tc>
        <w:tc>
          <w:tcPr>
            <w:tcW w:w="28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14,848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15,464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Income tax payable</w:t>
            </w:r>
          </w:p>
        </w:tc>
        <w:tc>
          <w:tcPr>
            <w:tcW w:w="280" w:type="dxa"/>
            <w:vAlign w:val="bottom"/>
            <w:shd w:val="clear" w:color="auto" w:fill="BFE4FF"/>
          </w:tcPr>
          <w:p>
            <w:pPr>
              <w:spacing w:after="0"/>
              <w:rPr>
                <w:sz w:val="13"/>
                <w:szCs w:val="13"/>
                <w:color w:val="auto"/>
              </w:rPr>
            </w:pPr>
          </w:p>
        </w:tc>
        <w:tc>
          <w:tcPr>
            <w:tcW w:w="10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380</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524</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Short-term debt and current maturities of long-term debt</w:t>
            </w:r>
          </w:p>
        </w:tc>
        <w:tc>
          <w:tcPr>
            <w:tcW w:w="28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8,041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3,910</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280" w:type="dxa"/>
            <w:vAlign w:val="bottom"/>
            <w:shd w:val="clear" w:color="auto" w:fill="BFE4FF"/>
          </w:tcPr>
          <w:p>
            <w:pPr>
              <w:spacing w:after="0"/>
              <w:rPr>
                <w:sz w:val="13"/>
                <w:szCs w:val="13"/>
                <w:color w:val="auto"/>
              </w:rPr>
            </w:pPr>
          </w:p>
        </w:tc>
        <w:tc>
          <w:tcPr>
            <w:tcW w:w="10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5,417</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5,735</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16,739</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10,506</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28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90,895</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81,619</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8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4,605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4,988</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Long-term debt, net of current maturities</w:t>
            </w:r>
          </w:p>
        </w:tc>
        <w:tc>
          <w:tcPr>
            <w:tcW w:w="280" w:type="dxa"/>
            <w:vAlign w:val="bottom"/>
            <w:shd w:val="clear" w:color="auto" w:fill="BFE4FF"/>
          </w:tcPr>
          <w:p>
            <w:pPr>
              <w:spacing w:after="0"/>
              <w:rPr>
                <w:sz w:val="13"/>
                <w:szCs w:val="13"/>
                <w:color w:val="auto"/>
              </w:rPr>
            </w:pPr>
          </w:p>
        </w:tc>
        <w:tc>
          <w:tcPr>
            <w:tcW w:w="10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150,694</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149,369</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net of current portion</w:t>
            </w:r>
          </w:p>
        </w:tc>
        <w:tc>
          <w:tcPr>
            <w:tcW w:w="28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45,078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47,281</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80" w:type="dxa"/>
            <w:vAlign w:val="bottom"/>
            <w:tcBorders>
              <w:bottom w:val="single" w:sz="8" w:color="auto"/>
            </w:tcBorders>
            <w:shd w:val="clear" w:color="auto" w:fill="BFE4FF"/>
          </w:tcPr>
          <w:p>
            <w:pPr>
              <w:spacing w:after="0"/>
              <w:rPr>
                <w:sz w:val="13"/>
                <w:szCs w:val="13"/>
                <w:color w:val="auto"/>
              </w:rPr>
            </w:pPr>
          </w:p>
        </w:tc>
        <w:tc>
          <w:tcPr>
            <w:tcW w:w="100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12,214</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24,827</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303,486</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308,084</w:t>
            </w:r>
          </w:p>
        </w:tc>
        <w:tc>
          <w:tcPr>
            <w:tcW w:w="0" w:type="dxa"/>
            <w:vAlign w:val="bottom"/>
          </w:tcPr>
          <w:p>
            <w:pPr>
              <w:spacing w:after="0"/>
              <w:rPr>
                <w:sz w:val="1"/>
                <w:szCs w:val="1"/>
                <w:color w:val="auto"/>
              </w:rPr>
            </w:pPr>
          </w:p>
        </w:tc>
      </w:tr>
      <w:tr>
        <w:trPr>
          <w:trHeight w:val="133"/>
        </w:trPr>
        <w:tc>
          <w:tcPr>
            <w:tcW w:w="8660" w:type="dxa"/>
            <w:vAlign w:val="bottom"/>
            <w:shd w:val="clear" w:color="auto" w:fill="BFE4FF"/>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280" w:type="dxa"/>
            <w:vAlign w:val="bottom"/>
            <w:shd w:val="clear" w:color="auto" w:fill="BFE4FF"/>
          </w:tcPr>
          <w:p>
            <w:pPr>
              <w:spacing w:after="0"/>
              <w:rPr>
                <w:sz w:val="11"/>
                <w:szCs w:val="11"/>
                <w:color w:val="auto"/>
              </w:rPr>
            </w:pPr>
          </w:p>
        </w:tc>
        <w:tc>
          <w:tcPr>
            <w:tcW w:w="100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Series D perpetual preferred stock</w:t>
            </w:r>
          </w:p>
        </w:tc>
        <w:tc>
          <w:tcPr>
            <w:tcW w:w="28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85,312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77,799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280" w:type="dxa"/>
            <w:vAlign w:val="bottom"/>
            <w:shd w:val="clear" w:color="auto" w:fill="BFE4FF"/>
          </w:tcPr>
          <w:p>
            <w:pPr>
              <w:spacing w:after="0"/>
              <w:rPr>
                <w:sz w:val="13"/>
                <w:szCs w:val="13"/>
                <w:color w:val="auto"/>
              </w:rPr>
            </w:pPr>
          </w:p>
        </w:tc>
        <w:tc>
          <w:tcPr>
            <w:tcW w:w="100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Common stock</w:t>
            </w:r>
          </w:p>
        </w:tc>
        <w:tc>
          <w:tcPr>
            <w:tcW w:w="280" w:type="dxa"/>
            <w:vAlign w:val="bottom"/>
          </w:tcPr>
          <w:p>
            <w:pPr>
              <w:spacing w:after="0"/>
              <w:rPr>
                <w:sz w:val="13"/>
                <w:szCs w:val="13"/>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473</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80" w:type="dxa"/>
            <w:vAlign w:val="bottom"/>
            <w:shd w:val="clear" w:color="auto" w:fill="BFE4FF"/>
          </w:tcPr>
          <w:p>
            <w:pPr>
              <w:spacing w:after="0"/>
              <w:rPr>
                <w:sz w:val="13"/>
                <w:szCs w:val="13"/>
                <w:color w:val="auto"/>
              </w:rPr>
            </w:pPr>
          </w:p>
        </w:tc>
        <w:tc>
          <w:tcPr>
            <w:tcW w:w="10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462,410</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457,632</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Accumulated deficit</w:t>
            </w: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(310,088)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(295,348)</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80" w:type="dxa"/>
            <w:vAlign w:val="bottom"/>
            <w:tcBorders>
              <w:bottom w:val="single" w:sz="8" w:color="auto"/>
            </w:tcBorders>
            <w:shd w:val="clear" w:color="auto" w:fill="BFE4FF"/>
          </w:tcPr>
          <w:p>
            <w:pPr>
              <w:spacing w:after="0"/>
              <w:rPr>
                <w:sz w:val="13"/>
                <w:szCs w:val="13"/>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(44,386)</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(37,755)</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stockholders’ equity</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108,436</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125,002</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liabilities, preferred stock, and stockholders’ equity</w:t>
            </w:r>
          </w:p>
        </w:tc>
        <w:tc>
          <w:tcPr>
            <w:tcW w:w="280" w:type="dxa"/>
            <w:vAlign w:val="bottom"/>
            <w:tcBorders>
              <w:bottom w:val="single" w:sz="8" w:color="auto"/>
            </w:tcBorders>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497,234</w:t>
            </w:r>
          </w:p>
        </w:tc>
        <w:tc>
          <w:tcPr>
            <w:tcW w:w="80" w:type="dxa"/>
            <w:vAlign w:val="bottom"/>
            <w:tcBorders>
              <w:bottom w:val="single" w:sz="8" w:color="BFE4FF"/>
            </w:tcBorders>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510,885</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7</w:t>
      </w:r>
    </w:p>
    <w:p>
      <w:pPr>
        <w:sectPr>
          <w:pgSz w:w="11900" w:h="16838" w:orient="portrait"/>
          <w:cols w:equalWidth="0" w:num="1">
            <w:col w:w="11300"/>
          </w:cols>
          <w:pgMar w:left="300" w:top="674"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gridSpan w:val="3"/>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920" w:type="dxa"/>
            <w:vAlign w:val="bottom"/>
          </w:tcPr>
          <w:p>
            <w:pPr>
              <w:spacing w:after="0"/>
              <w:rPr>
                <w:sz w:val="10"/>
                <w:szCs w:val="10"/>
                <w:color w:val="auto"/>
              </w:rPr>
            </w:pPr>
          </w:p>
        </w:tc>
      </w:tr>
      <w:tr>
        <w:trPr>
          <w:trHeight w:val="125"/>
        </w:trPr>
        <w:tc>
          <w:tcPr>
            <w:tcW w:w="84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920" w:type="dxa"/>
            <w:vAlign w:val="bottom"/>
            <w:tcBorders>
              <w:bottom w:val="single" w:sz="8" w:color="auto"/>
            </w:tcBorders>
          </w:tcPr>
          <w:p>
            <w:pPr>
              <w:spacing w:after="0"/>
              <w:rPr>
                <w:sz w:val="10"/>
                <w:szCs w:val="10"/>
                <w:color w:val="auto"/>
              </w:rPr>
            </w:pPr>
          </w:p>
        </w:tc>
      </w:tr>
      <w:tr>
        <w:trPr>
          <w:trHeight w:val="127"/>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8"/>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(14,740)</w:t>
            </w:r>
          </w:p>
        </w:tc>
        <w:tc>
          <w:tcPr>
            <w:tcW w:w="120" w:type="dxa"/>
            <w:vAlign w:val="bottom"/>
          </w:tcPr>
          <w:p>
            <w:pPr>
              <w:spacing w:after="0"/>
              <w:rPr>
                <w:sz w:val="13"/>
                <w:szCs w:val="13"/>
                <w:color w:val="auto"/>
              </w:rPr>
            </w:pP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(24,552)</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(used in) operating activities: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24,308</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23,066</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1,106</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880</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Paid-in-kind interest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derivative loss (gain), net of cash settlements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5,691</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(4,412)</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(1,374)</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1,536</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taxes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(721)</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Accounts receivable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(8,747)</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(5,078)</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Inventories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3,920</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Other operating assets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(2,705)</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(6,615)</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Income taxes receivable and payable, net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(1,326)</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Accounts payable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1,726</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6,927</w:t>
            </w:r>
          </w:p>
        </w:tc>
      </w:tr>
      <w:tr>
        <w:trPr>
          <w:trHeight w:val="153"/>
        </w:trPr>
        <w:tc>
          <w:tcPr>
            <w:tcW w:w="84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2"/>
                <w:szCs w:val="12"/>
                <w:color w:val="auto"/>
              </w:rPr>
              <w:t>Other operating liabilities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4,739</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5,524</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w:t>
            </w:r>
          </w:p>
        </w:tc>
        <w:tc>
          <w:tcPr>
            <w:tcW w:w="12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8,643</w:t>
            </w:r>
          </w:p>
        </w:tc>
      </w:tr>
      <w:tr>
        <w:trPr>
          <w:trHeight w:val="133"/>
        </w:trPr>
        <w:tc>
          <w:tcPr>
            <w:tcW w:w="84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(9,052)</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(12,196)</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2,777</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(8,815)</w:t>
            </w:r>
          </w:p>
        </w:tc>
        <w:tc>
          <w:tcPr>
            <w:tcW w:w="12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(9,419)</w:t>
            </w:r>
          </w:p>
        </w:tc>
      </w:tr>
      <w:tr>
        <w:trPr>
          <w:trHeight w:val="133"/>
        </w:trPr>
        <w:tc>
          <w:tcPr>
            <w:tcW w:w="84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(46,061)</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(34,725)</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debt issuance costs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(646)</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8,324</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sale-leaseback of land and buildings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16,863</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financing obligations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short-term debt</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3,648</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(1,700)</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(1,610)</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1,569</w:t>
            </w:r>
          </w:p>
        </w:tc>
        <w:tc>
          <w:tcPr>
            <w:tcW w:w="12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2,258</w:t>
            </w:r>
          </w:p>
        </w:tc>
      </w:tr>
      <w:tr>
        <w:trPr>
          <w:trHeight w:val="142"/>
        </w:trPr>
        <w:tc>
          <w:tcPr>
            <w:tcW w:w="84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Effect of exchange rate changes on cash flows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change in cash and cash equivalents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(8,157)</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1,529</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year</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21,903</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12,808</w:t>
            </w:r>
          </w:p>
        </w:tc>
      </w:tr>
      <w:tr>
        <w:trPr>
          <w:trHeight w:val="158"/>
        </w:trPr>
        <w:tc>
          <w:tcPr>
            <w:tcW w:w="846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 at end of quarter</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13,746</w:t>
            </w: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14,337</w:t>
            </w:r>
          </w:p>
        </w:tc>
      </w:tr>
    </w:tbl>
    <w:p>
      <w:pPr>
        <w:spacing w:after="0" w:line="350"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8</w:t>
      </w:r>
    </w:p>
    <w:p>
      <w:pPr>
        <w:sectPr>
          <w:pgSz w:w="11900" w:h="16838" w:orient="portrait"/>
          <w:cols w:equalWidth="0" w:num="1">
            <w:col w:w="11300"/>
          </w:cols>
          <w:pgMar w:left="300" w:top="674"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GAAP Income (Loss) from Operations to Non-GAAP Adjusted Income (Loss) from Operations</w:t>
      </w:r>
    </w:p>
    <w:p>
      <w:pPr>
        <w:sectPr>
          <w:pgSz w:w="11900" w:h="16838" w:orient="portrait"/>
          <w:cols w:equalWidth="0" w:num="1">
            <w:col w:w="11300"/>
          </w:cols>
          <w:pgMar w:left="300" w:top="674" w:right="299" w:bottom="1440" w:gutter="0" w:footer="0" w:header="0"/>
        </w:sect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r>
      <w:tr>
        <w:trPr>
          <w:trHeight w:val="171"/>
        </w:trPr>
        <w:tc>
          <w:tcPr>
            <w:tcW w:w="31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b w:val="1"/>
                <w:bCs w:val="1"/>
                <w:color w:val="auto"/>
              </w:rPr>
              <w:t>NN, Inc. Consolidated</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BFE4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9"/>
        </w:trPr>
        <w:tc>
          <w:tcPr>
            <w:tcW w:w="31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GAAP loss from operations</w:t>
            </w:r>
          </w:p>
        </w:tc>
        <w:tc>
          <w:tcPr>
            <w:tcW w:w="18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(2,147)</w:t>
            </w:r>
          </w:p>
        </w:tc>
        <w:tc>
          <w:tcPr>
            <w:tcW w:w="100" w:type="dxa"/>
            <w:vAlign w:val="bottom"/>
            <w:shd w:val="clear" w:color="auto" w:fill="BFE4FF"/>
          </w:tcPr>
          <w:p>
            <w:pPr>
              <w:spacing w:after="0"/>
              <w:rPr>
                <w:sz w:val="14"/>
                <w:szCs w:val="14"/>
                <w:color w:val="auto"/>
              </w:rPr>
            </w:pPr>
          </w:p>
        </w:tc>
        <w:tc>
          <w:tcPr>
            <w:tcW w:w="220" w:type="dxa"/>
            <w:vAlign w:val="bottom"/>
            <w:shd w:val="clear" w:color="auto" w:fill="BFE4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(4,047)</w:t>
            </w: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Professional fees</w:t>
            </w:r>
          </w:p>
        </w:tc>
        <w:tc>
          <w:tcPr>
            <w:tcW w:w="180" w:type="dxa"/>
            <w:vAlign w:val="bottom"/>
          </w:tcPr>
          <w:p>
            <w:pPr>
              <w:spacing w:after="0"/>
              <w:rPr>
                <w:sz w:val="13"/>
                <w:szCs w:val="13"/>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119</w:t>
            </w:r>
          </w:p>
        </w:tc>
      </w:tr>
      <w:tr>
        <w:trPr>
          <w:trHeight w:val="180"/>
        </w:trPr>
        <w:tc>
          <w:tcPr>
            <w:tcW w:w="31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Personnel costs (1)</w:t>
            </w:r>
          </w:p>
        </w:tc>
        <w:tc>
          <w:tcPr>
            <w:tcW w:w="180" w:type="dxa"/>
            <w:vAlign w:val="bottom"/>
            <w:shd w:val="clear" w:color="auto" w:fill="BFE4FF"/>
          </w:tcPr>
          <w:p>
            <w:pPr>
              <w:spacing w:after="0"/>
              <w:rPr>
                <w:sz w:val="15"/>
                <w:szCs w:val="15"/>
                <w:color w:val="auto"/>
              </w:rPr>
            </w:pPr>
          </w:p>
        </w:tc>
        <w:tc>
          <w:tcPr>
            <w:tcW w:w="860" w:type="dxa"/>
            <w:vAlign w:val="bottom"/>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826</w:t>
            </w:r>
          </w:p>
        </w:tc>
        <w:tc>
          <w:tcPr>
            <w:tcW w:w="10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80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622</w:t>
            </w: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Facility costs (2)</w:t>
            </w:r>
          </w:p>
        </w:tc>
        <w:tc>
          <w:tcPr>
            <w:tcW w:w="180" w:type="dxa"/>
            <w:vAlign w:val="bottom"/>
          </w:tcPr>
          <w:p>
            <w:pPr>
              <w:spacing w:after="0"/>
              <w:rPr>
                <w:sz w:val="13"/>
                <w:szCs w:val="13"/>
                <w:color w:val="auto"/>
              </w:rPr>
            </w:pP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1,022</w:t>
            </w:r>
          </w:p>
        </w:tc>
      </w:tr>
      <w:tr>
        <w:trPr>
          <w:trHeight w:val="180"/>
        </w:trPr>
        <w:tc>
          <w:tcPr>
            <w:tcW w:w="31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80" w:type="dxa"/>
            <w:vAlign w:val="bottom"/>
            <w:tcBorders>
              <w:bottom w:val="single" w:sz="8" w:color="auto"/>
            </w:tcBorders>
            <w:shd w:val="clear" w:color="auto" w:fill="BFE4FF"/>
          </w:tcPr>
          <w:p>
            <w:pPr>
              <w:spacing w:after="0"/>
              <w:rPr>
                <w:sz w:val="15"/>
                <w:szCs w:val="15"/>
                <w:color w:val="auto"/>
              </w:rPr>
            </w:pPr>
          </w:p>
        </w:tc>
        <w:tc>
          <w:tcPr>
            <w:tcW w:w="860" w:type="dxa"/>
            <w:vAlign w:val="bottom"/>
            <w:tcBorders>
              <w:bottom w:val="single" w:sz="8" w:color="auto"/>
            </w:tcBorders>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3,456</w:t>
            </w:r>
          </w:p>
        </w:tc>
        <w:tc>
          <w:tcPr>
            <w:tcW w:w="100" w:type="dxa"/>
            <w:vAlign w:val="bottom"/>
            <w:shd w:val="clear" w:color="auto" w:fill="BFE4FF"/>
          </w:tcPr>
          <w:p>
            <w:pPr>
              <w:spacing w:after="0"/>
              <w:rPr>
                <w:sz w:val="15"/>
                <w:szCs w:val="15"/>
                <w:color w:val="auto"/>
              </w:rPr>
            </w:pPr>
          </w:p>
        </w:tc>
        <w:tc>
          <w:tcPr>
            <w:tcW w:w="220" w:type="dxa"/>
            <w:vAlign w:val="bottom"/>
            <w:tcBorders>
              <w:bottom w:val="single" w:sz="8" w:color="auto"/>
            </w:tcBorders>
            <w:shd w:val="clear" w:color="auto" w:fill="BFE4FF"/>
          </w:tcPr>
          <w:p>
            <w:pPr>
              <w:spacing w:after="0"/>
              <w:rPr>
                <w:sz w:val="15"/>
                <w:szCs w:val="15"/>
                <w:color w:val="auto"/>
              </w:rPr>
            </w:pPr>
          </w:p>
        </w:tc>
        <w:tc>
          <w:tcPr>
            <w:tcW w:w="80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3,563</w:t>
            </w:r>
          </w:p>
        </w:tc>
      </w:tr>
      <w:tr>
        <w:trPr>
          <w:trHeight w:val="158"/>
        </w:trPr>
        <w:tc>
          <w:tcPr>
            <w:tcW w:w="31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color w:val="auto"/>
              </w:rPr>
              <w:t>Non-GAAP adjusted income from operations (a)</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2,072</w:t>
            </w:r>
          </w:p>
        </w:tc>
        <w:tc>
          <w:tcPr>
            <w:tcW w:w="10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1,279</w:t>
            </w:r>
          </w:p>
        </w:tc>
      </w:tr>
      <w:tr>
        <w:trPr>
          <w:trHeight w:val="126"/>
        </w:trPr>
        <w:tc>
          <w:tcPr>
            <w:tcW w:w="3100" w:type="dxa"/>
            <w:vAlign w:val="bottom"/>
            <w:shd w:val="clear" w:color="auto" w:fill="BFE4FF"/>
          </w:tcPr>
          <w:p>
            <w:pPr>
              <w:spacing w:after="0"/>
              <w:rPr>
                <w:sz w:val="10"/>
                <w:szCs w:val="10"/>
                <w:color w:val="auto"/>
              </w:rPr>
            </w:pPr>
          </w:p>
        </w:tc>
        <w:tc>
          <w:tcPr>
            <w:tcW w:w="180" w:type="dxa"/>
            <w:vAlign w:val="bottom"/>
            <w:shd w:val="clear" w:color="auto" w:fill="BFE4FF"/>
          </w:tcPr>
          <w:p>
            <w:pPr>
              <w:spacing w:after="0"/>
              <w:rPr>
                <w:sz w:val="10"/>
                <w:szCs w:val="10"/>
                <w:color w:val="auto"/>
              </w:rPr>
            </w:pPr>
          </w:p>
        </w:tc>
        <w:tc>
          <w:tcPr>
            <w:tcW w:w="86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220" w:type="dxa"/>
            <w:vAlign w:val="bottom"/>
            <w:shd w:val="clear" w:color="auto" w:fill="BFE4FF"/>
          </w:tcPr>
          <w:p>
            <w:pPr>
              <w:spacing w:after="0"/>
              <w:rPr>
                <w:sz w:val="10"/>
                <w:szCs w:val="10"/>
                <w:color w:val="auto"/>
              </w:rPr>
            </w:pPr>
          </w:p>
        </w:tc>
        <w:tc>
          <w:tcPr>
            <w:tcW w:w="800" w:type="dxa"/>
            <w:vAlign w:val="bottom"/>
            <w:shd w:val="clear" w:color="auto" w:fill="BFE4FF"/>
          </w:tcPr>
          <w:p>
            <w:pPr>
              <w:spacing w:after="0"/>
              <w:rPr>
                <w:sz w:val="10"/>
                <w:szCs w:val="10"/>
                <w:color w:val="auto"/>
              </w:rPr>
            </w:pPr>
          </w:p>
        </w:tc>
      </w:tr>
      <w:tr>
        <w:trPr>
          <w:trHeight w:val="171"/>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Non-GAAP adjusted operating margin (3)</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1.0 %</w:t>
            </w:r>
          </w:p>
        </w:tc>
      </w:tr>
      <w:tr>
        <w:trPr>
          <w:trHeight w:val="189"/>
        </w:trPr>
        <w:tc>
          <w:tcPr>
            <w:tcW w:w="31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GAAP net sales</w:t>
            </w:r>
          </w:p>
        </w:tc>
        <w:tc>
          <w:tcPr>
            <w:tcW w:w="18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122,992</w:t>
            </w:r>
          </w:p>
        </w:tc>
        <w:tc>
          <w:tcPr>
            <w:tcW w:w="100" w:type="dxa"/>
            <w:vAlign w:val="bottom"/>
            <w:shd w:val="clear" w:color="auto" w:fill="BFE4FF"/>
          </w:tcPr>
          <w:p>
            <w:pPr>
              <w:spacing w:after="0"/>
              <w:rPr>
                <w:sz w:val="16"/>
                <w:szCs w:val="16"/>
                <w:color w:val="auto"/>
              </w:rPr>
            </w:pPr>
          </w:p>
        </w:tc>
        <w:tc>
          <w:tcPr>
            <w:tcW w:w="220" w:type="dxa"/>
            <w:vAlign w:val="bottom"/>
            <w:shd w:val="clear" w:color="auto" w:fill="BFE4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125,206</w:t>
            </w:r>
          </w:p>
        </w:tc>
      </w:tr>
    </w:tbl>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r>
      <w:tr>
        <w:trPr>
          <w:trHeight w:val="178"/>
        </w:trPr>
        <w:tc>
          <w:tcPr>
            <w:tcW w:w="31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color w:val="auto"/>
              </w:rPr>
              <w:t>Power Solutions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BFE4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31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GAAP income from operations</w:t>
            </w:r>
          </w:p>
        </w:tc>
        <w:tc>
          <w:tcPr>
            <w:tcW w:w="18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5,320</w:t>
            </w:r>
          </w:p>
        </w:tc>
        <w:tc>
          <w:tcPr>
            <w:tcW w:w="10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2,583</w:t>
            </w:r>
          </w:p>
        </w:tc>
      </w:tr>
      <w:tr>
        <w:trPr>
          <w:trHeight w:val="180"/>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Personnel costs (1)</w:t>
            </w:r>
          </w:p>
        </w:tc>
        <w:tc>
          <w:tcPr>
            <w:tcW w:w="180" w:type="dxa"/>
            <w:vAlign w:val="bottom"/>
          </w:tcPr>
          <w:p>
            <w:pPr>
              <w:spacing w:after="0"/>
              <w:rPr>
                <w:sz w:val="15"/>
                <w:szCs w:val="15"/>
                <w:color w:val="auto"/>
              </w:rPr>
            </w:pP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1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Facility costs (2)</w:t>
            </w:r>
          </w:p>
        </w:tc>
        <w:tc>
          <w:tcPr>
            <w:tcW w:w="180" w:type="dxa"/>
            <w:vAlign w:val="bottom"/>
            <w:shd w:val="clear" w:color="auto" w:fill="BFE4FF"/>
          </w:tcPr>
          <w:p>
            <w:pPr>
              <w:spacing w:after="0"/>
              <w:rPr>
                <w:sz w:val="13"/>
                <w:szCs w:val="13"/>
                <w:color w:val="auto"/>
              </w:rPr>
            </w:pPr>
          </w:p>
        </w:tc>
        <w:tc>
          <w:tcPr>
            <w:tcW w:w="860" w:type="dxa"/>
            <w:vAlign w:val="bottom"/>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79</w:t>
            </w:r>
          </w:p>
        </w:tc>
        <w:tc>
          <w:tcPr>
            <w:tcW w:w="10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80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244</w:t>
            </w:r>
          </w:p>
        </w:tc>
      </w:tr>
      <w:tr>
        <w:trPr>
          <w:trHeight w:val="180"/>
        </w:trPr>
        <w:tc>
          <w:tcPr>
            <w:tcW w:w="31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2,617</w:t>
            </w:r>
          </w:p>
        </w:tc>
        <w:tc>
          <w:tcPr>
            <w:tcW w:w="100" w:type="dxa"/>
            <w:vAlign w:val="bottom"/>
            <w:tcBorders>
              <w:bottom w:val="single" w:sz="8" w:color="BFE4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2,724</w:t>
            </w:r>
          </w:p>
        </w:tc>
      </w:tr>
      <w:tr>
        <w:trPr>
          <w:trHeight w:val="158"/>
        </w:trPr>
        <w:tc>
          <w:tcPr>
            <w:tcW w:w="3100" w:type="dxa"/>
            <w:vAlign w:val="bottom"/>
            <w:tcBorders>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2"/>
                <w:szCs w:val="12"/>
                <w:color w:val="auto"/>
              </w:rPr>
              <w:t>Non-GAAP adjusted income from operations (a)</w:t>
            </w:r>
          </w:p>
        </w:tc>
        <w:tc>
          <w:tcPr>
            <w:tcW w:w="180" w:type="dxa"/>
            <w:vAlign w:val="bottom"/>
            <w:tcBorders>
              <w:bottom w:val="single" w:sz="8" w:color="auto"/>
            </w:tcBorders>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BFE4FF"/>
          </w:tcPr>
          <w:p>
            <w:pPr>
              <w:jc w:val="right"/>
              <w:ind w:right="100"/>
              <w:spacing w:after="0"/>
              <w:rPr>
                <w:sz w:val="20"/>
                <w:szCs w:val="20"/>
                <w:color w:val="auto"/>
              </w:rPr>
            </w:pPr>
            <w:r>
              <w:rPr>
                <w:rFonts w:ascii="Times New Roman" w:cs="Times New Roman" w:eastAsia="Times New Roman" w:hAnsi="Times New Roman"/>
                <w:sz w:val="12"/>
                <w:szCs w:val="12"/>
                <w:color w:val="auto"/>
              </w:rPr>
              <w:t>8,049</w:t>
            </w:r>
          </w:p>
        </w:tc>
        <w:tc>
          <w:tcPr>
            <w:tcW w:w="100" w:type="dxa"/>
            <w:vAlign w:val="bottom"/>
            <w:tcBorders>
              <w:bottom w:val="single" w:sz="8" w:color="BFE4FF"/>
            </w:tcBorders>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5,551</w:t>
            </w: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0"/>
        </w:trPr>
        <w:tc>
          <w:tcPr>
            <w:tcW w:w="31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Non-GAAP adjusted operating margin (3)</w:t>
            </w:r>
          </w:p>
        </w:tc>
        <w:tc>
          <w:tcPr>
            <w:tcW w:w="180" w:type="dxa"/>
            <w:vAlign w:val="bottom"/>
            <w:shd w:val="clear" w:color="auto" w:fill="BFE4FF"/>
          </w:tcPr>
          <w:p>
            <w:pPr>
              <w:spacing w:after="0"/>
              <w:rPr>
                <w:sz w:val="15"/>
                <w:szCs w:val="15"/>
                <w:color w:val="auto"/>
              </w:rPr>
            </w:pP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16.0 %</w:t>
            </w:r>
          </w:p>
        </w:tc>
        <w:tc>
          <w:tcPr>
            <w:tcW w:w="100" w:type="dxa"/>
            <w:vAlign w:val="bottom"/>
            <w:shd w:val="clear" w:color="auto" w:fill="BFE4FF"/>
          </w:tcPr>
          <w:p>
            <w:pPr>
              <w:spacing w:after="0"/>
              <w:rPr>
                <w:sz w:val="15"/>
                <w:szCs w:val="15"/>
                <w:color w:val="auto"/>
              </w:rPr>
            </w:pPr>
          </w:p>
        </w:tc>
        <w:tc>
          <w:tcPr>
            <w:tcW w:w="220" w:type="dxa"/>
            <w:vAlign w:val="bottom"/>
            <w:shd w:val="clear" w:color="auto" w:fill="BFE4FF"/>
          </w:tcPr>
          <w:p>
            <w:pPr>
              <w:spacing w:after="0"/>
              <w:rPr>
                <w:sz w:val="15"/>
                <w:szCs w:val="15"/>
                <w:color w:val="auto"/>
              </w:rPr>
            </w:pPr>
          </w:p>
        </w:tc>
        <w:tc>
          <w:tcPr>
            <w:tcW w:w="8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11.5 %</w:t>
            </w:r>
          </w:p>
        </w:tc>
      </w:tr>
      <w:tr>
        <w:trPr>
          <w:trHeight w:val="180"/>
        </w:trPr>
        <w:tc>
          <w:tcPr>
            <w:tcW w:w="3100" w:type="dxa"/>
            <w:vAlign w:val="bottom"/>
          </w:tcPr>
          <w:p>
            <w:pPr>
              <w:spacing w:after="0"/>
              <w:rPr>
                <w:sz w:val="20"/>
                <w:szCs w:val="20"/>
                <w:color w:val="auto"/>
              </w:rPr>
            </w:pPr>
            <w:r>
              <w:rPr>
                <w:rFonts w:ascii="Times New Roman" w:cs="Times New Roman" w:eastAsia="Times New Roman" w:hAnsi="Times New Roman"/>
                <w:sz w:val="12"/>
                <w:szCs w:val="12"/>
                <w:color w:val="auto"/>
              </w:rPr>
              <w:t>GAAP net sales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50,151</w:t>
            </w:r>
          </w:p>
        </w:tc>
        <w:tc>
          <w:tcPr>
            <w:tcW w:w="100" w:type="dxa"/>
            <w:vAlign w:val="bottom"/>
          </w:tcPr>
          <w:p>
            <w:pPr>
              <w:spacing w:after="0"/>
              <w:rPr>
                <w:sz w:val="15"/>
                <w:szCs w:val="15"/>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48,062</w:t>
            </w:r>
          </w:p>
        </w:tc>
      </w:tr>
    </w:tbl>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r>
      <w:tr>
        <w:trPr>
          <w:trHeight w:val="171"/>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Mobile Solutions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loss from operations</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(1,630)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(1,461)</w:t>
            </w: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200" w:type="dxa"/>
            <w:vAlign w:val="bottom"/>
          </w:tcPr>
          <w:p>
            <w:pPr>
              <w:spacing w:after="0"/>
              <w:rPr>
                <w:sz w:val="15"/>
                <w:szCs w:val="15"/>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40</w:t>
            </w: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778</w:t>
            </w:r>
          </w:p>
        </w:tc>
      </w:tr>
      <w:tr>
        <w:trPr>
          <w:trHeight w:val="18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839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838</w:t>
            </w:r>
          </w:p>
        </w:tc>
      </w:tr>
      <w:tr>
        <w:trPr>
          <w:trHeight w:val="15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Non-GAAP adjusted income (loss) from operations (a)</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(656)</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195</w:t>
            </w:r>
          </w:p>
        </w:tc>
      </w:tr>
      <w:tr>
        <w:trPr>
          <w:trHeight w:val="126"/>
        </w:trPr>
        <w:tc>
          <w:tcPr>
            <w:tcW w:w="3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2,141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1,093</w:t>
            </w:r>
          </w:p>
        </w:tc>
      </w:tr>
      <w:tr>
        <w:trPr>
          <w:trHeight w:val="185"/>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Non-GAAP adjusted income from operations with JV (a)</w:t>
            </w: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1,485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1,288</w:t>
            </w:r>
          </w:p>
        </w:tc>
      </w:tr>
      <w:tr>
        <w:trPr>
          <w:trHeight w:val="126"/>
        </w:trPr>
        <w:tc>
          <w:tcPr>
            <w:tcW w:w="3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Non-GAAP adjusted operating margin (3)</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1.7 %</w:t>
            </w: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72,855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77,153</w:t>
            </w:r>
          </w:p>
        </w:tc>
      </w:tr>
    </w:tbl>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r>
      <w:tr>
        <w:trPr>
          <w:trHeight w:val="178"/>
        </w:trPr>
        <w:tc>
          <w:tcPr>
            <w:tcW w:w="32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Elimination</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BFE4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60"/>
        </w:trPr>
        <w:tc>
          <w:tcPr>
            <w:tcW w:w="32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16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w:t>
            </w:r>
          </w:p>
        </w:tc>
      </w:tr>
    </w:tbl>
    <w:p>
      <w:pPr>
        <w:spacing w:after="0" w:line="1180" w:lineRule="exact"/>
        <w:rPr>
          <w:sz w:val="20"/>
          <w:szCs w:val="20"/>
          <w:color w:val="auto"/>
        </w:rPr>
      </w:pPr>
    </w:p>
    <w:p>
      <w:pPr>
        <w:sectPr>
          <w:pgSz w:w="11900" w:h="16838" w:orient="portrait"/>
          <w:cols w:equalWidth="0" w:num="2">
            <w:col w:w="5260" w:space="640"/>
            <w:col w:w="5400"/>
          </w:cols>
          <w:pgMar w:left="300" w:top="67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hanging="224"/>
        <w:spacing w:after="0"/>
        <w:tabs>
          <w:tab w:leader="none" w:pos="10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44"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35"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operating margin = Non-GAAP adjusted income (loss) from operations / GAAP net sales</w:t>
      </w:r>
    </w:p>
    <w:p>
      <w:pPr>
        <w:spacing w:after="0" w:line="179"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9</w:t>
      </w:r>
    </w:p>
    <w:p>
      <w:pPr>
        <w:sectPr>
          <w:pgSz w:w="11900" w:h="16838" w:orient="portrait"/>
          <w:cols w:equalWidth="0" w:num="1">
            <w:col w:w="11300"/>
          </w:cols>
          <w:pgMar w:left="300" w:top="674" w:right="299" w:bottom="1440" w:gutter="0" w:footer="0" w:header="0"/>
          <w:type w:val="continuous"/>
        </w:sectPr>
      </w:pPr>
    </w:p>
    <w:bookmarkStart w:id="12" w:name="page13"/>
    <w:bookmarkEnd w:id="12"/>
    <w:tbl>
      <w:tblPr>
        <w:tblLayout w:type="fixed"/>
        <w:tblInd w:w="420" w:type="dxa"/>
        <w:tblCellMar>
          <w:top w:w="0" w:type="dxa"/>
          <w:left w:w="0" w:type="dxa"/>
          <w:bottom w:w="0" w:type="dxa"/>
          <w:right w:w="0" w:type="dxa"/>
        </w:tblCellMar>
      </w:tblPr>
      <w:tr>
        <w:trPr>
          <w:trHeight w:val="159"/>
        </w:trPr>
        <w:tc>
          <w:tcPr>
            <w:tcW w:w="6820" w:type="dxa"/>
            <w:vAlign w:val="bottom"/>
            <w:gridSpan w:val="4"/>
          </w:tcPr>
          <w:p>
            <w:pPr>
              <w:ind w:left="2120"/>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EBITDA</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5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r>
      <w:tr>
        <w:trPr>
          <w:trHeight w:val="142"/>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(2,203)</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(14,377)</w:t>
            </w:r>
          </w:p>
        </w:tc>
      </w:tr>
      <w:tr>
        <w:trPr>
          <w:trHeight w:val="17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Benefit (provision) for income taxes</w:t>
            </w: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(215)</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325</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5,873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5,457</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Change in fair value of preferred stock derivatives and warrants</w:t>
            </w: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(3,949)</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5,754</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11,761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11,550</w:t>
            </w: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Professional fees</w:t>
            </w: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119</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826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622</w:t>
            </w: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1,022</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Non-cash stock compensation</w:t>
            </w: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691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471</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Non-cash foreign exchange (gain) loss on inter-company loans</w:t>
            </w:r>
          </w:p>
        </w:tc>
        <w:tc>
          <w:tcPr>
            <w:tcW w:w="320" w:type="dxa"/>
            <w:vAlign w:val="bottom"/>
            <w:tcBorders>
              <w:bottom w:val="single" w:sz="8" w:color="auto"/>
            </w:tcBorders>
            <w:shd w:val="clear" w:color="auto" w:fill="BFE4FF"/>
          </w:tcPr>
          <w:p>
            <w:pPr>
              <w:spacing w:after="0"/>
              <w:rPr>
                <w:sz w:val="15"/>
                <w:szCs w:val="15"/>
                <w:color w:val="auto"/>
              </w:rPr>
            </w:pPr>
          </w:p>
        </w:tc>
        <w:tc>
          <w:tcPr>
            <w:tcW w:w="10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684</w:t>
            </w:r>
          </w:p>
        </w:tc>
        <w:tc>
          <w:tcPr>
            <w:tcW w:w="80" w:type="dxa"/>
            <w:vAlign w:val="bottom"/>
            <w:shd w:val="clear" w:color="auto" w:fill="BFE4FF"/>
          </w:tcPr>
          <w:p>
            <w:pPr>
              <w:spacing w:after="0"/>
              <w:rPr>
                <w:sz w:val="15"/>
                <w:szCs w:val="15"/>
                <w:color w:val="auto"/>
              </w:rPr>
            </w:pPr>
          </w:p>
        </w:tc>
        <w:tc>
          <w:tcPr>
            <w:tcW w:w="320" w:type="dxa"/>
            <w:vAlign w:val="bottom"/>
            <w:tcBorders>
              <w:bottom w:val="single" w:sz="8" w:color="auto"/>
            </w:tcBorders>
            <w:shd w:val="clear" w:color="auto" w:fill="BFE4FF"/>
          </w:tcPr>
          <w:p>
            <w:pPr>
              <w:spacing w:after="0"/>
              <w:rPr>
                <w:sz w:val="15"/>
                <w:szCs w:val="15"/>
                <w:color w:val="auto"/>
              </w:rPr>
            </w:pPr>
          </w:p>
        </w:tc>
        <w:tc>
          <w:tcPr>
            <w:tcW w:w="1020" w:type="dxa"/>
            <w:vAlign w:val="bottom"/>
            <w:tcBorders>
              <w:bottom w:val="single" w:sz="8" w:color="auto"/>
            </w:tcBorders>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(445)</w:t>
            </w:r>
          </w:p>
        </w:tc>
      </w:tr>
      <w:tr>
        <w:trPr>
          <w:trHeight w:val="158"/>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Non-GAAP adjusted EBITDA (b)</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13,405</w:t>
            </w:r>
          </w:p>
        </w:tc>
        <w:tc>
          <w:tcPr>
            <w:tcW w:w="8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10,498</w:t>
            </w:r>
          </w:p>
        </w:tc>
      </w:tr>
      <w:tr>
        <w:trPr>
          <w:trHeight w:val="153"/>
        </w:trPr>
        <w:tc>
          <w:tcPr>
            <w:tcW w:w="540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spacing w:after="0"/>
              <w:rPr>
                <w:sz w:val="13"/>
                <w:szCs w:val="13"/>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Non-GAAP adjusted EBITDA margin (3)</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8.4 %</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122,992</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125,206</w:t>
            </w:r>
          </w:p>
        </w:tc>
      </w:tr>
    </w:tbl>
    <w:p>
      <w:pPr>
        <w:spacing w:after="0" w:line="252" w:lineRule="exact"/>
        <w:rPr>
          <w:sz w:val="20"/>
          <w:szCs w:val="20"/>
          <w:color w:val="auto"/>
        </w:rPr>
      </w:pPr>
    </w:p>
    <w:p>
      <w:pPr>
        <w:ind w:left="860" w:hanging="151"/>
        <w:spacing w:after="0"/>
        <w:tabs>
          <w:tab w:leader="none" w:pos="8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35"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116"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EBITDA margin = Non-GAAP adjusted EBITDA / GAAP net sales</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10</w:t>
      </w:r>
    </w:p>
    <w:p>
      <w:pPr>
        <w:sectPr>
          <w:pgSz w:w="11900" w:h="16838" w:orient="portrait"/>
          <w:cols w:equalWidth="0" w:num="1">
            <w:col w:w="10160"/>
          </w:cols>
          <w:pgMar w:left="1440" w:top="674"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1"/>
          <w:szCs w:val="11"/>
          <w:b w:val="1"/>
          <w:bCs w:val="1"/>
          <w:color w:val="auto"/>
        </w:rPr>
        <w:t>Reconciliation of GAAP Net Income (Loss) to Non-GAAP Adjusted Net Income and GAAP Net Income (Loss) per Diluted Common Share to Non-GAAP Adjusted Net Income (Loss) per Diluted Common Share</w:t>
      </w:r>
    </w:p>
    <w:p>
      <w:pPr>
        <w:sectPr>
          <w:pgSz w:w="11900" w:h="16838" w:orient="portrait"/>
          <w:cols w:equalWidth="0" w:num="1">
            <w:col w:w="11020"/>
          </w:cols>
          <w:pgMar w:left="580" w:top="674" w:right="2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13335</wp:posOffset>
            </wp:positionV>
            <wp:extent cx="5949315"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49315" cy="114300"/>
                    </a:xfrm>
                    <a:prstGeom prst="rect">
                      <a:avLst/>
                    </a:prstGeom>
                    <a:noFill/>
                  </pic:spPr>
                </pic:pic>
              </a:graphicData>
            </a:graphic>
          </wp:anchor>
        </w:drawing>
      </w:r>
    </w:p>
    <w:p>
      <w:pPr>
        <w:spacing w:after="0" w:line="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GAAP net loss</w:t>
      </w: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Pre-tax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-85725</wp:posOffset>
            </wp:positionV>
            <wp:extent cx="5949315"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49315" cy="97155"/>
                    </a:xfrm>
                    <a:prstGeom prst="rect">
                      <a:avLst/>
                    </a:prstGeom>
                    <a:noFill/>
                  </pic:spPr>
                </pic:pic>
              </a:graphicData>
            </a:graphic>
          </wp:anchor>
        </w:drawing>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Pre-tax personnel costs</w:t>
      </w:r>
    </w:p>
    <w:p>
      <w:pPr>
        <w:spacing w:after="0" w:line="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Pre-tax facility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-85725</wp:posOffset>
            </wp:positionV>
            <wp:extent cx="5949315"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49315" cy="97155"/>
                    </a:xfrm>
                    <a:prstGeom prst="rect">
                      <a:avLst/>
                    </a:prstGeom>
                    <a:noFill/>
                  </pic:spPr>
                </pic:pic>
              </a:graphicData>
            </a:graphic>
          </wp:anchor>
        </w:drawing>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Non-cash foreign exchange (gain) loss on inter-company loans</w:t>
      </w:r>
    </w:p>
    <w:p>
      <w:pPr>
        <w:spacing w:after="0" w:line="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1"/>
          <w:szCs w:val="11"/>
          <w:color w:val="auto"/>
        </w:rPr>
        <w:t>Pre-tax change in fair value of preferred stock derivatives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-78740</wp:posOffset>
            </wp:positionV>
            <wp:extent cx="5949315" cy="97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49315" cy="97155"/>
                    </a:xfrm>
                    <a:prstGeom prst="rect">
                      <a:avLst/>
                    </a:prstGeom>
                    <a:noFill/>
                  </pic:spPr>
                </pic:pic>
              </a:graphicData>
            </a:graphic>
          </wp:anchor>
        </w:drawing>
      </w:r>
    </w:p>
    <w:p>
      <w:pPr>
        <w:spacing w:after="0" w:line="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9525</wp:posOffset>
            </wp:positionV>
            <wp:extent cx="5949315" cy="97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49315" cy="97155"/>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12"/>
          <w:szCs w:val="12"/>
          <w:color w:val="auto"/>
        </w:rPr>
        <w:t>Tax effect of adjustments reflected above (c)</w:t>
      </w:r>
    </w:p>
    <w:p>
      <w:pPr>
        <w:spacing w:after="0" w:line="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Non-GAAP adjusted net income (loss) (d)</w:t>
      </w:r>
    </w:p>
    <w:p>
      <w:pPr>
        <w:spacing w:after="0" w:line="3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b w:val="1"/>
          <w:bCs w:val="1"/>
          <w:i w:val="1"/>
          <w:iCs w:val="1"/>
          <w:color w:val="auto"/>
        </w:rPr>
        <w:t>(per diluted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13335</wp:posOffset>
            </wp:positionV>
            <wp:extent cx="5949315"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49315" cy="114300"/>
                    </a:xfrm>
                    <a:prstGeom prst="rect">
                      <a:avLst/>
                    </a:prstGeom>
                    <a:noFill/>
                  </pic:spPr>
                </pic:pic>
              </a:graphicData>
            </a:graphic>
          </wp:anchor>
        </w:drawing>
      </w:r>
    </w:p>
    <w:p>
      <w:pPr>
        <w:spacing w:after="0" w:line="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GAAP net loss per diluted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136525</wp:posOffset>
            </wp:positionV>
            <wp:extent cx="5949315"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49315" cy="114300"/>
                    </a:xfrm>
                    <a:prstGeom prst="rect">
                      <a:avLst/>
                    </a:prstGeom>
                    <a:noFill/>
                  </pic:spPr>
                </pic:pic>
              </a:graphicData>
            </a:graphic>
          </wp:anchor>
        </w:drawing>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Pre-tax personnel costs</w:t>
      </w:r>
    </w:p>
    <w:p>
      <w:pPr>
        <w:spacing w:after="0" w:line="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Pre-tax facility costs</w:t>
      </w:r>
    </w:p>
    <w:p>
      <w:pPr>
        <w:spacing w:after="0" w:line="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Pre-tax foreign exchange (gain) loss on inter-company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-85725</wp:posOffset>
            </wp:positionV>
            <wp:extent cx="5949315"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49315" cy="97155"/>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11"/>
          <w:szCs w:val="11"/>
          <w:color w:val="auto"/>
        </w:rPr>
        <w:t>Pre-tax change in fair value of preferred stock derivatives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17145</wp:posOffset>
            </wp:positionV>
            <wp:extent cx="5949315"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49315" cy="97155"/>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Preferred stock cumulative dividends and deemed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9525</wp:posOffset>
            </wp:positionV>
            <wp:extent cx="5949315"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9315" cy="114300"/>
                    </a:xfrm>
                    <a:prstGeom prst="rect">
                      <a:avLst/>
                    </a:prstGeom>
                    <a:noFill/>
                  </pic:spPr>
                </pic:pic>
              </a:graphicData>
            </a:graphic>
          </wp:anchor>
        </w:drawing>
      </w:r>
    </w:p>
    <w:p>
      <w:pPr>
        <w:spacing w:after="0" w:line="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Non-GAAP adjusted net income (loss) per diluted common share (d)</w:t>
      </w:r>
    </w:p>
    <w:p>
      <w:pPr>
        <w:spacing w:after="0" w:line="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Shares used to calculate net earnings (loss) per share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18059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5940" cy="5715"/>
                    </a:xfrm>
                    <a:prstGeom prst="rect">
                      <a:avLst/>
                    </a:prstGeom>
                    <a:noFill/>
                  </pic:spPr>
                </pic:pic>
              </a:graphicData>
            </a:graphic>
          </wp:anchor>
        </w:drawing>
      </w:r>
    </w:p>
    <w:p>
      <w:pPr>
        <w:spacing w:after="0" w:line="4" w:lineRule="exact"/>
        <w:rPr>
          <w:sz w:val="20"/>
          <w:szCs w:val="20"/>
          <w:color w:val="auto"/>
        </w:rPr>
      </w:pPr>
    </w:p>
    <w:p>
      <w:pPr>
        <w:ind w:left="560"/>
        <w:spacing w:after="0"/>
        <w:tabs>
          <w:tab w:leader="none" w:pos="2040" w:val="left"/>
        </w:tabs>
        <w:rPr>
          <w:sz w:val="20"/>
          <w:szCs w:val="20"/>
          <w:color w:val="auto"/>
        </w:rPr>
      </w:pPr>
      <w:r>
        <w:rPr>
          <w:rFonts w:ascii="Times New Roman" w:cs="Times New Roman" w:eastAsia="Times New Roman" w:hAnsi="Times New Roman"/>
          <w:sz w:val="12"/>
          <w:szCs w:val="12"/>
          <w:b w:val="1"/>
          <w:bCs w:val="1"/>
          <w:color w:val="auto"/>
        </w:rPr>
        <w:t>2024</w:t>
      </w:r>
      <w:r>
        <w:rPr>
          <w:sz w:val="20"/>
          <w:szCs w:val="20"/>
          <w:color w:val="auto"/>
        </w:rPr>
        <w:tab/>
      </w:r>
      <w:r>
        <w:rPr>
          <w:rFonts w:ascii="Times New Roman" w:cs="Times New Roman" w:eastAsia="Times New Roman" w:hAnsi="Times New Roman"/>
          <w:sz w:val="12"/>
          <w:szCs w:val="12"/>
          <w:b w:val="1"/>
          <w:bCs w:val="1"/>
          <w:color w:val="auto"/>
        </w:rPr>
        <w:t>2023</w:t>
      </w:r>
    </w:p>
    <w:p>
      <w:pPr>
        <w:spacing w:after="0" w:line="46" w:lineRule="exact"/>
        <w:rPr>
          <w:sz w:val="20"/>
          <w:szCs w:val="20"/>
          <w:color w:val="auto"/>
        </w:rPr>
      </w:pPr>
    </w:p>
    <w:p>
      <w:pPr>
        <w:ind w:left="20"/>
        <w:spacing w:after="0"/>
        <w:tabs>
          <w:tab w:leader="none" w:pos="960" w:val="left"/>
          <w:tab w:leader="none" w:pos="1500" w:val="left"/>
          <w:tab w:leader="none" w:pos="240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color w:val="auto"/>
        </w:rPr>
        <w:t>(2,203)</w:t>
        <w:tab/>
        <w:t>$</w:t>
      </w:r>
      <w:r>
        <w:rPr>
          <w:sz w:val="20"/>
          <w:szCs w:val="20"/>
          <w:color w:val="auto"/>
        </w:rPr>
        <w:tab/>
      </w:r>
      <w:r>
        <w:rPr>
          <w:rFonts w:ascii="Times New Roman" w:cs="Times New Roman" w:eastAsia="Times New Roman" w:hAnsi="Times New Roman"/>
          <w:sz w:val="12"/>
          <w:szCs w:val="12"/>
          <w:color w:val="auto"/>
        </w:rPr>
        <w:t>(14,377)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r>
      <w:tr>
        <w:trPr>
          <w:trHeight w:val="178"/>
        </w:trPr>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w:t>
            </w:r>
          </w:p>
        </w:tc>
      </w:tr>
      <w:tr>
        <w:trPr>
          <w:trHeight w:val="155"/>
        </w:trPr>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1,022</w:t>
            </w:r>
          </w:p>
        </w:tc>
      </w:tr>
      <w:tr>
        <w:trPr>
          <w:trHeight w:val="178"/>
        </w:trPr>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w:t>
            </w:r>
          </w:p>
        </w:tc>
      </w:tr>
      <w:tr>
        <w:trPr>
          <w:trHeight w:val="153"/>
        </w:trPr>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(3,949)</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5,754</w:t>
            </w:r>
          </w:p>
        </w:tc>
      </w:tr>
      <w:tr>
        <w:trPr>
          <w:trHeight w:val="153"/>
        </w:trPr>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4,018</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4,090</w:t>
            </w:r>
          </w:p>
        </w:tc>
      </w:tr>
      <w:tr>
        <w:trPr>
          <w:trHeight w:val="155"/>
        </w:trPr>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w:t>
            </w:r>
          </w:p>
        </w:tc>
      </w:tr>
      <w:tr>
        <w:trPr>
          <w:trHeight w:val="142"/>
        </w:trPr>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14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(3,279)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291"/>
        </w:trPr>
        <w:tc>
          <w:tcPr>
            <w:tcW w:w="3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r>
      <w:tr>
        <w:trPr>
          <w:trHeight w:val="142"/>
        </w:trPr>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(0.12)</w:t>
            </w:r>
          </w:p>
        </w:tc>
        <w:tc>
          <w:tcPr>
            <w:tcW w:w="14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(0.38)</w:t>
            </w:r>
          </w:p>
        </w:tc>
      </w:tr>
    </w:tbl>
    <w:p>
      <w:pPr>
        <w:spacing w:after="0" w:line="205" w:lineRule="exact"/>
        <w:rPr>
          <w:sz w:val="20"/>
          <w:szCs w:val="20"/>
          <w:color w:val="auto"/>
        </w:rPr>
      </w:pPr>
    </w:p>
    <w:p>
      <w:pPr>
        <w:ind w:left="1100"/>
        <w:spacing w:after="0"/>
        <w:tabs>
          <w:tab w:leader="none" w:pos="2580" w:val="left"/>
        </w:tabs>
        <w:rPr>
          <w:sz w:val="20"/>
          <w:szCs w:val="20"/>
          <w:color w:val="auto"/>
        </w:rPr>
      </w:pPr>
      <w:r>
        <w:rPr>
          <w:rFonts w:ascii="Times New Roman" w:cs="Times New Roman" w:eastAsia="Times New Roman" w:hAnsi="Times New Roman"/>
          <w:sz w:val="12"/>
          <w:szCs w:val="12"/>
          <w:color w:val="auto"/>
        </w:rPr>
        <w:t>0.02</w:t>
      </w:r>
      <w:r>
        <w:rPr>
          <w:sz w:val="20"/>
          <w:szCs w:val="20"/>
          <w:color w:val="auto"/>
        </w:rPr>
        <w:tab/>
      </w:r>
      <w:r>
        <w:rPr>
          <w:rFonts w:ascii="Times New Roman" w:cs="Times New Roman" w:eastAsia="Times New Roman" w:hAnsi="Times New Roman"/>
          <w:sz w:val="11"/>
          <w:szCs w:val="11"/>
          <w:color w:val="auto"/>
        </w:rPr>
        <w:t>0.01</w:t>
      </w:r>
    </w:p>
    <w:p>
      <w:pPr>
        <w:spacing w:after="0" w:line="4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0.02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0.12</w:t>
            </w:r>
          </w:p>
        </w:tc>
      </w:tr>
      <w:tr>
        <w:trPr>
          <w:trHeight w:val="153"/>
        </w:trPr>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0.09</w:t>
            </w:r>
          </w:p>
        </w:tc>
      </w:tr>
      <w:tr>
        <w:trPr>
          <w:trHeight w:val="155"/>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0.07</w:t>
            </w:r>
          </w:p>
        </w:tc>
      </w:tr>
      <w:tr>
        <w:trPr>
          <w:trHeight w:val="142"/>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140" w:type="dxa"/>
            <w:vAlign w:val="bottom"/>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$(0.08)</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31"/>
        </w:trPr>
        <w:tc>
          <w:tcPr>
            <w:tcW w:w="13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48,839</w:t>
            </w:r>
          </w:p>
        </w:tc>
        <w:tc>
          <w:tcPr>
            <w:tcW w:w="140" w:type="dxa"/>
            <w:vAlign w:val="bottom"/>
          </w:tcPr>
          <w:p>
            <w:pPr>
              <w:spacing w:after="0"/>
              <w:rPr>
                <w:sz w:val="11"/>
                <w:szCs w:val="11"/>
                <w:color w:val="auto"/>
              </w:rPr>
            </w:pPr>
          </w:p>
        </w:tc>
        <w:tc>
          <w:tcPr>
            <w:tcW w:w="13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46,357</w:t>
            </w:r>
          </w:p>
        </w:tc>
      </w:tr>
    </w:tbl>
    <w:p>
      <w:pPr>
        <w:spacing w:after="0" w:line="200" w:lineRule="exact"/>
        <w:rPr>
          <w:sz w:val="20"/>
          <w:szCs w:val="20"/>
          <w:color w:val="auto"/>
        </w:rPr>
      </w:pPr>
    </w:p>
    <w:p>
      <w:pPr>
        <w:sectPr>
          <w:pgSz w:w="11900" w:h="16838" w:orient="portrait"/>
          <w:cols w:equalWidth="0" w:num="2">
            <w:col w:w="6480" w:space="720"/>
            <w:col w:w="3820"/>
          </w:cols>
          <w:pgMar w:left="580" w:top="67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880"/>
        <w:spacing w:after="0"/>
        <w:rPr>
          <w:sz w:val="20"/>
          <w:szCs w:val="20"/>
          <w:color w:val="auto"/>
        </w:rPr>
      </w:pPr>
      <w:r>
        <w:rPr>
          <w:rFonts w:ascii="Calibri" w:cs="Calibri" w:eastAsia="Calibri" w:hAnsi="Calibri"/>
          <w:sz w:val="13"/>
          <w:szCs w:val="13"/>
          <w:color w:val="auto"/>
        </w:rPr>
        <w:t>11</w:t>
      </w:r>
    </w:p>
    <w:p>
      <w:pPr>
        <w:sectPr>
          <w:pgSz w:w="11900" w:h="16838" w:orient="portrait"/>
          <w:cols w:equalWidth="0" w:num="1">
            <w:col w:w="11020"/>
          </w:cols>
          <w:pgMar w:left="580" w:top="674" w:right="299" w:bottom="1440" w:gutter="0" w:footer="0" w:header="0"/>
          <w:type w:val="continuous"/>
        </w:sectPr>
      </w:pPr>
    </w:p>
    <w:bookmarkStart w:id="14" w:name="page15"/>
    <w:bookmarkEnd w:id="14"/>
    <w:tbl>
      <w:tblPr>
        <w:tblLayout w:type="fixed"/>
        <w:tblInd w:w="700" w:type="dxa"/>
        <w:tblCellMar>
          <w:top w:w="0" w:type="dxa"/>
          <w:left w:w="0" w:type="dxa"/>
          <w:bottom w:w="0" w:type="dxa"/>
          <w:right w:w="0" w:type="dxa"/>
        </w:tblCellMar>
      </w:tblPr>
      <w:tr>
        <w:trPr>
          <w:trHeight w:val="159"/>
        </w:trPr>
        <w:tc>
          <w:tcPr>
            <w:tcW w:w="5400" w:type="dxa"/>
            <w:vAlign w:val="bottom"/>
            <w:gridSpan w:val="2"/>
          </w:tcPr>
          <w:p>
            <w:pPr>
              <w:ind w:left="2320"/>
              <w:spacing w:after="0"/>
              <w:rPr>
                <w:sz w:val="20"/>
                <w:szCs w:val="20"/>
                <w:color w:val="auto"/>
              </w:rPr>
            </w:pPr>
            <w:r>
              <w:rPr>
                <w:rFonts w:ascii="Times New Roman" w:cs="Times New Roman" w:eastAsia="Times New Roman" w:hAnsi="Times New Roman"/>
                <w:sz w:val="12"/>
                <w:szCs w:val="12"/>
                <w:b w:val="1"/>
                <w:bCs w:val="1"/>
                <w:color w:val="auto"/>
              </w:rPr>
              <w:t>Reconciliation of Operating Cash Flow to Free Cash Flow</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4"/>
        </w:trPr>
        <w:tc>
          <w:tcPr>
            <w:tcW w:w="5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80" w:type="dxa"/>
            <w:vAlign w:val="bottom"/>
          </w:tcPr>
          <w:p>
            <w:pPr>
              <w:spacing w:after="0"/>
              <w:rPr>
                <w:sz w:val="15"/>
                <w:szCs w:val="15"/>
                <w:color w:val="auto"/>
              </w:rPr>
            </w:pPr>
          </w:p>
        </w:tc>
      </w:tr>
      <w:tr>
        <w:trPr>
          <w:trHeight w:val="159"/>
        </w:trPr>
        <w:tc>
          <w:tcPr>
            <w:tcW w:w="50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66"/>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780" w:type="dxa"/>
            <w:vAlign w:val="bottom"/>
            <w:tcBorders>
              <w:bottom w:val="single" w:sz="8" w:color="auto"/>
            </w:tcBorders>
          </w:tcPr>
          <w:p>
            <w:pPr>
              <w:spacing w:after="0"/>
              <w:rPr>
                <w:sz w:val="13"/>
                <w:szCs w:val="13"/>
                <w:color w:val="auto"/>
              </w:rPr>
            </w:pPr>
          </w:p>
        </w:tc>
      </w:tr>
      <w:tr>
        <w:trPr>
          <w:trHeight w:val="142"/>
        </w:trPr>
        <w:tc>
          <w:tcPr>
            <w:tcW w:w="50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w w:val="99"/>
              </w:rPr>
              <w:t>2023</w:t>
            </w:r>
          </w:p>
        </w:tc>
      </w:tr>
      <w:tr>
        <w:trPr>
          <w:trHeight w:val="142"/>
        </w:trPr>
        <w:tc>
          <w:tcPr>
            <w:tcW w:w="50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400" w:type="dxa"/>
            <w:vAlign w:val="bottom"/>
            <w:shd w:val="clear" w:color="auto" w:fill="BFE4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(1,281)</w:t>
            </w:r>
          </w:p>
        </w:tc>
        <w:tc>
          <w:tcPr>
            <w:tcW w:w="100" w:type="dxa"/>
            <w:vAlign w:val="bottom"/>
            <w:shd w:val="clear" w:color="auto" w:fill="BFE4FF"/>
          </w:tcPr>
          <w:p>
            <w:pPr>
              <w:spacing w:after="0"/>
              <w:rPr>
                <w:sz w:val="12"/>
                <w:szCs w:val="12"/>
                <w:color w:val="auto"/>
              </w:rPr>
            </w:pPr>
          </w:p>
        </w:tc>
        <w:tc>
          <w:tcPr>
            <w:tcW w:w="480" w:type="dxa"/>
            <w:vAlign w:val="bottom"/>
            <w:shd w:val="clear" w:color="auto" w:fill="BFE4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8,417</w:t>
            </w:r>
          </w:p>
        </w:tc>
      </w:tr>
      <w:tr>
        <w:trPr>
          <w:trHeight w:val="153"/>
        </w:trPr>
        <w:tc>
          <w:tcPr>
            <w:tcW w:w="500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(7,199)</w:t>
            </w:r>
          </w:p>
        </w:tc>
      </w:tr>
      <w:tr>
        <w:trPr>
          <w:trHeight w:val="153"/>
        </w:trPr>
        <w:tc>
          <w:tcPr>
            <w:tcW w:w="500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400" w:type="dxa"/>
            <w:vAlign w:val="bottom"/>
            <w:shd w:val="clear" w:color="auto" w:fill="BFE4FF"/>
          </w:tcPr>
          <w:p>
            <w:pPr>
              <w:spacing w:after="0"/>
              <w:rPr>
                <w:sz w:val="13"/>
                <w:szCs w:val="13"/>
                <w:color w:val="auto"/>
              </w:rPr>
            </w:pP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00" w:type="dxa"/>
            <w:vAlign w:val="bottom"/>
            <w:shd w:val="clear" w:color="auto" w:fill="BFE4FF"/>
          </w:tcPr>
          <w:p>
            <w:pPr>
              <w:spacing w:after="0"/>
              <w:rPr>
                <w:sz w:val="13"/>
                <w:szCs w:val="13"/>
                <w:color w:val="auto"/>
              </w:rPr>
            </w:pPr>
          </w:p>
        </w:tc>
        <w:tc>
          <w:tcPr>
            <w:tcW w:w="480" w:type="dxa"/>
            <w:vAlign w:val="bottom"/>
            <w:shd w:val="clear" w:color="auto" w:fill="BFE4FF"/>
          </w:tcPr>
          <w:p>
            <w:pPr>
              <w:spacing w:after="0"/>
              <w:rPr>
                <w:sz w:val="13"/>
                <w:szCs w:val="13"/>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1,742</w:t>
            </w:r>
          </w:p>
        </w:tc>
      </w:tr>
      <w:tr>
        <w:trPr>
          <w:trHeight w:val="153"/>
        </w:trPr>
        <w:tc>
          <w:tcPr>
            <w:tcW w:w="50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3,415</w:t>
            </w:r>
          </w:p>
        </w:tc>
        <w:tc>
          <w:tcPr>
            <w:tcW w:w="100" w:type="dxa"/>
            <w:vAlign w:val="bottom"/>
            <w:tcBorders>
              <w:bottom w:val="single" w:sz="8" w:color="BFE4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5000" w:type="dxa"/>
            <w:vAlign w:val="bottom"/>
            <w:tcBorders>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2"/>
                <w:szCs w:val="12"/>
                <w:color w:val="auto"/>
              </w:rPr>
              <w:t>Free cash flow</w:t>
            </w:r>
          </w:p>
        </w:tc>
        <w:tc>
          <w:tcPr>
            <w:tcW w:w="400" w:type="dxa"/>
            <w:vAlign w:val="bottom"/>
            <w:tcBorders>
              <w:bottom w:val="single" w:sz="8" w:color="auto"/>
            </w:tcBorders>
            <w:shd w:val="clear" w:color="auto" w:fill="BFE4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(1,319)</w:t>
            </w:r>
          </w:p>
        </w:tc>
        <w:tc>
          <w:tcPr>
            <w:tcW w:w="100" w:type="dxa"/>
            <w:vAlign w:val="bottom"/>
            <w:tcBorders>
              <w:bottom w:val="single" w:sz="8" w:color="BFE4FF"/>
            </w:tcBorders>
            <w:shd w:val="clear" w:color="auto" w:fill="BFE4FF"/>
          </w:tcPr>
          <w:p>
            <w:pPr>
              <w:spacing w:after="0"/>
              <w:rPr>
                <w:sz w:val="13"/>
                <w:szCs w:val="13"/>
                <w:color w:val="auto"/>
              </w:rPr>
            </w:pPr>
          </w:p>
        </w:tc>
        <w:tc>
          <w:tcPr>
            <w:tcW w:w="480" w:type="dxa"/>
            <w:vAlign w:val="bottom"/>
            <w:tcBorders>
              <w:bottom w:val="single" w:sz="8" w:color="auto"/>
            </w:tcBorders>
            <w:shd w:val="clear" w:color="auto" w:fill="BFE4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2,960</w:t>
            </w:r>
          </w:p>
        </w:tc>
      </w:tr>
    </w:tbl>
    <w:p>
      <w:pPr>
        <w:spacing w:after="0" w:line="314"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12</w:t>
      </w:r>
    </w:p>
    <w:p>
      <w:pPr>
        <w:sectPr>
          <w:pgSz w:w="11900" w:h="16838" w:orient="portrait"/>
          <w:cols w:equalWidth="0" w:num="1">
            <w:col w:w="10160"/>
          </w:cols>
          <w:pgMar w:left="1440" w:top="674" w:right="299" w:bottom="1440" w:gutter="0" w:footer="0" w:header="0"/>
        </w:sectPr>
      </w:pPr>
    </w:p>
    <w:bookmarkStart w:id="15" w:name="page16"/>
    <w:bookmarkEnd w:id="15"/>
    <w:p>
      <w:pPr>
        <w:ind w:left="8" w:right="100"/>
        <w:spacing w:after="0" w:line="238" w:lineRule="auto"/>
        <w:rPr>
          <w:sz w:val="20"/>
          <w:szCs w:val="20"/>
          <w:color w:val="auto"/>
        </w:rPr>
      </w:pPr>
      <w:r>
        <w:rPr>
          <w:rFonts w:ascii="Calibri" w:cs="Calibri" w:eastAsia="Calibri" w:hAnsi="Calibri"/>
          <w:sz w:val="11"/>
          <w:szCs w:val="11"/>
          <w:i w:val="1"/>
          <w:iCs w:val="1"/>
          <w:color w:val="auto"/>
        </w:rPr>
        <w:t>The Company discloses in this presentaton the non-GAAP fnancial measures of adjusted income (loss) from operatons, adjusted EBITDA, adjusted net income (loss), adjusted net income (loss) per diluted common share, and free cash fow. Each of these non-GAAP fnancial measures provides supplementary informaton about the impacts of acquisiton, divestture and integraton related expenses, foreign-exchange impacts on inter-company loans, reorganizatonal and impairment charges. The costs we incur in completng acquisitons, including the amortzaton of intangibles and deferred fnancing costs, and divesttures are excluded from these measures because their size and inconsistent frequency are unrelated to our commercial performance during the period, and we believe are not indicatve of our ongoing operatng costs. We exclude the impact of currency translaton from these measures because foreign exchange rates are not under management’s control and are subject to volatlity. Other non-operatng charges are excluded as the charges are not indicatve of our ongoing operatng cost. We believe the presentaton of adjusted income (loss) from operatons, adjusted EBITDA, adjusted net income (loss), adjusted net income (loss) per diluted common share, and free cash fow provides useful informaton in assessing our underlying business trends and facilitates comparison of our long-term performance over given periods.</w:t>
      </w:r>
    </w:p>
    <w:p>
      <w:pPr>
        <w:spacing w:after="0" w:line="137" w:lineRule="exact"/>
        <w:rPr>
          <w:sz w:val="20"/>
          <w:szCs w:val="20"/>
          <w:color w:val="auto"/>
        </w:rPr>
      </w:pPr>
    </w:p>
    <w:p>
      <w:pPr>
        <w:ind w:left="8" w:right="20"/>
        <w:spacing w:after="0" w:line="236" w:lineRule="auto"/>
        <w:rPr>
          <w:sz w:val="20"/>
          <w:szCs w:val="20"/>
          <w:color w:val="auto"/>
        </w:rPr>
      </w:pPr>
      <w:r>
        <w:rPr>
          <w:rFonts w:ascii="Calibri" w:cs="Calibri" w:eastAsia="Calibri" w:hAnsi="Calibri"/>
          <w:sz w:val="11"/>
          <w:szCs w:val="11"/>
          <w:i w:val="1"/>
          <w:iCs w:val="1"/>
          <w:color w:val="auto"/>
        </w:rPr>
        <w:t>The non-GAAP fnancial measures provided herein may not provide informaton that is directly comparable to that provided by other companies in the Company's industry, as other companies may calculate such fnancial results diferently. The Company's non-GAAP fnancial measures are not measurements of fnancial performance under GAAP and should not be considered as alternatves to actual income growth derived from income amounts presented in accordance with GAAP. The Company does not consider these non-GAAP fnancial measures to be a substtute for, or superior to, the informaton provided by GAAP fnancial results.</w:t>
      </w:r>
    </w:p>
    <w:p>
      <w:pPr>
        <w:spacing w:after="0" w:line="126" w:lineRule="exact"/>
        <w:rPr>
          <w:sz w:val="20"/>
          <w:szCs w:val="20"/>
          <w:color w:val="auto"/>
        </w:rPr>
      </w:pPr>
    </w:p>
    <w:p>
      <w:pPr>
        <w:ind w:left="8" w:right="80" w:hanging="8"/>
        <w:spacing w:after="0" w:line="237" w:lineRule="auto"/>
        <w:tabs>
          <w:tab w:leader="none" w:pos="153" w:val="left"/>
        </w:tabs>
        <w:numPr>
          <w:ilvl w:val="0"/>
          <w:numId w:val="10"/>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Non-GAAP adjusted income (loss) from operatons represents GAAP income (loss) from operatons, adjusted to exclude the efects of restructuring and integraton expense; non-operatonal charges related to acquisiton and transiton expense, intangible amortzaton costs for fair value step-up in values related to acquisitons, non-cash impairment charges, and when applicable, our share of income from joint venture operatons. We believe this presentaton is commonly used by investors and professional research analysts in the valuaton, comparison, ratng, and investment recommendatons of companies in the industrial industry. We use this informaton for comparatve purposes within the industry. Non-GAAP adjusted income (loss) from operatons is not a measure of fnancial performance under GAAP and should not be considered as a measure of liquidity or as an alternatve to GAAP income (loss) from operatons.</w:t>
      </w:r>
    </w:p>
    <w:p>
      <w:pPr>
        <w:spacing w:after="0" w:line="126" w:lineRule="exact"/>
        <w:rPr>
          <w:rFonts w:ascii="Calibri" w:cs="Calibri" w:eastAsia="Calibri" w:hAnsi="Calibri"/>
          <w:sz w:val="11"/>
          <w:szCs w:val="11"/>
          <w:i w:val="1"/>
          <w:iCs w:val="1"/>
          <w:color w:val="auto"/>
        </w:rPr>
      </w:pPr>
    </w:p>
    <w:p>
      <w:pPr>
        <w:ind w:left="8" w:right="40" w:hanging="8"/>
        <w:spacing w:after="0" w:line="238" w:lineRule="auto"/>
        <w:tabs>
          <w:tab w:leader="none" w:pos="153" w:val="left"/>
        </w:tabs>
        <w:numPr>
          <w:ilvl w:val="0"/>
          <w:numId w:val="10"/>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Non-GAAP adjusted EBITDA represents GAAP net income (loss), adjusted to include income taxes, interest expense, write-of of unamortzed debt issuance costs, interest rate swap payments and change in fair value that was recognized in earnings, change in fair value of preferred stock derivatves and warrants, depreciaton and amortzaton, charges related to acquisiton and transiton costs, non-cash stock compensaton expense, foreign exchange gain (loss) on inter-company loans, restructuring and integraton expense, costs related to divested businesses and litgaton setlements, income from discontnued operatons, and non-cash impairment charges, to the extent applicable. We believe this presentaton is commonly used by investors and professional research analysts in the valuaton, comparison, ratng, and investment recommendatons of companies in the industrial industry. We use this informaton for comparatve purposes within the industry. Non-GAAP adjusted EBITDA is not a measure of fnancial performance under GAAP and should not be considered as a measure of liquidity or as an alternatve to GAAP income (loss) from contnuing operatons.</w:t>
      </w:r>
    </w:p>
    <w:p>
      <w:pPr>
        <w:spacing w:after="0" w:line="135" w:lineRule="exact"/>
        <w:rPr>
          <w:rFonts w:ascii="Calibri" w:cs="Calibri" w:eastAsia="Calibri" w:hAnsi="Calibri"/>
          <w:sz w:val="11"/>
          <w:szCs w:val="11"/>
          <w:i w:val="1"/>
          <w:iCs w:val="1"/>
          <w:color w:val="auto"/>
        </w:rPr>
      </w:pPr>
    </w:p>
    <w:p>
      <w:pPr>
        <w:ind w:left="8" w:right="120" w:hanging="8"/>
        <w:spacing w:after="0" w:line="234" w:lineRule="auto"/>
        <w:tabs>
          <w:tab w:leader="none" w:pos="143" w:val="left"/>
        </w:tabs>
        <w:numPr>
          <w:ilvl w:val="0"/>
          <w:numId w:val="10"/>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This line item refects the aggregate tax efect of all non-tax adjustments refected in the respectve table. NN, Inc. estmates the tax efect of the adjustment items identfed in the reconciliaton schedule above by applying the applicable statutory rates by tax jurisdicton unless the nature of the item and/or the tax jurisdicton in which the item has been recorded requires applicaton of a specifc tax rate or tax treatment.</w:t>
      </w:r>
    </w:p>
    <w:p>
      <w:pPr>
        <w:spacing w:after="0" w:line="125" w:lineRule="exact"/>
        <w:rPr>
          <w:rFonts w:ascii="Calibri" w:cs="Calibri" w:eastAsia="Calibri" w:hAnsi="Calibri"/>
          <w:sz w:val="11"/>
          <w:szCs w:val="11"/>
          <w:i w:val="1"/>
          <w:iCs w:val="1"/>
          <w:color w:val="auto"/>
        </w:rPr>
      </w:pPr>
    </w:p>
    <w:p>
      <w:pPr>
        <w:ind w:left="8" w:right="20" w:hanging="8"/>
        <w:spacing w:after="0" w:line="238" w:lineRule="auto"/>
        <w:tabs>
          <w:tab w:leader="none" w:pos="153" w:val="left"/>
        </w:tabs>
        <w:numPr>
          <w:ilvl w:val="0"/>
          <w:numId w:val="10"/>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Non-GAAP adjusted net income (loss) represents GAAP net income (loss) adjusted to exclude the tax-afected efects of charges related to acquisiton and transiton costs, foreign exchange gain (loss) on inter-company loans, restructuring and integraton charges, amortzaton of intangibles costs for fair value step-up in values related to acquisitons and amortzaton of deferred fnancing costs, non-cash impairment charges, write-of of unamortzed debt issuance costs, interest rate swap payments and change in fair value, change in fair value of preferred stock derivatves and warrants, costs related to divested businesses and litgaton setlements, income (loss) from discontnued operatons, and preferred stock cumulatve dividends and deemed dividends. We believe this presentaton is commonly used by investors and professional research analysts in the valuaton, comparison, ratng, and investment recommendatons of companies in the industrial industry. We use this informaton for comparatve purposes within the industry.</w:t>
      </w:r>
    </w:p>
    <w:p>
      <w:pPr>
        <w:spacing w:after="0" w:line="272"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13</w:t>
      </w:r>
    </w:p>
    <w:p>
      <w:pPr>
        <w:sectPr>
          <w:pgSz w:w="11900" w:h="16838" w:orient="portrait"/>
          <w:cols w:equalWidth="0" w:num="1">
            <w:col w:w="11308"/>
          </w:cols>
          <w:pgMar w:left="292" w:top="678" w:right="299" w:bottom="1440"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upperLetter"/>
      <w:start w:val="40"/>
    </w:lvl>
    <w:lvl w:ilvl="1">
      <w:lvlJc w:val="left"/>
      <w:lvlText w:val="◦"/>
      <w:numFmt w:val="bullet"/>
      <w:start w:val="1"/>
    </w:lvl>
  </w:abstractNum>
  <w:abstractNum w:abstractNumId="4">
    <w:nsid w:val="79E2A9E3"/>
    <w:multiLevelType w:val="hybridMultilevel"/>
    <w:lvl w:ilvl="0">
      <w:lvlJc w:val="left"/>
      <w:lvlText w:val="%1"/>
      <w:numFmt w:val="upperLetter"/>
      <w:start w:val="40"/>
    </w:lvl>
  </w:abstractNum>
  <w:abstractNum w:abstractNumId="5">
    <w:nsid w:val="7545E146"/>
    <w:multiLevelType w:val="hybridMultilevel"/>
    <w:lvl w:ilvl="0">
      <w:lvlJc w:val="left"/>
      <w:lvlText w:val="%1"/>
      <w:numFmt w:val="upperLetter"/>
      <w:start w:val="40"/>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emdash "/>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2024-08-07T16:14:59Z</dcterms:created>
  <dcterms:modified xsi:type="dcterms:W3CDTF">2024-08-07T16:14:59Z</dcterms:modified>
</cp:coreProperties>
</file>