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740410</wp:posOffset>
            </wp:positionH>
            <wp:positionV relativeFrom="page">
              <wp:posOffset>543560</wp:posOffset>
            </wp:positionV>
            <wp:extent cx="6089015"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0890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4,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You are cordially invited to attend the 2013 Annual Meeting of NN, Inc., which will be held on May 16, 2013, at 10:00 a.m., local time, at the Renaissance Charleston Hotel, 68 Wentworth Street, Charleston, SC 29401.</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business to be conducted at the Annual Meeting is described in the attached Notice of Meeting and Proxy Statement. You are urged to read the Proxy Statement carefully before completing the enclosed proxy card.</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20078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7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140"/>
          </w:cols>
          <w:pgMar w:left="240" w:top="1440" w:right="5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Waters Edge Drive, Building C, Suite 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Johnson City, TN 37604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SHAREHOLDERS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Notice is hereby given that the Annual Meeting of Shareholders of NN, Inc., a Delaware corporation, will be held on May 16, 2013, at 10:00 a.m., local time,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Renaissance Charleston Hotel, 68 Wentworth Street, Charleston, SC 29401. At the meeting, our shareholders will vote on the following:</w:t>
      </w:r>
    </w:p>
    <w:p>
      <w:pPr>
        <w:spacing w:after="0" w:line="8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two Class III directors to serve for a term of three years;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resolution to approve executive compensation;</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selection of PricewaterhouseCoopers LLP as the Company’s registered independent public accounting firm for the fiscal year ending December 31, 2013;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business as properly may come before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these matters are contained in the accompanying Proxy Statement.</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Holders of record of Common Stock, as defined in the Proxy Statement, at the close of business on March 22, 2013, are entitled to notice of and to vote at the Annual Meeting.</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YOUR VOTE IS VERY IMPORTANT. REGARDLESS OF WHETHER YOU PLAN TO ATTEND THE MEETING, PLEASE PROMPTLY VOTE BY TELEPHONE, BY INTERNET, OR COMPLETE, DATE AND SIGN THE ENCLOSED PROXY CARD AND RETURN IT IN THE ENVELOPE PROVIDED. YOU MAY REVOKE YOUR PROXY AT ANY TIME BEFORE IT IS VOTED AT THE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54368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6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William C. Kelly,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Administrative Officer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4, 2013</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2013 ANNUAL MEETING OF SHAREHOLDERS</w:t>
      </w:r>
    </w:p>
    <w:p>
      <w:pPr>
        <w:spacing w:after="0" w:line="17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Proxies are being solicited by the board of directors of NN, Inc. (the “Company”), in connection with the annual meeting of shareholders to be held on May 16, 2013 at the </w:t>
      </w:r>
      <w:r>
        <w:rPr>
          <w:rFonts w:ascii="Arial" w:cs="Arial" w:eastAsia="Arial" w:hAnsi="Arial"/>
          <w:sz w:val="16"/>
          <w:szCs w:val="16"/>
          <w:b w:val="1"/>
          <w:bCs w:val="1"/>
          <w:color w:val="auto"/>
        </w:rPr>
        <w:t>Renaissance Charleston Hotel, 68 Wentworth Street, Charleston, SC 29401</w:t>
      </w:r>
      <w:r>
        <w:rPr>
          <w:rFonts w:ascii="Arial" w:cs="Arial" w:eastAsia="Arial" w:hAnsi="Arial"/>
          <w:sz w:val="16"/>
          <w:szCs w:val="16"/>
          <w:color w:val="auto"/>
        </w:rPr>
        <w:t xml:space="preserve"> (the “Annual Meeting”), for the purpose of considering and acting upon the matters set forth in the foregoing Notice of Annual Meeting of Shareholders (the “Notice”). Shareholders of record of the Company’s common stock, par value $0.01 per share (“Common Stock”), as of the close of business on March 22, 2013, will be entitled to vote at the meeting. On March 22, 2013 (the “Record Date”), 17,038,999 shares of Common Stock were issued and outstanding.</w:t>
      </w:r>
    </w:p>
    <w:p>
      <w:pPr>
        <w:spacing w:after="0" w:line="11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4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SEC’s rules regarding the delivery of proxy materials to shareholders permit us to deliver a single copy of these documents to an address shared by two or more of our shareholders. This method of delivery is called “householding,” and can significantly reduce our printing and mailing costs. It also reduces the volume of mail you receive. This year, we are delivering only one set of proxy materials to multiple shareholders sharing an address, unless we receive instructions to the contrary from one or more of the shareholders. We will still be required, however, to send you and each other shareholder at your address an individual proxy voting card. If you would like to receive more than one set of proxy materials, we will promptly send you additional copies upon written or oral request directed to our Secretary at 2000 Waters Edge Drive, Building C, Suite 12, Johnson City, Tennessee 37604 or 423-743-9151. The same address and phone number may be used to notify us that you wish to receive a separate set of proxy materials in the future, or to request delivery of a single copy of our proxy materials if you are receiving multiple copies.</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mailing address of the Company’s executive office is 2000 Waters Edge Drive, Building C, Suite 12, Johnson City, Tennessee 37604. This Proxy Statement and the form of proxy were mailed to shareholders on or about April 4,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Quorum; Proxies</w:t>
      </w:r>
    </w:p>
    <w:p>
      <w:pPr>
        <w:spacing w:after="0" w:line="9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Abstentions and broker non-votes will be included in the number of shares considered present at the meeting for the purpose of determining whether there is a quorum. Representatives of the Company will serve as inspectors of election for the Annual Meeting.</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(“Board”) named herein, for the advisory resolution to approve executive compensation, and for ratification of the selection of PricewaterhouseCoopers LLP to serve as the Company’s registered independent public accounting firm for 2013.</w:t>
      </w:r>
    </w:p>
    <w:p>
      <w:pPr>
        <w:spacing w:after="0" w:line="143"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The Board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ectPr>
          <w:pgSz w:w="11900" w:h="16838" w:orient="portrait"/>
          <w:cols w:equalWidth="0" w:num="1">
            <w:col w:w="11420"/>
          </w:cols>
          <w:pgMar w:left="240" w:top="274" w:right="239" w:bottom="1440" w:gutter="0" w:footer="0" w:header="0"/>
        </w:sectPr>
      </w:pPr>
    </w:p>
    <w:bookmarkStart w:id="5" w:name="page6"/>
    <w:bookmarkEnd w:id="5"/>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Directors are elected by a plurality of the votes cast in person or by proxy. Abstentions and broker non-votes will not be taken into account in determining the outcome of the election.</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Proposal II: </w:t>
      </w:r>
      <w:r>
        <w:rPr>
          <w:rFonts w:ascii="Arial" w:cs="Arial" w:eastAsia="Arial" w:hAnsi="Arial"/>
          <w:sz w:val="18"/>
          <w:szCs w:val="18"/>
          <w:i w:val="1"/>
          <w:iCs w:val="1"/>
          <w:color w:val="auto"/>
        </w:rPr>
        <w:t>Advisory Resolution to Approve Executive Compensation.</w:t>
      </w:r>
      <w:r>
        <w:rPr>
          <w:rFonts w:ascii="Arial" w:cs="Arial" w:eastAsia="Arial" w:hAnsi="Arial"/>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Proposal III: </w:t>
      </w:r>
      <w:r>
        <w:rPr>
          <w:rFonts w:ascii="Arial" w:cs="Arial" w:eastAsia="Arial" w:hAnsi="Arial"/>
          <w:sz w:val="18"/>
          <w:szCs w:val="18"/>
          <w:i w:val="1"/>
          <w:iCs w:val="1"/>
          <w:color w:val="auto"/>
        </w:rPr>
        <w:t>Ratification of Registered Independent Public Accounting Firm.</w:t>
      </w:r>
      <w:r>
        <w:rPr>
          <w:rFonts w:ascii="Arial" w:cs="Arial" w:eastAsia="Arial" w:hAnsi="Arial"/>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There will not be a broker non-vote with regard to this proposal.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Shareholder Proposals</w:t>
      </w:r>
    </w:p>
    <w:p>
      <w:pPr>
        <w:spacing w:after="0" w:line="9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Any shareholder proposal intended to be presented at next year’s Annual Meeting must be received by the Company at its executive offices not later than December 5, 2013 in order to be considered for inclusion in the Company’s proxy statement and form of proxy for such meeting. These proposals should be sent to NN, Inc., Attention: Secretary, 2000 Waters Edge Drive, Building C, Suite 12, Johnson City, Tennessee 37604. Proposals of shareholders not intended for inclusion in the Company’s 2014 proxy statement must be received by the Company in writing not less than 90 days and not more than 120 days prior to May 16, 2014, in order to preclude the Company’s use of its discretionary proxy voting authority to vote on the proposal or nominee if the proponent is present at the 2014 annual meeting. However, if the 2014 Annual Meeting of Stockholders is advanced by more than 30 days or delayed by more than 60 days from May 16, 2014, then the notice must be delivered not earlier than the 120th day prior to such meeting and not later than (a) the 90th day prior to the date of such annual meeting or (b) if the first public announcement of the date of such annual meeting is less than 100 days prior to the day of such annual meeting, the tenth day following the day on which public announcement of such annual meeting is first made by the Company.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Company’s Certificate of Incorporation provides for the division of the Board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Two Class III directors will be elected to the Board at the Annual Meeting. The Company has nominated for election Mr. Richard G. Fanelli, and Mr. Michael E. Werner, both current directors of the Company. Additional information about each of these nominees can be found under “Information about the Directors” on page 5. The nominees have indicated a willingness to serve as directors if elected, but if either of them should decline or be unable to serve, the persons named as proxies intend to vote all shares in favor of the election of such other persons who may be nominated as replacements by the Board. The Company takes into account diversity considerations in determining the slate of nominees and believes as a group the nominees bring a diverse range of perspective to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THE ELECTION OF THE NOMINATED DIRECTORS.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Resolution To Approve Executive Compensation</w:t>
      </w:r>
    </w:p>
    <w:p>
      <w:pPr>
        <w:spacing w:after="0" w:line="1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At the 2011 Annual Meeting, shareholders expressed their strong preference for an annual advisory vote to approve executive compensation. Accordingly, the Board determined that, every year until the next vote on the frequency of the advisory vote, the Company will hold a vote to approve the Company’s executive compensation on an advisory basis. As such, the Board is asking shareholders to vote on an advisory resolution to approve the Company’s executive compensation as reported in this Proxy Statement. As described in the “Compensation Discussion and Analysis” section of this Proxy Statement, 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24" w:lineRule="exact"/>
        <w:rPr>
          <w:sz w:val="20"/>
          <w:szCs w:val="20"/>
          <w:color w:val="auto"/>
        </w:rPr>
      </w:pPr>
    </w:p>
    <w:p>
      <w:pPr>
        <w:ind w:left="1920" w:hanging="318"/>
        <w:spacing w:after="0"/>
        <w:tabs>
          <w:tab w:leader="none" w:pos="1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attracting and retaining qualified and dedicated executives who are essential to the long-term success of the Company;</w:t>
      </w:r>
    </w:p>
    <w:p>
      <w:pPr>
        <w:spacing w:after="0" w:line="113" w:lineRule="exact"/>
        <w:rPr>
          <w:rFonts w:ascii="Arial" w:cs="Arial" w:eastAsia="Arial" w:hAnsi="Arial"/>
          <w:sz w:val="16"/>
          <w:szCs w:val="16"/>
          <w:color w:val="auto"/>
        </w:rPr>
      </w:pPr>
    </w:p>
    <w:p>
      <w:pPr>
        <w:ind w:left="1920" w:right="500" w:hanging="318"/>
        <w:spacing w:after="0" w:line="268" w:lineRule="auto"/>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the Company’s competitors;</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tying a significant portion of an executive officer’s compensation to the Company’s and the individual’s performance; and</w:t>
      </w:r>
    </w:p>
    <w:p>
      <w:pPr>
        <w:spacing w:after="0" w:line="113" w:lineRule="exact"/>
        <w:rPr>
          <w:rFonts w:ascii="Arial" w:cs="Arial" w:eastAsia="Arial" w:hAnsi="Arial"/>
          <w:sz w:val="16"/>
          <w:szCs w:val="16"/>
          <w:color w:val="auto"/>
        </w:rPr>
      </w:pPr>
    </w:p>
    <w:p>
      <w:pPr>
        <w:ind w:left="1920" w:hanging="318"/>
        <w:spacing w:after="0"/>
        <w:tabs>
          <w:tab w:leader="none" w:pos="1920" w:val="left"/>
        </w:tabs>
        <w:numPr>
          <w:ilvl w:val="0"/>
          <w:numId w:val="7"/>
        </w:numPr>
        <w:rPr>
          <w:rFonts w:ascii="Arial" w:cs="Arial" w:eastAsia="Arial" w:hAnsi="Arial"/>
          <w:sz w:val="15"/>
          <w:szCs w:val="15"/>
          <w:color w:val="auto"/>
        </w:rPr>
      </w:pPr>
      <w:r>
        <w:rPr>
          <w:rFonts w:ascii="Arial" w:cs="Arial" w:eastAsia="Arial" w:hAnsi="Arial"/>
          <w:sz w:val="15"/>
          <w:szCs w:val="15"/>
          <w:color w:val="auto"/>
        </w:rPr>
        <w:t>directly aligning the interests of management with the interests of the shareholders through stock-based compensation arrangements.</w:t>
      </w:r>
    </w:p>
    <w:p>
      <w:pPr>
        <w:spacing w:after="0" w:line="2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Shareholders are urged to read the “Compensation Discussion and Analysis” beginning on page 14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15 through 20,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the Company’s recent and long-term success.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accordance with Section 14A of the Securities Exchange Act of 1934, as amended (the “Exchange Act”), and as a matter of good corporate governance, the Company is asking shareholders to approve the following advisory resolution at the 2013 Annual Meeting of Shareholders:</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RESOLVED, that the shareholders of NN,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2013 Annual Meeting of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BOARD OF DIRECTORS RECOMMENDS YOU VOTE “FOR” THE ADVISORY RESOLUTION TO APPROVE EXECUTIVE COMPENSATION.</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Registered Independent Public Accounting Firm</w:t>
      </w:r>
    </w:p>
    <w:p>
      <w:pPr>
        <w:spacing w:after="0" w:line="177"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The firm of PricewaterhouseCoopers LLP has been selected by the Audit Committee as the Company’s registered independent public accounting firm for 2013.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Registered Independent Public Accounting Firm</w:t>
      </w:r>
    </w:p>
    <w:p>
      <w:pPr>
        <w:spacing w:after="0" w:line="9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During 2012, PricewaterhouseCoopers LLP not only acted as the registered independent public accounting firm for the Company (work related to auditing the annual financial statements for fiscal year 2011 and reviewing the financial statements included in our Forms 10-Q), but also rendered on our behalf tax-related services. The following table sets forth the aggregate fees billed by PricewaterhouseCoopers LLP for audit services rendered in connection with the financial statements and reports for fiscal years 2012 and 2011 and for tax-related services rendered during fiscal years 2012 and 2011 on our behalf, as well as all expenses incurred in connection with these services, which have been or will be billed to us.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7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$1,282,445</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$1,121,633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Tax Fees</w:t>
            </w:r>
          </w:p>
        </w:tc>
        <w:tc>
          <w:tcPr>
            <w:tcW w:w="29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488,688</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460,897</w:t>
            </w:r>
          </w:p>
        </w:tc>
        <w:tc>
          <w:tcPr>
            <w:tcW w:w="100" w:type="dxa"/>
            <w:vAlign w:val="bottom"/>
          </w:tcPr>
          <w:p>
            <w:pPr>
              <w:spacing w:after="0"/>
              <w:rPr>
                <w:sz w:val="19"/>
                <w:szCs w:val="19"/>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1,771,133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1,582,530</w:t>
            </w:r>
          </w:p>
        </w:tc>
        <w:tc>
          <w:tcPr>
            <w:tcW w:w="10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color w:val="auto"/>
        </w:rPr>
        <w:t>In accordance with Securities and Exchange Commission (“SEC”) definitions and rules, “audit fees” are fees billed to the Company for professional services for the audit of the Company’s consolidated financial statements included in Form 10-K and review of financial statements included in Forms 10-Q, and for services that are normally provided by the accountant in connection with statutory and regulatory filings or engagements and “tax fees” are fees billed for tax compliance, tax advice and tax planning.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Audit Committee pre-approves all audit and permissible non-audit services to be provided to the Company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Representatives of PricewaterhouseCoopers LLP will not be present at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THIS PROPOSAL.</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Directors</w:t>
      </w:r>
    </w:p>
    <w:p>
      <w:pPr>
        <w:spacing w:after="0" w:line="177"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On September 4, 2012, Roderick R. Baty, Chairman of the Board and Chief Executive Officer announced that he would retire from his position as Chief Executive Officer prior to the Company’s 2013 Annual Meeting. At that time, or at the time his successor is identified and retained, Mr. Baty intends to step down from his position as Chief Executive Officer and from his position on the Board. As part of an existing written succession plan, the Board formed an executive search committee and engaged a firm to assist the committee in leading a comprehensive search to determine Mr. Baty’s successor. Both internal and external candidates have been considered. Mr. Baty will work with the Board to assure a smooth and successful transition. Upon Mr. Baty’s retirement, it is the intent of the Board to elect an independent director as Chairman of the Board. The Board may elect an interim independent Chairman until a successor is named.</w:t>
      </w:r>
    </w:p>
    <w:p>
      <w:pPr>
        <w:spacing w:after="0" w:line="10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On March 22, 2012, the Board approved an increase in the number of seats on the board from six to seven. Robert E. Brunner was appointed to the Board to fill the vacancy created by the addition of a board seat. As such, the Board currently consists of seven directors. The Board has determined that each of the directors and nominees, with the exception of Mr. Baty, qualifies as “independent” as defined by the NASDAQ rules. In making this determination, the Board has concluded that none of these directors has a relationship which, in the opinion of the Board, would interfere with the exercise of independent judgment in carrying out the responsibilities of a director.</w:t>
      </w:r>
    </w:p>
    <w:p>
      <w:pPr>
        <w:spacing w:after="0" w:line="14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 or nominee.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Director</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Since</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Expires</w:t>
            </w:r>
          </w:p>
        </w:tc>
        <w:tc>
          <w:tcPr>
            <w:tcW w:w="1580" w:type="dxa"/>
            <w:vAlign w:val="bottom"/>
          </w:tcPr>
          <w:p>
            <w:pPr>
              <w:spacing w:after="0"/>
              <w:rPr>
                <w:sz w:val="14"/>
                <w:szCs w:val="14"/>
                <w:color w:val="auto"/>
              </w:rPr>
            </w:pPr>
          </w:p>
        </w:tc>
        <w:tc>
          <w:tcPr>
            <w:tcW w:w="3120" w:type="dxa"/>
            <w:vAlign w:val="bottom"/>
            <w:gridSpan w:val="2"/>
          </w:tcPr>
          <w:p>
            <w:pPr>
              <w:ind w:left="40"/>
              <w:spacing w:after="0"/>
              <w:rPr>
                <w:sz w:val="20"/>
                <w:szCs w:val="20"/>
                <w:color w:val="auto"/>
              </w:rPr>
            </w:pPr>
            <w:r>
              <w:rPr>
                <w:rFonts w:ascii="Arial" w:cs="Arial" w:eastAsia="Arial" w:hAnsi="Arial"/>
                <w:sz w:val="14"/>
                <w:szCs w:val="14"/>
                <w:b w:val="1"/>
                <w:bCs w:val="1"/>
                <w:color w:val="auto"/>
              </w:rPr>
              <w:t>Positions with the Company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Fanelli</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2005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w:t>
            </w: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 nominee for re-election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260" w:type="dxa"/>
            <w:vAlign w:val="bottom"/>
          </w:tcPr>
          <w:p>
            <w:pPr>
              <w:jc w:val="right"/>
              <w:spacing w:after="0"/>
              <w:rPr>
                <w:sz w:val="20"/>
                <w:szCs w:val="20"/>
                <w:color w:val="auto"/>
              </w:rPr>
            </w:pPr>
            <w:r>
              <w:rPr>
                <w:rFonts w:ascii="Arial" w:cs="Arial" w:eastAsia="Arial" w:hAnsi="Arial"/>
                <w:sz w:val="18"/>
                <w:szCs w:val="18"/>
                <w:color w:val="auto"/>
              </w:rPr>
              <w:t>68</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1995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2013</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Director - nominee for re-election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1994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2014</w:t>
            </w: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60" w:type="dxa"/>
            <w:vAlign w:val="bottom"/>
          </w:tcPr>
          <w:p>
            <w:pPr>
              <w:jc w:val="right"/>
              <w:spacing w:after="0"/>
              <w:rPr>
                <w:sz w:val="20"/>
                <w:szCs w:val="20"/>
                <w:color w:val="auto"/>
              </w:rPr>
            </w:pPr>
            <w:r>
              <w:rPr>
                <w:rFonts w:ascii="Arial" w:cs="Arial" w:eastAsia="Arial" w:hAnsi="Arial"/>
                <w:sz w:val="18"/>
                <w:szCs w:val="18"/>
                <w:color w:val="auto"/>
              </w:rPr>
              <w:t>64</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1997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2014</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Brunner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2012</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w:t>
            </w: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2012</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2015</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R. Baty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1995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w:t>
            </w: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Chairman of the Board, Chief Executive Officer, President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b w:val="1"/>
          <w:bCs w:val="1"/>
          <w:color w:val="auto"/>
        </w:rPr>
        <w:t xml:space="preserve">Richard G. Fanelli </w:t>
      </w:r>
      <w:r>
        <w:rPr>
          <w:rFonts w:ascii="Arial" w:cs="Arial" w:eastAsia="Arial" w:hAnsi="Arial"/>
          <w:sz w:val="16"/>
          <w:szCs w:val="16"/>
          <w:color w:val="auto"/>
        </w:rPr>
        <w:t>has been a member of the Board since 2005. Mr. Fanelli retired in 2000 from Enthone-OMI, Inc., where he spent the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North America. Prior to this position, Mr. Fanelli held a variety of positions within Enthone-OMI, Inc. including positions in sales and marketing and general management.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ind w:right="500"/>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Director Nominee for Re-election Qualifications: </w:t>
      </w:r>
      <w:r>
        <w:rPr>
          <w:rFonts w:ascii="Arial" w:cs="Arial" w:eastAsia="Arial" w:hAnsi="Arial"/>
          <w:sz w:val="16"/>
          <w:szCs w:val="16"/>
          <w:color w:val="auto"/>
        </w:rPr>
        <w:t>A member of the Board since 2005, Mr. Fanelli brings considerable executive leadership and operational</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to the Board through his past senior executive positions as well as his broad knowledge of corporate governance practices.</w:t>
      </w:r>
    </w:p>
    <w:p>
      <w:pPr>
        <w:spacing w:after="0" w:line="79"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b w:val="1"/>
          <w:bCs w:val="1"/>
          <w:color w:val="auto"/>
        </w:rPr>
        <w:t xml:space="preserve">Michael E. Werner </w:t>
      </w:r>
      <w:r>
        <w:rPr>
          <w:rFonts w:ascii="Arial" w:cs="Arial" w:eastAsia="Arial" w:hAnsi="Arial"/>
          <w:sz w:val="18"/>
          <w:szCs w:val="18"/>
          <w:color w:val="auto"/>
        </w:rPr>
        <w:t>has been a member of the Board since 1995. Mr. Werner retired in 2009 from Werner &amp; Associates, a management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4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Director Nominee for Re-election Qualifications: </w:t>
      </w:r>
      <w:r>
        <w:rPr>
          <w:rFonts w:ascii="Arial" w:cs="Arial" w:eastAsia="Arial" w:hAnsi="Arial"/>
          <w:sz w:val="16"/>
          <w:szCs w:val="16"/>
          <w:color w:val="auto"/>
        </w:rPr>
        <w:t>A member of the Board since 1995, Mr. Werner’s strategic insight and knowledge of marketing and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processes developed through a consultant’s perspective has been, and continues to be, valuable to the Board.</w:t>
      </w:r>
    </w:p>
    <w:p>
      <w:pPr>
        <w:spacing w:after="0" w:line="79"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G. Ronald Morris </w:t>
      </w:r>
      <w:r>
        <w:rPr>
          <w:rFonts w:ascii="Arial" w:cs="Arial" w:eastAsia="Arial" w:hAnsi="Arial"/>
          <w:sz w:val="16"/>
          <w:szCs w:val="16"/>
          <w:color w:val="auto"/>
        </w:rPr>
        <w:t>has been a member of the Board since 1994. Mr. Morris retired in 1999 from Western Industries, Inc., a contract manufacturer of</w:t>
      </w:r>
      <w:r>
        <w:rPr>
          <w:rFonts w:ascii="Arial" w:cs="Arial" w:eastAsia="Arial" w:hAnsi="Arial"/>
          <w:sz w:val="16"/>
          <w:szCs w:val="16"/>
          <w:b w:val="1"/>
          <w:bCs w:val="1"/>
          <w:color w:val="auto"/>
        </w:rPr>
        <w:t xml:space="preserve"> </w:t>
      </w:r>
      <w:r>
        <w:rPr>
          <w:rFonts w:ascii="Arial" w:cs="Arial" w:eastAsia="Arial" w:hAnsi="Arial"/>
          <w:sz w:val="16"/>
          <w:szCs w:val="16"/>
          <w:color w:val="auto"/>
        </w:rPr>
        <w:t>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has extensive executive leadership and board experience with technology, precision metal, plastic and bearing manufacturers. He brings to the Board substantial knowledge and expertise in product development and global manufacturing. He also brings invaluable insight and perspective to the Company’s strategic development.</w:t>
      </w:r>
    </w:p>
    <w:p>
      <w:pPr>
        <w:spacing w:after="0" w:line="11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David L. Pugh</w:t>
      </w:r>
      <w:r>
        <w:rPr>
          <w:rFonts w:ascii="Arial" w:cs="Arial" w:eastAsia="Arial" w:hAnsi="Arial"/>
          <w:sz w:val="16"/>
          <w:szCs w:val="16"/>
          <w:color w:val="auto"/>
        </w:rPr>
        <w:t>, has been a member of the Board since 2012. Mr. Pugh retired in 2011 as President and Chief Executive Officer and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Applied Industrial Technologies (“Applied”), a leading distributor of industrial products and services. Mr. Pugh joined Applied in 1999 as President and Chief Operating Officer. Prior to joining Applied,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and Westinghouse Electric. Mr. Pugh serves on the board of directors of Hexcel Corporation, a publicly held company and a leading producer of advanced composites. Mr. Pugh also serves on the board of directors of R.W. Beckett Corporation, a premiere manufacturer of oil and gas burners. Mr. Pugh offers to the board valuable bearing experience and executive leadership as well as specialized operational experience in global bearing distribution. Additionally, Mr. Pugh brings to the Board his previous experience on the board of directors of a publicly held company.</w:t>
      </w:r>
    </w:p>
    <w:p>
      <w:pPr>
        <w:spacing w:after="0" w:line="113" w:lineRule="exact"/>
        <w:rPr>
          <w:sz w:val="20"/>
          <w:szCs w:val="20"/>
          <w:color w:val="auto"/>
        </w:rPr>
      </w:pPr>
    </w:p>
    <w:p>
      <w:pPr>
        <w:ind w:right="20" w:firstLine="913"/>
        <w:spacing w:after="0" w:line="303" w:lineRule="auto"/>
        <w:rPr>
          <w:sz w:val="20"/>
          <w:szCs w:val="20"/>
          <w:color w:val="auto"/>
        </w:rPr>
      </w:pPr>
      <w:r>
        <w:rPr>
          <w:rFonts w:ascii="Arial" w:cs="Arial" w:eastAsia="Arial" w:hAnsi="Arial"/>
          <w:sz w:val="15"/>
          <w:szCs w:val="15"/>
          <w:b w:val="1"/>
          <w:bCs w:val="1"/>
          <w:color w:val="auto"/>
        </w:rPr>
        <w:t xml:space="preserve">Steven T. Warshaw </w:t>
      </w:r>
      <w:r>
        <w:rPr>
          <w:rFonts w:ascii="Arial" w:cs="Arial" w:eastAsia="Arial" w:hAnsi="Arial"/>
          <w:sz w:val="15"/>
          <w:szCs w:val="15"/>
          <w:color w:val="auto"/>
        </w:rPr>
        <w:t>has been a member of the Board since 1997. Mr. Warshaw retired in 2005 from M Cubed Technologies, a developer and</w:t>
      </w:r>
      <w:r>
        <w:rPr>
          <w:rFonts w:ascii="Arial" w:cs="Arial" w:eastAsia="Arial" w:hAnsi="Arial"/>
          <w:sz w:val="15"/>
          <w:szCs w:val="15"/>
          <w:b w:val="1"/>
          <w:bCs w:val="1"/>
          <w:color w:val="auto"/>
        </w:rPr>
        <w:t xml:space="preserve"> </w:t>
      </w:r>
      <w:r>
        <w:rPr>
          <w:rFonts w:ascii="Arial" w:cs="Arial" w:eastAsia="Arial" w:hAnsi="Arial"/>
          <w:sz w:val="15"/>
          <w:szCs w:val="15"/>
          <w:color w:val="auto"/>
        </w:rPr>
        <w:t>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 Mr. Warshaw brings considerable executive experience as well as providing the benefit of service on the board of directors of a publicly traded company.</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Warshaw has extensive knowledge and brings insights and perspectives from positions he has held in important areas, including global operations, product development, marketing and executive compensation.</w:t>
      </w:r>
    </w:p>
    <w:p>
      <w:pPr>
        <w:spacing w:after="0" w:line="132" w:lineRule="exact"/>
        <w:rPr>
          <w:sz w:val="20"/>
          <w:szCs w:val="20"/>
          <w:color w:val="auto"/>
        </w:rPr>
      </w:pPr>
    </w:p>
    <w:p>
      <w:pPr>
        <w:ind w:right="160" w:firstLine="913"/>
        <w:spacing w:after="0" w:line="301" w:lineRule="auto"/>
        <w:rPr>
          <w:sz w:val="20"/>
          <w:szCs w:val="20"/>
          <w:color w:val="auto"/>
        </w:rPr>
      </w:pPr>
      <w:r>
        <w:rPr>
          <w:rFonts w:ascii="Arial" w:cs="Arial" w:eastAsia="Arial" w:hAnsi="Arial"/>
          <w:sz w:val="16"/>
          <w:szCs w:val="16"/>
          <w:b w:val="1"/>
          <w:bCs w:val="1"/>
          <w:color w:val="auto"/>
        </w:rPr>
        <w:t>Robert E. Brunner</w:t>
      </w:r>
      <w:r>
        <w:rPr>
          <w:rFonts w:ascii="Arial" w:cs="Arial" w:eastAsia="Arial" w:hAnsi="Arial"/>
          <w:sz w:val="16"/>
          <w:szCs w:val="16"/>
          <w:color w:val="auto"/>
        </w:rPr>
        <w:t>, has been a member of the Board since 2012. Mr. Brunner has served as Executive Vice President of Illinois Tool Works, Inc.,</w:t>
      </w:r>
      <w:r>
        <w:rPr>
          <w:rFonts w:ascii="Arial" w:cs="Arial" w:eastAsia="Arial" w:hAnsi="Arial"/>
          <w:sz w:val="16"/>
          <w:szCs w:val="16"/>
          <w:b w:val="1"/>
          <w:bCs w:val="1"/>
          <w:color w:val="auto"/>
        </w:rPr>
        <w:t xml:space="preserve"> </w:t>
      </w:r>
      <w:r>
        <w:rPr>
          <w:rFonts w:ascii="Arial" w:cs="Arial" w:eastAsia="Arial" w:hAnsi="Arial"/>
          <w:sz w:val="16"/>
          <w:szCs w:val="16"/>
          <w:color w:val="auto"/>
        </w:rPr>
        <w:t>an international manufacturer of highly engineered fasteners and components, equipment and consumable systems and specialty products, from 2006 until his retirement in 2011. Prior to this position, Mr. Brunner held the position of President, Global Automotive Fasteners from 2005 to 2006 and President, North American Automotive Fasteners from 2003 to 2005. Prior to this position, Mr. Brunner held a variety of positions within Illinois Tool</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0" w:name="page11"/>
    <w:bookmarkEnd w:id="10"/>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Works, Inc., including positions in general management, operations management and sales &amp; marketing. Mr. Brunner serves on the board of directors of Leggett &amp; Platt, Incorporated, a publicly held company and a diversified manufacturer of engineered components and products. Mr. Brunner brings to the Board broad industry knowledge, executive leadership experience and extensive experience with mergers and acquisitions. Additionally, his public company board experience is a valuable asset to the Board.</w:t>
      </w:r>
    </w:p>
    <w:p>
      <w:pPr>
        <w:spacing w:after="0" w:line="13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b w:val="1"/>
          <w:bCs w:val="1"/>
          <w:color w:val="auto"/>
        </w:rPr>
        <w:t xml:space="preserve">Roderick R. Baty </w:t>
      </w:r>
      <w:r>
        <w:rPr>
          <w:rFonts w:ascii="Arial" w:cs="Arial" w:eastAsia="Arial" w:hAnsi="Arial"/>
          <w:sz w:val="18"/>
          <w:szCs w:val="18"/>
          <w:color w:val="auto"/>
        </w:rPr>
        <w:t>became President and Chief Executive Officer of the Company in July 1997 and has been a member of the Board since 1995.</w:t>
      </w:r>
      <w:r>
        <w:rPr>
          <w:rFonts w:ascii="Arial" w:cs="Arial" w:eastAsia="Arial" w:hAnsi="Arial"/>
          <w:sz w:val="18"/>
          <w:szCs w:val="18"/>
          <w:b w:val="1"/>
          <w:bCs w:val="1"/>
          <w:color w:val="auto"/>
        </w:rPr>
        <w:t xml:space="preserve"> </w:t>
      </w:r>
      <w:r>
        <w:rPr>
          <w:rFonts w:ascii="Arial" w:cs="Arial" w:eastAsia="Arial" w:hAnsi="Arial"/>
          <w:sz w:val="18"/>
          <w:szCs w:val="18"/>
          <w:color w:val="auto"/>
        </w:rPr>
        <w:t>Mr. Baty was elected Chairman of the Board in September 2001. He joined the Company in July 1995 as Vice President and Chief Financial Officer and was elected to the Board to fill a vacant seat in August 1995. Prior to joining the Company, Mr. Baty served as President and Chief Operating Officer of Hoover Precision Products from 1990 to January 1995 and as Vice President and General Manager of Hoover Group from 1985 to 1990. Mr. Baty serves on the Board of Alamo Group, Inc., a publicly held company. Mr. Baty brings leadership and strategic experience to the Board through his past senior executive positions and his long-term services as our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Directors who are not employees of the Company are paid an annual retainer of $30,000 and a fee of $1,500 for each Board meeting attended, $1,000 for each committee meeting attended, and $500 for each teleconference meeting attended. Additionally, the Chair of the Audit Committee is paid an annual retainer of $9,000 and the Chair of the Governance Committee and the Chair of the Compensation Committee are paid an annual retainer of $5,000, respectively. Directors who are employees of the Company do not receive any compensation for their service as directors. Directors may elect to defer some or all of the compensation they are provided by the Company. Additionally, the Compensation Committee has from time to time granted stock options to the non-employee directors. The Company also reimburses all directors for out-of-pocket expenses incurred in attending Board and committee meetings. Director compensation is reviewed and approved by the Compensation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Fees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Earned</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Non-equity</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or Paid</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Compen-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 Cash</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Compensa-</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sation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54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4"/>
                <w:szCs w:val="14"/>
                <w:color w:val="auto"/>
              </w:rPr>
            </w:pPr>
          </w:p>
        </w:tc>
        <w:tc>
          <w:tcPr>
            <w:tcW w:w="5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11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tion ($)</w:t>
            </w:r>
          </w:p>
        </w:tc>
        <w:tc>
          <w:tcPr>
            <w:tcW w:w="13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Earnings ($)</w:t>
            </w: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30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M. Aiken, Jr.</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49,000</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28,480</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31,171</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Fanelli</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65,000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28,352</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31,171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14,248</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70,000</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28,352</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31,171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21,288</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28,500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27,328</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31,171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56,000</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28,352</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31,171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Werner</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62,000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28,352</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31,171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10,812</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Financial Accounting Standards Board (“FASB”) Accounting Standards Codification (“ASC”) Topic 718, of 3,200 restricted shares of stock awarded Messrs. Fanelli, Morris, Warshaw and Werner. On March 21, 2012, the Company awarded 72,100 restricted shares to four non-employee directors and six executive officers and other key employees. These shares vest over a period of three years beginning on the first anniversary of the date of grant. On March 22, 2012, 3,200 restricted shares of stock were awarded Mr. Brunner upon his appointment to the Board and on May 17, 2012, 3,200 restricted shares of stock were awarded Mr. Pugh upon his election to the Board.</w:t>
      </w:r>
    </w:p>
    <w:p>
      <w:pPr>
        <w:spacing w:after="0" w:line="2" w:lineRule="exact"/>
        <w:rPr>
          <w:rFonts w:ascii="Arial" w:cs="Arial" w:eastAsia="Arial" w:hAnsi="Arial"/>
          <w:sz w:val="16"/>
          <w:szCs w:val="16"/>
          <w:color w:val="auto"/>
        </w:rPr>
      </w:pPr>
    </w:p>
    <w:p>
      <w:pPr>
        <w:ind w:left="460" w:right="44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as computed in accordance with the FASB ASC Topic 718, of 7,300 options to purchase the Company’s stock awarded Messrs. Fanelli, Morris, Warshaw and Werner. On March 21, 2012, the Company awarded 270,700 options to purchase the Company’s stock to four non-employee directors and six executive officers and other key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left="460" w:right="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On March 22, 2012, 7,300 options to purchase the Company’s stock were awarded Mr. Brunner upon his appointment to the Board and on May 17, 2012, 7,300 options to purchase the Company’s stock were awarded Mr. Pugh upon his election to the Board. The options granted to directors vest 100% on the first anniversary of the date of grant. The assumptions used to calculate the value of these option awards are set forth under Note 9 of the Notes to Consolidated Financial Statements included in the Company’s Annual Report on Form 10-K for the year ended December 31, 2012, filed with the Commission on March 15, 2013.</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Aiken passed away on March 10, 2012.</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information with respect to nonqualified deferred compensation during 2012.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Director</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Registrant</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Aggregate</w:t>
            </w: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Aggregate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2"/>
                <w:szCs w:val="12"/>
                <w:color w:val="auto"/>
              </w:rPr>
            </w:pPr>
          </w:p>
        </w:tc>
        <w:tc>
          <w:tcPr>
            <w:tcW w:w="14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Contributions</w:t>
            </w: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6"/>
              </w:rPr>
              <w:t>Earnings in</w:t>
            </w: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Withdrawals/Distri-</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Balance at Last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14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 xml:space="preserve">in Last FY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in Last FY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6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2"/>
              </w:rPr>
              <w:t xml:space="preserve">Last FY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7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butions ($)</w:t>
            </w:r>
          </w:p>
        </w:tc>
        <w:tc>
          <w:tcPr>
            <w:tcW w:w="10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5"/>
              </w:rPr>
              <w:t>FYE ($)</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E. Brunner</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0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14,248</w:t>
            </w:r>
          </w:p>
        </w:tc>
        <w:tc>
          <w:tcPr>
            <w:tcW w:w="580" w:type="dxa"/>
            <w:vAlign w:val="bottom"/>
          </w:tcPr>
          <w:p>
            <w:pPr>
              <w:spacing w:after="0"/>
              <w:rPr>
                <w:sz w:val="18"/>
                <w:szCs w:val="18"/>
                <w:color w:val="auto"/>
              </w:rPr>
            </w:pPr>
          </w:p>
        </w:tc>
        <w:tc>
          <w:tcPr>
            <w:tcW w:w="17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21,288</w:t>
            </w:r>
          </w:p>
        </w:tc>
        <w:tc>
          <w:tcPr>
            <w:tcW w:w="5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10,812</w:t>
            </w:r>
          </w:p>
        </w:tc>
        <w:tc>
          <w:tcPr>
            <w:tcW w:w="580" w:type="dxa"/>
            <w:vAlign w:val="bottom"/>
          </w:tcPr>
          <w:p>
            <w:pPr>
              <w:spacing w:after="0"/>
              <w:rPr>
                <w:sz w:val="19"/>
                <w:szCs w:val="19"/>
                <w:color w:val="auto"/>
              </w:rPr>
            </w:pPr>
          </w:p>
        </w:tc>
        <w:tc>
          <w:tcPr>
            <w:tcW w:w="17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560" w:firstLine="913"/>
        <w:spacing w:after="0" w:line="256"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consists of G. Ronald Morris who serves as Chair, Steven T. Warshaw, David L. Pugh and Robert E.</w:t>
      </w:r>
      <w:r>
        <w:rPr>
          <w:rFonts w:ascii="Arial" w:cs="Arial" w:eastAsia="Arial" w:hAnsi="Arial"/>
          <w:sz w:val="18"/>
          <w:szCs w:val="18"/>
          <w:i w:val="1"/>
          <w:iCs w:val="1"/>
          <w:color w:val="auto"/>
        </w:rPr>
        <w:t xml:space="preserve"> </w:t>
      </w:r>
      <w:r>
        <w:rPr>
          <w:rFonts w:ascii="Arial" w:cs="Arial" w:eastAsia="Arial" w:hAnsi="Arial"/>
          <w:sz w:val="18"/>
          <w:szCs w:val="18"/>
          <w:color w:val="auto"/>
        </w:rPr>
        <w:t>Brunner. All members of the Audit Committee are independent as defined by NASDAQ rules and Mr. Morris has been designated as the “audit committee financial expert” as defined by Item 407(d) of Regulation S-K. Among other matters described in its charter, the Audit Committee’s primary duties and responsibilities are to:</w:t>
      </w:r>
    </w:p>
    <w:p>
      <w:pPr>
        <w:spacing w:after="0" w:line="62" w:lineRule="exact"/>
        <w:rPr>
          <w:sz w:val="20"/>
          <w:szCs w:val="20"/>
          <w:color w:val="auto"/>
        </w:rPr>
      </w:pPr>
    </w:p>
    <w:p>
      <w:pPr>
        <w:ind w:left="1480" w:right="58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 that management has maintained the reliability and integrity of the accounting policies and financial reporting and disclosure practices of the Company;</w:t>
      </w:r>
    </w:p>
    <w:p>
      <w:pPr>
        <w:spacing w:after="0" w:line="50" w:lineRule="exact"/>
        <w:rPr>
          <w:rFonts w:ascii="Arial" w:cs="Arial" w:eastAsia="Arial" w:hAnsi="Arial"/>
          <w:sz w:val="18"/>
          <w:szCs w:val="18"/>
          <w:color w:val="auto"/>
        </w:rPr>
      </w:pPr>
    </w:p>
    <w:p>
      <w:pPr>
        <w:ind w:left="1480" w:right="220" w:hanging="446"/>
        <w:spacing w:after="0" w:line="332"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4" w:lineRule="exact"/>
        <w:rPr>
          <w:rFonts w:ascii="Arial" w:cs="Arial" w:eastAsia="Arial" w:hAnsi="Arial"/>
          <w:sz w:val="16"/>
          <w:szCs w:val="16"/>
          <w:color w:val="auto"/>
        </w:rPr>
      </w:pPr>
    </w:p>
    <w:p>
      <w:pPr>
        <w:ind w:left="1480" w:right="2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by the Company with all applicable laws, regulations and corporate policies including the Code of Conduct and Ethics statement;</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the registered independent public accounting firm to conduct the annual audit of the books and accounts of the Company, including the preapproval of all associated fees;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 that management has designed, implemented and maintains processes to assess and manage enterprise and event risk;</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the effectiveness of accounting and financial controls of the Company with the registered independent public accounting firm;</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annual audit and quarterly financial statements of the Company;</w:t>
      </w:r>
    </w:p>
    <w:p>
      <w:pPr>
        <w:spacing w:after="0" w:line="113" w:lineRule="exact"/>
        <w:rPr>
          <w:rFonts w:ascii="Arial" w:cs="Arial" w:eastAsia="Arial" w:hAnsi="Arial"/>
          <w:sz w:val="16"/>
          <w:szCs w:val="16"/>
          <w:color w:val="auto"/>
        </w:rPr>
      </w:pPr>
    </w:p>
    <w:p>
      <w:pPr>
        <w:ind w:left="1480" w:right="6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the Annual Report Form 10K and in the quarterly reports on form 10Q;</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earnings press releases;</w:t>
      </w:r>
    </w:p>
    <w:p>
      <w:pPr>
        <w:spacing w:after="0" w:line="90" w:lineRule="exact"/>
        <w:rPr>
          <w:rFonts w:ascii="Arial" w:cs="Arial" w:eastAsia="Arial" w:hAnsi="Arial"/>
          <w:sz w:val="18"/>
          <w:szCs w:val="18"/>
          <w:color w:val="auto"/>
        </w:rPr>
      </w:pPr>
    </w:p>
    <w:p>
      <w:pPr>
        <w:ind w:left="1480" w:right="70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132"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The Audit Committee met five times in 2012.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firstLine="913"/>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r>
        <w:rPr>
          <w:rFonts w:ascii="Arial" w:cs="Arial" w:eastAsia="Arial" w:hAnsi="Arial"/>
          <w:sz w:val="18"/>
          <w:szCs w:val="18"/>
          <w:color w:val="auto"/>
        </w:rPr>
        <w:t>. The Compensation Committee consists of Steven T. Warshaw who serves as Chair, Michael E. Werner, Richard G. Fanelli</w:t>
      </w:r>
      <w:r>
        <w:rPr>
          <w:rFonts w:ascii="Arial" w:cs="Arial" w:eastAsia="Arial" w:hAnsi="Arial"/>
          <w:sz w:val="18"/>
          <w:szCs w:val="18"/>
          <w:i w:val="1"/>
          <w:iCs w:val="1"/>
          <w:color w:val="auto"/>
        </w:rPr>
        <w:t xml:space="preserve"> </w:t>
      </w:r>
      <w:r>
        <w:rPr>
          <w:rFonts w:ascii="Arial" w:cs="Arial" w:eastAsia="Arial" w:hAnsi="Arial"/>
          <w:sz w:val="18"/>
          <w:szCs w:val="18"/>
          <w:color w:val="auto"/>
        </w:rPr>
        <w:t>and David L. Pugh. All members of the Compensation Committee are independent as defined by NASDAQ rules. Among other matters described in its charter, the Compensation Committee’s primary duties and responsibilities are to:</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annually review and approve corporate goals and objectives relative to the Chief Executive Officer evaluation, compensation and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the Company’s executive compensation policies and practices;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supervise the administration of the Company’s employee benefit plans, including the 2005 NN, Inc. Stock Incentive Plan and the 2011 Stock Incentive Plan;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or senior executive compensation;</w:t>
      </w:r>
    </w:p>
    <w:p>
      <w:pPr>
        <w:spacing w:after="0" w:line="113" w:lineRule="exact"/>
        <w:rPr>
          <w:rFonts w:ascii="Arial" w:cs="Arial" w:eastAsia="Arial" w:hAnsi="Arial"/>
          <w:sz w:val="16"/>
          <w:szCs w:val="16"/>
          <w:color w:val="auto"/>
        </w:rPr>
      </w:pPr>
    </w:p>
    <w:p>
      <w:pPr>
        <w:ind w:left="900" w:right="40" w:hanging="325"/>
        <w:spacing w:after="0" w:line="28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w:t>
      </w:r>
    </w:p>
    <w:p>
      <w:pPr>
        <w:ind w:left="900"/>
        <w:spacing w:after="0"/>
        <w:rPr>
          <w:rFonts w:ascii="Arial" w:cs="Arial" w:eastAsia="Arial" w:hAnsi="Arial"/>
          <w:sz w:val="16"/>
          <w:szCs w:val="16"/>
          <w:color w:val="auto"/>
        </w:rPr>
      </w:pPr>
      <w:r>
        <w:rPr>
          <w:rFonts w:ascii="Arial" w:cs="Arial" w:eastAsia="Arial" w:hAnsi="Arial"/>
          <w:sz w:val="18"/>
          <w:szCs w:val="18"/>
          <w:color w:val="auto"/>
        </w:rPr>
        <w:t>(e) special or supplemental benefits;</w:t>
      </w:r>
    </w:p>
    <w:p>
      <w:pPr>
        <w:spacing w:after="0" w:line="83"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annually the risks that arise from the Company’s compensation policies and determine whether such risks are reasonably likely to have a material adverse effect on the Company;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assess the Company’s senior management succession plan on an annual basis.</w:t>
      </w:r>
    </w:p>
    <w:p>
      <w:pPr>
        <w:spacing w:after="0" w:line="17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www.nnbr.com.</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three times in 2012.</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Governance Committee</w:t>
      </w:r>
      <w:r>
        <w:rPr>
          <w:rFonts w:ascii="Arial" w:cs="Arial" w:eastAsia="Arial" w:hAnsi="Arial"/>
          <w:sz w:val="18"/>
          <w:szCs w:val="18"/>
          <w:color w:val="auto"/>
        </w:rPr>
        <w:t>. The Governance Committee was formed in 2002. The Committee consists of Richard G. Fanelli who serves as Chair, Michael E.</w:t>
      </w:r>
      <w:r>
        <w:rPr>
          <w:rFonts w:ascii="Arial" w:cs="Arial" w:eastAsia="Arial" w:hAnsi="Arial"/>
          <w:sz w:val="18"/>
          <w:szCs w:val="18"/>
          <w:i w:val="1"/>
          <w:iCs w:val="1"/>
          <w:color w:val="auto"/>
        </w:rPr>
        <w:t xml:space="preserve"> </w:t>
      </w:r>
      <w:r>
        <w:rPr>
          <w:rFonts w:ascii="Arial" w:cs="Arial" w:eastAsia="Arial" w:hAnsi="Arial"/>
          <w:sz w:val="18"/>
          <w:szCs w:val="18"/>
          <w:color w:val="auto"/>
        </w:rPr>
        <w:t>Werner, G. Ronald Morris and Robert E. Brunner. All members of the Governance Committee are independent as defined by NASDAQ rules. Among other matters as provided in its charter, the Governance Committee’s primary duties and responsibilities are to:</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recommend qualified candidates for membership on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procedures for the retirement or replacement of Board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 candidate’s qualifications and any potential conflicts with the Company’s interests;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 the contributions and qualifications of current Directors in connection with their re-nomination to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maintain a set of the Company’s Governance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shareholders. 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and international operations, among other things.</w:t>
      </w:r>
    </w:p>
    <w:p>
      <w:pPr>
        <w:spacing w:after="0" w:line="120"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Governance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Although diversity is a consideration in the Committee’s consideration of candidates, the Company does not have a formal policy regarding diversity. The Company does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ind w:right="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www.nnbr.com. The Governance Committee met four times in 2012.</w:t>
      </w:r>
    </w:p>
    <w:p>
      <w:pPr>
        <w:spacing w:after="0" w:line="10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Shareholders who wish to recommend director candidates for the 2014 Annual Meeting of Shareholders should notify the Secretary in writing at NN, Inc., 2000 Waters Edge Drive, Building C, Suite 12, Johnson City, Tennessee 37604. This notification must be received by the Company by December 5, 2013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2014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Arial" w:cs="Arial" w:eastAsia="Arial" w:hAnsi="Arial"/>
          <w:sz w:val="16"/>
          <w:szCs w:val="16"/>
          <w:i w:val="1"/>
          <w:iCs w:val="1"/>
          <w:color w:val="auto"/>
        </w:rPr>
        <w:t>www.nnbr.com</w:t>
      </w:r>
      <w:r>
        <w:rPr>
          <w:rFonts w:ascii="Arial" w:cs="Arial" w:eastAsia="Arial" w:hAnsi="Arial"/>
          <w:sz w:val="16"/>
          <w:szCs w:val="16"/>
          <w:color w:val="auto"/>
        </w:rPr>
        <w:t>. The Governance Committee will evaluate any director candidate nominated by shareholders according to the criteria discussed above and,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results of that evaluation, will determine whether to include the candidate in its recommended slate of director nominees in the Proxy Statement. No shareholder or group of shareholders who beneficially owned more than 5% of the Common Stock for at least one year at the time of such recommendation have recommended candidates for election to the Board.</w:t>
      </w:r>
    </w:p>
    <w:p>
      <w:pPr>
        <w:spacing w:after="0" w:line="12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Company retains discretion to vote proxies it receives with respect to director nominations or any other business proposals received after December 5, 2013. The Company retains discretion to vote proxies it receives with respect to such proposals received prior to December 5, 2013 provided (a) the Company includes in its proxy statement advice on the nature of the proposal and how it intends to exercise its voting discretion, and (b) the proponent does not issue its own proxy statement.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current membership of each Committee of the Board: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60" w:type="dxa"/>
            <w:vAlign w:val="bottom"/>
            <w:vMerge w:val="restart"/>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Audit</w:t>
            </w: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Compensation</w:t>
            </w: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3"/>
              </w:rPr>
              <w:t>Governance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Search</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360" w:type="dxa"/>
            <w:vAlign w:val="bottom"/>
            <w:vMerge w:val="continue"/>
          </w:tcPr>
          <w:p>
            <w:pPr>
              <w:spacing w:after="0"/>
              <w:rPr>
                <w:sz w:val="14"/>
                <w:szCs w:val="14"/>
                <w:color w:val="auto"/>
              </w:rPr>
            </w:pPr>
          </w:p>
        </w:tc>
        <w:tc>
          <w:tcPr>
            <w:tcW w:w="12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5"/>
              </w:rPr>
              <w:t>Committee</w:t>
            </w:r>
          </w:p>
        </w:tc>
        <w:tc>
          <w:tcPr>
            <w:tcW w:w="144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99"/>
              </w:rPr>
              <w:t>Committee</w:t>
            </w:r>
          </w:p>
        </w:tc>
        <w:tc>
          <w:tcPr>
            <w:tcW w:w="13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Committee</w:t>
            </w:r>
          </w:p>
        </w:tc>
        <w:tc>
          <w:tcPr>
            <w:tcW w:w="7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Committee</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E. Brunner</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X</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Chair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Chair</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X</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X</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X</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X</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Chair</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X</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X</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Board also forms special committees and subcommittees from time to time, such as an executive search committee, which was formed in 2012 to lead the search for a new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Board is responsible for overseeing that the business of the Company is managed to meet the Company’s strategic goals and objectives and that the long-term interests of shareholders are served. The Board’s leadership structure includes very active and engaged independent directors. The Chairman of the Governance Committee approves the agenda for each Board meeting and presides over each executive session of independent directors which is held at each Board meeting. Each of the committees of the Board are chaired and comprised solely of independent Board members.</w:t>
      </w:r>
    </w:p>
    <w:p>
      <w:pPr>
        <w:spacing w:after="0" w:line="113"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Roderick Baty currently serves as both the Chairman of the Board and the President and Chief Executive Officer of the Company. As Chief Executive Officer, Mr. Baty is closely involved in the day-to-day operations of the Company. The Board feels that due to this close involvement, Mr. Baty’s comprehensive knowledge of the Company’s business and industry and his ability to develop and implement strategic initiatives puts him in the best position to assess and evaluate critical strategic and business issues for further consideration and action by the independent Board given the size of the Company and the Board. Upon Mr. Baty’s retirement, the Board intends to elect an independent director as chairman.</w:t>
      </w:r>
    </w:p>
    <w:p>
      <w:pPr>
        <w:spacing w:after="0" w:line="11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current leadership structure does not include a lead director, as the Board believes the current structure promotes a high level of open communication and involvement of all the Board’s independent members and committees and provides an effective balance for the management of the Company in the best interests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Oversight of Risk</w:t>
      </w:r>
    </w:p>
    <w:p>
      <w:pPr>
        <w:spacing w:after="0" w:line="9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Chairman and CEO, as well as various management personnel, regularly discuss material risks facing the Company with the Board members. The Company’s Vice President and Chief Compliance Officer is responsible for corporate risk management and reports directly to the Audit Committee on financial, accounting and regulatory matters.</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Board and its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Board has delegated certain risk management responsibility to the Board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the accounting policies and financial reporting and disclosures of the Company. The Governance Committee is responsible for the oversight of corporate governance and the selection of the candidates for the Board and the evaluation of the Board members. The Compensation Committee is responsible for evaluating, approving and monitoring the executive compensation plans, policies and programs of the Company and to oversee other significant human resource issues. Additionally, the Compensation Committee is responsible for reviewing and overseeing the management of any risk related to the Company’s compensation plans, policies and programs. The Compensation Committee reviews such risks annually and in connection with discussions of various compensation developments and benefits throughout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9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Board held eight meetings in 2012. All current directors attended at least 75% of the aggregate of the total number of meetings of the Board and the total number of meetings held by all committees of the Board on which they served. While the Company does not have a policy requiring attendance by directors at the Annual Meeting, all of the current directors, attended the 2012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96"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Interested parties may contact the Board by sending correspondence to NN, Inc., Attention: Secretary, 2000 Waters Edge Drive, Building C, Suite 12, Johnson City, Tennessee 37604. Any mail received by the Secretary with the exception of improper commercial solicitations will be forwarded to the members of the Board (or committee members, as appropriate) for their further action, if necessary.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7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following table shows, as of March 22, 2013, the beneficial ownership of Common Stock by each director and nominee, each Named Executive Officer, and all directors and executive officers as a group, in each case as reported to the Company by such persons.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4"/>
        </w:trPr>
        <w:tc>
          <w:tcPr>
            <w:tcW w:w="40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120" w:type="dxa"/>
            <w:vAlign w:val="bottom"/>
            <w:gridSpan w:val="2"/>
          </w:tcPr>
          <w:p>
            <w:pPr>
              <w:jc w:val="right"/>
              <w:ind w:right="940"/>
              <w:spacing w:after="0" w:line="135" w:lineRule="exact"/>
              <w:rPr>
                <w:sz w:val="20"/>
                <w:szCs w:val="20"/>
                <w:color w:val="auto"/>
              </w:rPr>
            </w:pPr>
            <w:r>
              <w:rPr>
                <w:rFonts w:ascii="Arial" w:cs="Arial" w:eastAsia="Arial" w:hAnsi="Arial"/>
                <w:sz w:val="14"/>
                <w:szCs w:val="14"/>
                <w:b w:val="1"/>
                <w:bCs w:val="1"/>
                <w:color w:val="auto"/>
                <w:w w:val="96"/>
              </w:rPr>
              <w:t>Number of Shares</w:t>
            </w:r>
          </w:p>
        </w:tc>
        <w:tc>
          <w:tcPr>
            <w:tcW w:w="1900" w:type="dxa"/>
            <w:vAlign w:val="bottom"/>
            <w:gridSpan w:val="3"/>
          </w:tcPr>
          <w:p>
            <w:pPr>
              <w:jc w:val="center"/>
              <w:ind w:left="175"/>
              <w:spacing w:after="0" w:line="135"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Beneficial Owner (1)</w:t>
            </w:r>
          </w:p>
        </w:tc>
        <w:tc>
          <w:tcPr>
            <w:tcW w:w="2700" w:type="dxa"/>
            <w:vAlign w:val="bottom"/>
            <w:gridSpan w:val="3"/>
          </w:tcPr>
          <w:p>
            <w:pPr>
              <w:jc w:val="right"/>
              <w:ind w:right="820"/>
              <w:spacing w:after="0" w:line="129" w:lineRule="exact"/>
              <w:rPr>
                <w:sz w:val="20"/>
                <w:szCs w:val="20"/>
                <w:color w:val="auto"/>
              </w:rPr>
            </w:pPr>
            <w:r>
              <w:rPr>
                <w:rFonts w:ascii="Arial" w:cs="Arial" w:eastAsia="Arial" w:hAnsi="Arial"/>
                <w:sz w:val="14"/>
                <w:szCs w:val="14"/>
                <w:b w:val="1"/>
                <w:bCs w:val="1"/>
                <w:color w:val="auto"/>
              </w:rPr>
              <w:t>Beneficially Owned (2)</w:t>
            </w:r>
          </w:p>
        </w:tc>
        <w:tc>
          <w:tcPr>
            <w:tcW w:w="1700" w:type="dxa"/>
            <w:vAlign w:val="bottom"/>
            <w:gridSpan w:val="2"/>
          </w:tcPr>
          <w:p>
            <w:pPr>
              <w:jc w:val="center"/>
              <w:ind w:left="415"/>
              <w:spacing w:after="0" w:line="129"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Roderick R. Baty</w:t>
            </w:r>
          </w:p>
        </w:tc>
        <w:tc>
          <w:tcPr>
            <w:tcW w:w="58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287,295(3)</w:t>
            </w: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2700" w:type="dxa"/>
            <w:vAlign w:val="bottom"/>
            <w:gridSpan w:val="3"/>
          </w:tcPr>
          <w:p>
            <w:pPr>
              <w:jc w:val="right"/>
              <w:ind w:right="600"/>
              <w:spacing w:after="0"/>
              <w:rPr>
                <w:sz w:val="20"/>
                <w:szCs w:val="20"/>
                <w:color w:val="auto"/>
              </w:rPr>
            </w:pPr>
            <w:r>
              <w:rPr>
                <w:rFonts w:ascii="Arial" w:cs="Arial" w:eastAsia="Arial" w:hAnsi="Arial"/>
                <w:sz w:val="18"/>
                <w:szCs w:val="18"/>
                <w:color w:val="auto"/>
              </w:rPr>
              <w:t>102,600(4)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T. Gentry III</w:t>
            </w:r>
          </w:p>
        </w:tc>
        <w:tc>
          <w:tcPr>
            <w:tcW w:w="2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134,961(5)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2700" w:type="dxa"/>
            <w:vAlign w:val="bottom"/>
            <w:gridSpan w:val="3"/>
          </w:tcPr>
          <w:p>
            <w:pPr>
              <w:jc w:val="right"/>
              <w:ind w:right="600"/>
              <w:spacing w:after="0"/>
              <w:rPr>
                <w:sz w:val="20"/>
                <w:szCs w:val="20"/>
                <w:color w:val="auto"/>
              </w:rPr>
            </w:pPr>
            <w:r>
              <w:rPr>
                <w:rFonts w:ascii="Arial" w:cs="Arial" w:eastAsia="Arial" w:hAnsi="Arial"/>
                <w:sz w:val="18"/>
                <w:szCs w:val="18"/>
                <w:color w:val="auto"/>
              </w:rPr>
              <w:t>62,085(6)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2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18,266(7)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700" w:type="dxa"/>
            <w:vAlign w:val="bottom"/>
            <w:gridSpan w:val="3"/>
          </w:tcPr>
          <w:p>
            <w:pPr>
              <w:jc w:val="right"/>
              <w:ind w:right="600"/>
              <w:spacing w:after="0"/>
              <w:rPr>
                <w:sz w:val="20"/>
                <w:szCs w:val="20"/>
                <w:color w:val="auto"/>
              </w:rPr>
            </w:pPr>
            <w:r>
              <w:rPr>
                <w:rFonts w:ascii="Arial" w:cs="Arial" w:eastAsia="Arial" w:hAnsi="Arial"/>
                <w:sz w:val="18"/>
                <w:szCs w:val="18"/>
                <w:color w:val="auto"/>
              </w:rPr>
              <w:t>10,500(8)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Fanelli</w:t>
            </w:r>
          </w:p>
        </w:tc>
        <w:tc>
          <w:tcPr>
            <w:tcW w:w="2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66,700(9)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2700" w:type="dxa"/>
            <w:vAlign w:val="bottom"/>
            <w:gridSpan w:val="3"/>
          </w:tcPr>
          <w:p>
            <w:pPr>
              <w:jc w:val="right"/>
              <w:ind w:right="520"/>
              <w:spacing w:after="0"/>
              <w:rPr>
                <w:sz w:val="20"/>
                <w:szCs w:val="20"/>
                <w:color w:val="auto"/>
              </w:rPr>
            </w:pPr>
            <w:r>
              <w:rPr>
                <w:rFonts w:ascii="Arial" w:cs="Arial" w:eastAsia="Arial" w:hAnsi="Arial"/>
                <w:sz w:val="18"/>
                <w:szCs w:val="18"/>
                <w:color w:val="auto"/>
              </w:rPr>
              <w:t>119,700(10)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2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10,500(11)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700" w:type="dxa"/>
            <w:vAlign w:val="bottom"/>
            <w:gridSpan w:val="3"/>
          </w:tcPr>
          <w:p>
            <w:pPr>
              <w:jc w:val="right"/>
              <w:ind w:right="520"/>
              <w:spacing w:after="0"/>
              <w:rPr>
                <w:sz w:val="20"/>
                <w:szCs w:val="20"/>
                <w:color w:val="auto"/>
              </w:rPr>
            </w:pPr>
            <w:r>
              <w:rPr>
                <w:rFonts w:ascii="Arial" w:cs="Arial" w:eastAsia="Arial" w:hAnsi="Arial"/>
                <w:sz w:val="18"/>
                <w:szCs w:val="18"/>
                <w:color w:val="auto"/>
              </w:rPr>
              <w:t>96,700(12)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Werner</w:t>
            </w:r>
          </w:p>
        </w:tc>
        <w:tc>
          <w:tcPr>
            <w:tcW w:w="2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99,987(13)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(13</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persons)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1,161,010</w:t>
            </w:r>
          </w:p>
        </w:tc>
        <w:tc>
          <w:tcPr>
            <w:tcW w:w="800" w:type="dxa"/>
            <w:vAlign w:val="bottom"/>
          </w:tcPr>
          <w:p>
            <w:pPr>
              <w:spacing w:after="0"/>
              <w:rPr>
                <w:sz w:val="19"/>
                <w:szCs w:val="19"/>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address of the beneficial owner is c/o NN, Inc., 2000 Waters Edge Drive, Building C, Suite 12, Johnson City, Tennessee 37604.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March 22, 2013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216,500 shares of Common Stock subject to presently exercisable options and 13,600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78,500 shares of Common Stock subject to presently exercisable options and 8,400 shares of restricted stock.</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96,800 shares of Common Stock subject to presently exercisable options, 8,400 shares of restricted stock and 8,561 shares of Common Stock owned by Mr. Gentry’s spouse.</w:t>
      </w:r>
    </w:p>
    <w:p>
      <w:pPr>
        <w:ind w:left="460" w:right="2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40,000 shares of Common Stock subject to presently exercisable options and 6,266 shares of restricted stock and 685 shares of Common Stock owned by Mr. Hodge’s spouse.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12,000 shares of Common Stock subject to presently exercisable options and 6,266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7,300 shares of Common Stock subject to presently exercisable options and 3,200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48,300 shares of Common Stock subject to presently exercisable options and 4,266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78,300 shares of Common Stock subject to presently exercisable options and 4,266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7,300 shares of Common Stock subject to presently exercisable options and 3,200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78,300 shares of Common Stock subject to presently exercisable options and 4,266 shares of restricted stock.</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78,300 shares of Common Stock subject to presently exercisable options, 4,266 shares of restricted stock and 5,287 shares of Common Stock owned by Mr. Werner’s spouse.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96"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The following table sets forth the number of shares of the Company’s Common Stock beneficially owned by the only parties known to the Company’s management to own more than 5% of the Company’s Common Stock, as of March 22, 2013 and based on 17,038,999 shares of Common Stock outstanding.</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4"/>
        </w:trPr>
        <w:tc>
          <w:tcPr>
            <w:tcW w:w="530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2380" w:type="dxa"/>
            <w:vAlign w:val="bottom"/>
            <w:gridSpan w:val="2"/>
          </w:tcPr>
          <w:p>
            <w:pPr>
              <w:jc w:val="right"/>
              <w:ind w:right="1260"/>
              <w:spacing w:after="0" w:line="135" w:lineRule="exact"/>
              <w:rPr>
                <w:sz w:val="20"/>
                <w:szCs w:val="20"/>
                <w:color w:val="auto"/>
              </w:rPr>
            </w:pPr>
            <w:r>
              <w:rPr>
                <w:rFonts w:ascii="Arial" w:cs="Arial" w:eastAsia="Arial" w:hAnsi="Arial"/>
                <w:sz w:val="14"/>
                <w:szCs w:val="14"/>
                <w:b w:val="1"/>
                <w:bCs w:val="1"/>
                <w:color w:val="auto"/>
                <w:w w:val="91"/>
              </w:rPr>
              <w:t>Number of Shares</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Beneficial Owner</w:t>
            </w:r>
          </w:p>
        </w:tc>
        <w:tc>
          <w:tcPr>
            <w:tcW w:w="980" w:type="dxa"/>
            <w:vAlign w:val="bottom"/>
          </w:tcPr>
          <w:p>
            <w:pPr>
              <w:spacing w:after="0"/>
              <w:rPr>
                <w:sz w:val="12"/>
                <w:szCs w:val="12"/>
                <w:color w:val="auto"/>
              </w:rPr>
            </w:pPr>
          </w:p>
        </w:tc>
        <w:tc>
          <w:tcPr>
            <w:tcW w:w="2380" w:type="dxa"/>
            <w:vAlign w:val="bottom"/>
            <w:gridSpan w:val="2"/>
          </w:tcPr>
          <w:p>
            <w:pPr>
              <w:jc w:val="right"/>
              <w:ind w:right="1240"/>
              <w:spacing w:after="0" w:line="129" w:lineRule="exact"/>
              <w:rPr>
                <w:sz w:val="20"/>
                <w:szCs w:val="20"/>
                <w:color w:val="auto"/>
              </w:rPr>
            </w:pPr>
            <w:r>
              <w:rPr>
                <w:rFonts w:ascii="Arial" w:cs="Arial" w:eastAsia="Arial" w:hAnsi="Arial"/>
                <w:sz w:val="14"/>
                <w:szCs w:val="14"/>
                <w:b w:val="1"/>
                <w:bCs w:val="1"/>
                <w:color w:val="auto"/>
                <w:w w:val="87"/>
              </w:rPr>
              <w:t>Beneficially Owned</w:t>
            </w: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20"/>
        </w:trPr>
        <w:tc>
          <w:tcPr>
            <w:tcW w:w="132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Wellington Management Company</w:t>
            </w:r>
          </w:p>
        </w:tc>
        <w:tc>
          <w:tcPr>
            <w:tcW w:w="9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280 Congress Street</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Boston, MA 02210</w:t>
            </w:r>
          </w:p>
        </w:tc>
        <w:tc>
          <w:tcPr>
            <w:tcW w:w="33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1,430,870(1)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5300" w:type="dxa"/>
            <w:vAlign w:val="bottom"/>
            <w:gridSpan w:val="2"/>
          </w:tcPr>
          <w:p>
            <w:pPr>
              <w:spacing w:after="0"/>
              <w:rPr>
                <w:sz w:val="20"/>
                <w:szCs w:val="20"/>
                <w:color w:val="auto"/>
              </w:rPr>
            </w:pPr>
            <w:r>
              <w:rPr>
                <w:rFonts w:ascii="Arial" w:cs="Arial" w:eastAsia="Arial" w:hAnsi="Arial"/>
                <w:sz w:val="18"/>
                <w:szCs w:val="18"/>
                <w:color w:val="auto"/>
              </w:rPr>
              <w:t>Dimensional Fund Advisors LP</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1299 Ocean Avenue</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Santa Monica, CA 90401</w:t>
            </w:r>
          </w:p>
        </w:tc>
        <w:tc>
          <w:tcPr>
            <w:tcW w:w="3360" w:type="dxa"/>
            <w:vAlign w:val="bottom"/>
            <w:gridSpan w:val="3"/>
          </w:tcPr>
          <w:p>
            <w:pPr>
              <w:jc w:val="right"/>
              <w:ind w:right="1040"/>
              <w:spacing w:after="0"/>
              <w:rPr>
                <w:sz w:val="20"/>
                <w:szCs w:val="20"/>
                <w:color w:val="auto"/>
              </w:rPr>
            </w:pPr>
            <w:r>
              <w:rPr>
                <w:rFonts w:ascii="Arial" w:cs="Arial" w:eastAsia="Arial" w:hAnsi="Arial"/>
                <w:sz w:val="18"/>
                <w:szCs w:val="18"/>
                <w:color w:val="auto"/>
              </w:rPr>
              <w:t>1,368,052(2)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Trust Company</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280 Congress Street</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Boston, MA 02210</w:t>
            </w:r>
          </w:p>
        </w:tc>
        <w:tc>
          <w:tcPr>
            <w:tcW w:w="33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1,069,270(3)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8"/>
        </w:trPr>
        <w:tc>
          <w:tcPr>
            <w:tcW w:w="53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New York, NY 10022</w:t>
            </w:r>
          </w:p>
        </w:tc>
        <w:tc>
          <w:tcPr>
            <w:tcW w:w="3360" w:type="dxa"/>
            <w:vAlign w:val="bottom"/>
            <w:gridSpan w:val="3"/>
          </w:tcPr>
          <w:p>
            <w:pPr>
              <w:jc w:val="right"/>
              <w:ind w:right="1040"/>
              <w:spacing w:after="0"/>
              <w:rPr>
                <w:sz w:val="20"/>
                <w:szCs w:val="20"/>
                <w:color w:val="auto"/>
              </w:rPr>
            </w:pPr>
            <w:r>
              <w:rPr>
                <w:rFonts w:ascii="Arial" w:cs="Arial" w:eastAsia="Arial" w:hAnsi="Arial"/>
                <w:sz w:val="18"/>
                <w:szCs w:val="18"/>
                <w:color w:val="auto"/>
              </w:rPr>
              <w:t>984,478(4)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1414 Avenue of the Americas</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York, NY 10019</w:t>
            </w:r>
          </w:p>
        </w:tc>
        <w:tc>
          <w:tcPr>
            <w:tcW w:w="33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922,289(5)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8"/>
        </w:trPr>
        <w:tc>
          <w:tcPr>
            <w:tcW w:w="5300" w:type="dxa"/>
            <w:vAlign w:val="bottom"/>
            <w:gridSpan w:val="2"/>
          </w:tcPr>
          <w:p>
            <w:pPr>
              <w:spacing w:after="0"/>
              <w:rPr>
                <w:sz w:val="20"/>
                <w:szCs w:val="20"/>
                <w:color w:val="auto"/>
              </w:rPr>
            </w:pPr>
            <w:r>
              <w:rPr>
                <w:rFonts w:ascii="Arial" w:cs="Arial" w:eastAsia="Arial" w:hAnsi="Arial"/>
                <w:sz w:val="18"/>
                <w:szCs w:val="18"/>
                <w:color w:val="auto"/>
              </w:rPr>
              <w:t>LSV Asset Management</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155 N. Wacker Drive, Suite 4600</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Chicago, IL 60606</w:t>
            </w:r>
          </w:p>
        </w:tc>
        <w:tc>
          <w:tcPr>
            <w:tcW w:w="3360" w:type="dxa"/>
            <w:vAlign w:val="bottom"/>
            <w:gridSpan w:val="3"/>
          </w:tcPr>
          <w:p>
            <w:pPr>
              <w:jc w:val="right"/>
              <w:ind w:right="1040"/>
              <w:spacing w:after="0"/>
              <w:rPr>
                <w:sz w:val="20"/>
                <w:szCs w:val="20"/>
                <w:color w:val="auto"/>
              </w:rPr>
            </w:pPr>
            <w:r>
              <w:rPr>
                <w:rFonts w:ascii="Arial" w:cs="Arial" w:eastAsia="Arial" w:hAnsi="Arial"/>
                <w:sz w:val="18"/>
                <w:szCs w:val="18"/>
                <w:color w:val="auto"/>
              </w:rPr>
              <w:t>909,224(6)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based on Schedule 13G filed on February 14, 2013 with the SEC by Wellington Management Company, LLP. The Schedule 13G states that Wellington Management Company, LLP has shared voting power with respect to 1,125,460 shares and shared dispositive power with respect to 1,430,870 shares.</w:t>
      </w:r>
    </w:p>
    <w:p>
      <w:pPr>
        <w:ind w:left="460" w:right="10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based on Schedule 13G filed on February 11, 2013 with the SEC by Dimensional Fund Advisors LP. The Schedule 13G states that Dimensional Fund Advisors LP has sole voting power with respect to 1,368,052 shares and sole dispositive power with respect to 1,391,279 shares.</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based on Schedule 13G filed on February 14, 2013 with the SEC by Wellington Trust Company, NA. The Schedule 13G states that Wellington Trust Company, NA has shared voting power and shared dispositive power with respect to 1,069,270 shares.</w:t>
      </w:r>
    </w:p>
    <w:p>
      <w:pPr>
        <w:ind w:left="460" w:right="3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based on Schedule 13G filed on February 11, 2013 with the SEC by BlackRock, Inc. The Schedule 13G states that BlackRock, Inc., has sole voting power and sole dispositive power with respect to 984,478 shares.</w:t>
      </w:r>
    </w:p>
    <w:p>
      <w:pPr>
        <w:ind w:left="460" w:right="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based on Schedule 13G filed on January 17, 2013 with the SEC by Royce &amp; Associates LLC. The Schedule 13G states that Royce &amp; Associates LLC has sole dispositive power and sole dispositive power with respect to 922,289 shares.</w:t>
      </w:r>
    </w:p>
    <w:p>
      <w:pPr>
        <w:ind w:left="460" w:right="7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based on Schedule 13G filed on February 13, 2013 with the SEC by LSV Asset Management. The Schedule 13G states that LSV Asset Management has sole voting power and sole dispositive power with respect to 909,224 shares.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27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9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43"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Based solely on its review of the copies of these reports furnished to the Company for the year ended December 31, 2012, the Company is not aware of any instance of noncompliance with Section 16(a) by its directors, executive officers or owners of more than 10% of the Common Stock.</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Principles</w:t>
      </w:r>
    </w:p>
    <w:p>
      <w:pPr>
        <w:spacing w:after="0" w:line="9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59" w:lineRule="exact"/>
        <w:rPr>
          <w:sz w:val="20"/>
          <w:szCs w:val="20"/>
          <w:color w:val="auto"/>
        </w:rPr>
      </w:pPr>
    </w:p>
    <w:p>
      <w:pPr>
        <w:ind w:left="1920" w:hanging="318"/>
        <w:spacing w:after="0"/>
        <w:tabs>
          <w:tab w:leader="none" w:pos="1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attracting and retaining qualified and dedicated executives who are essential to the long-term success of the Company;</w:t>
      </w:r>
    </w:p>
    <w:p>
      <w:pPr>
        <w:spacing w:after="0" w:line="113" w:lineRule="exact"/>
        <w:rPr>
          <w:rFonts w:ascii="Arial" w:cs="Arial" w:eastAsia="Arial" w:hAnsi="Arial"/>
          <w:sz w:val="16"/>
          <w:szCs w:val="16"/>
          <w:color w:val="auto"/>
        </w:rPr>
      </w:pPr>
    </w:p>
    <w:p>
      <w:pPr>
        <w:ind w:left="1920" w:right="540" w:hanging="318"/>
        <w:spacing w:after="0" w:line="268" w:lineRule="auto"/>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the Company’s competitors;</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tying a significant portion of an executive officer’s compensation to the Company’s and the individual’s performance; and</w:t>
      </w:r>
    </w:p>
    <w:p>
      <w:pPr>
        <w:spacing w:after="0" w:line="113" w:lineRule="exact"/>
        <w:rPr>
          <w:rFonts w:ascii="Arial" w:cs="Arial" w:eastAsia="Arial" w:hAnsi="Arial"/>
          <w:sz w:val="16"/>
          <w:szCs w:val="16"/>
          <w:color w:val="auto"/>
        </w:rPr>
      </w:pPr>
    </w:p>
    <w:p>
      <w:pPr>
        <w:ind w:left="1920" w:hanging="318"/>
        <w:spacing w:after="0"/>
        <w:tabs>
          <w:tab w:leader="none" w:pos="1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shareholders through stock-based compensation arrangements.</w:t>
      </w:r>
    </w:p>
    <w:p>
      <w:pPr>
        <w:spacing w:after="0" w:line="194"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In 2012, the components of the Company’s executive compensation arrangements consisted of salary, bonus opportunities, stock option award opportunities and restricted stock opportunities pursuant to the 2005 Stock Incentive Plan and the 2011 Stock Incentive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9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Company structures its executive compensation arrangements in order to encourage executives to take appropriate risks designed to enhance Company performance and increase shareholder value in the long-term. The Company believes that providing a balanced mix of stock-based and cash compensation arrangements tied to both Company and individual performance goals provides an appropriate balance of incentives for executives and helps to avoid the taking of inappropriate risks. The Compensation Committee has assessed our compensation objectives, principles and forms of equity and cash based benefits for all employees, including executives, and has concluded that the Company’s compensation program and principles do not create risks that are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96"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The Company believes the interests of the Company and its shareholders are best served by developing and maintaining compensation policies that are consistent and competitive with peer group companies. Therefore, the Committee analyzes market data regarding base salary, cash bonus awards, equity incentive awards and other benefits paid by companies the Compensation Committee considers the Company’s primary peer group. The Compensation Committee relies on the Corporate Human Resources Manager and external research to identify the individual companies which make up this group. In identifying the peer group of surveyed companies, the Corporate Human Resource Manager utilizes the Economic Research Institute, an industry and region specific compensation database, to assemble market data on publicly traded companies having similar industrial characteristics and revenues to that of the Company. The gathered data is then reviewed by the Chief Executive Officer and the Corporate Human Resource Manager with respect to each of the executive officer positions and adjusted for the scope of responsibilities within the Company as compared to equivalent responsibilities of positions within companies included in the survey data.</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8" w:name="page19"/>
    <w:bookmarkEnd w:id="18"/>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current executive compensation structure includes a formal salary grade structure that establishes three levels of executive compensation within the Company. In addition, a formal annual incentive bonus plan includes threshold, target and maximum awards based upon pre-established financial performance criteria.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96" w:lineRule="exact"/>
        <w:rPr>
          <w:sz w:val="20"/>
          <w:szCs w:val="20"/>
          <w:color w:val="auto"/>
        </w:rPr>
      </w:pPr>
    </w:p>
    <w:p>
      <w:pPr>
        <w:jc w:val="both"/>
        <w:ind w:right="80" w:firstLine="913"/>
        <w:spacing w:after="0" w:line="294" w:lineRule="auto"/>
        <w:rPr>
          <w:sz w:val="20"/>
          <w:szCs w:val="20"/>
          <w:color w:val="auto"/>
        </w:rPr>
      </w:pPr>
      <w:r>
        <w:rPr>
          <w:rFonts w:ascii="Arial" w:cs="Arial" w:eastAsia="Arial" w:hAnsi="Arial"/>
          <w:sz w:val="16"/>
          <w:szCs w:val="16"/>
          <w:color w:val="auto"/>
        </w:rPr>
        <w:t>The salary levels for the Company’s executive officers and other direct reports of the Chief Executive Officer are reviewed and determined annually by the Compensation Committee. Salaries are established and adjusted based upon three factors: individual performance, financial performance of the Company, and peer group and market data established by the compensation studies performed by an outside compensation consulting firm. It is the policy of the Company to compensate executives in a targeted range of approximately the 50</w:t>
      </w:r>
      <w:r>
        <w:rPr>
          <w:rFonts w:ascii="Arial" w:cs="Arial" w:eastAsia="Arial" w:hAnsi="Arial"/>
          <w:sz w:val="10"/>
          <w:szCs w:val="10"/>
          <w:color w:val="auto"/>
        </w:rPr>
        <w:t>th</w:t>
      </w:r>
      <w:r>
        <w:rPr>
          <w:rFonts w:ascii="Arial" w:cs="Arial" w:eastAsia="Arial" w:hAnsi="Arial"/>
          <w:sz w:val="16"/>
          <w:szCs w:val="16"/>
          <w:color w:val="auto"/>
        </w:rPr>
        <w:t xml:space="preserve"> percentile of market of total direct compensation. Direct compensation is defined as base salary, bonus and awards under the long-term stock incentive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96"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Annual non-equity incentive plan compensation payments are made contingent on achieving certain goals and objectives as defined in a formalized plan. At the beginning of each fiscal year, the Compensation Committee establishes net income goals for each operating business unit and the consolidated results of the Company based upon the Board-approved annual business plan. The Compensation Committee then sets certain threshold, target and maximum bonus payment percentages for each executive officer dependent upon the executive’s salary level and base compensation. The Compensation Committee, at its discretion, may make adjustments to the net income goals and set additional strategic goals based on certain factors as it feels appropriate and may grant bonuses using other criteria at its sole discretion.</w:t>
      </w:r>
    </w:p>
    <w:p>
      <w:pPr>
        <w:spacing w:after="0" w:line="120" w:lineRule="exact"/>
        <w:rPr>
          <w:sz w:val="20"/>
          <w:szCs w:val="20"/>
          <w:color w:val="auto"/>
        </w:rPr>
      </w:pPr>
    </w:p>
    <w:p>
      <w:pPr>
        <w:jc w:val="both"/>
        <w:ind w:right="320" w:firstLine="913"/>
        <w:spacing w:after="0" w:line="259" w:lineRule="auto"/>
        <w:rPr>
          <w:sz w:val="20"/>
          <w:szCs w:val="20"/>
          <w:color w:val="auto"/>
        </w:rPr>
      </w:pPr>
      <w:r>
        <w:rPr>
          <w:rFonts w:ascii="Arial" w:cs="Arial" w:eastAsia="Arial" w:hAnsi="Arial"/>
          <w:sz w:val="18"/>
          <w:szCs w:val="18"/>
          <w:color w:val="auto"/>
        </w:rPr>
        <w:t>The Compensation Committee established a plan that allowed for payment of non-equity incentive plan compensation to each Named Executive Officer for reaching certain net income goals for the fiscal year of 2012. The following table reflects the net income after-tax goals for each Named Executive Officer at threshold, target and maximum levels (amounts in millions, except per share amounts):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Threshold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Maximum</w:t>
            </w:r>
          </w:p>
        </w:tc>
      </w:tr>
      <w:tr>
        <w:trPr>
          <w:trHeight w:val="136"/>
        </w:trPr>
        <w:tc>
          <w:tcPr>
            <w:tcW w:w="3780" w:type="dxa"/>
            <w:vAlign w:val="bottom"/>
            <w:gridSpan w:val="2"/>
          </w:tcPr>
          <w:p>
            <w:pPr>
              <w:spacing w:after="0" w:line="136" w:lineRule="exact"/>
              <w:rPr>
                <w:sz w:val="20"/>
                <w:szCs w:val="20"/>
                <w:color w:val="auto"/>
              </w:rPr>
            </w:pPr>
            <w:r>
              <w:rPr>
                <w:rFonts w:ascii="Arial" w:cs="Arial" w:eastAsia="Arial" w:hAnsi="Arial"/>
                <w:sz w:val="14"/>
                <w:szCs w:val="14"/>
                <w:color w:val="auto"/>
              </w:rPr>
              <w:t>(Amounts in millions, except per share amounts)</w:t>
            </w:r>
          </w:p>
        </w:tc>
        <w:tc>
          <w:tcPr>
            <w:tcW w:w="1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R. Baty</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18.4/$1.08 EPS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22.1/$1.30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25.7/$1.51 EPS</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spacing w:after="0"/>
              <w:rPr>
                <w:sz w:val="20"/>
                <w:szCs w:val="20"/>
                <w:color w:val="auto"/>
              </w:rPr>
            </w:pPr>
            <w:r>
              <w:rPr>
                <w:rFonts w:ascii="Arial" w:cs="Arial" w:eastAsia="Arial" w:hAnsi="Arial"/>
                <w:sz w:val="18"/>
                <w:szCs w:val="18"/>
                <w:color w:val="auto"/>
              </w:rPr>
              <w:t>18.4/$1.08 EPS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22.1/$1.30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spacing w:after="0"/>
              <w:rPr>
                <w:sz w:val="20"/>
                <w:szCs w:val="20"/>
                <w:color w:val="auto"/>
              </w:rPr>
            </w:pPr>
            <w:r>
              <w:rPr>
                <w:rFonts w:ascii="Arial" w:cs="Arial" w:eastAsia="Arial" w:hAnsi="Arial"/>
                <w:sz w:val="18"/>
                <w:szCs w:val="18"/>
                <w:color w:val="auto"/>
                <w:w w:val="93"/>
              </w:rPr>
              <w:t>25.7/$1.51 EPS</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T. Gentry</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target incentive as a percentage of base salary for each of the Named Executive Officers: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 of Base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20" w:type="dxa"/>
            <w:vAlign w:val="bottom"/>
            <w:vMerge w:val="restart"/>
          </w:tcPr>
          <w:p>
            <w:pPr>
              <w:spacing w:after="0"/>
              <w:rPr>
                <w:sz w:val="12"/>
                <w:szCs w:val="12"/>
                <w:color w:val="auto"/>
              </w:rPr>
            </w:pPr>
          </w:p>
        </w:tc>
        <w:tc>
          <w:tcPr>
            <w:tcW w:w="15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Salary at</w:t>
            </w:r>
          </w:p>
        </w:tc>
        <w:tc>
          <w:tcPr>
            <w:tcW w:w="190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rPr>
              <w:t>% of Base</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 of Base Salary</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158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5"/>
              </w:rPr>
              <w:t>Threshold</w:t>
            </w:r>
          </w:p>
        </w:tc>
        <w:tc>
          <w:tcPr>
            <w:tcW w:w="1900" w:type="dxa"/>
            <w:vAlign w:val="bottom"/>
            <w:gridSpan w:val="2"/>
          </w:tcPr>
          <w:p>
            <w:pPr>
              <w:jc w:val="right"/>
              <w:ind w:right="980"/>
              <w:spacing w:after="0" w:line="148" w:lineRule="exact"/>
              <w:rPr>
                <w:sz w:val="20"/>
                <w:szCs w:val="20"/>
                <w:color w:val="auto"/>
              </w:rPr>
            </w:pPr>
            <w:r>
              <w:rPr>
                <w:rFonts w:ascii="Arial" w:cs="Arial" w:eastAsia="Arial" w:hAnsi="Arial"/>
                <w:sz w:val="14"/>
                <w:szCs w:val="14"/>
                <w:b w:val="1"/>
                <w:bCs w:val="1"/>
                <w:color w:val="auto"/>
                <w:w w:val="85"/>
              </w:rPr>
              <w:t>Salary at Target</w:t>
            </w:r>
          </w:p>
        </w:tc>
        <w:tc>
          <w:tcPr>
            <w:tcW w:w="12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at Maximum</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Roderick R. Baty</w:t>
            </w: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60%</w:t>
            </w:r>
          </w:p>
        </w:tc>
        <w:tc>
          <w:tcPr>
            <w:tcW w:w="190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65%</w:t>
            </w: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45%</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50%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T. Gentry</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45%</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40%</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45%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40%</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40" w:firstLine="913"/>
        <w:spacing w:after="0" w:line="255" w:lineRule="auto"/>
        <w:rPr>
          <w:sz w:val="20"/>
          <w:szCs w:val="20"/>
          <w:color w:val="auto"/>
        </w:rPr>
      </w:pPr>
      <w:r>
        <w:rPr>
          <w:rFonts w:ascii="Arial" w:cs="Arial" w:eastAsia="Arial" w:hAnsi="Arial"/>
          <w:sz w:val="18"/>
          <w:szCs w:val="18"/>
          <w:color w:val="auto"/>
        </w:rPr>
        <w:t>Roderick R. Baty received non-equity incentive plan compensation payments paid at Threshold, James H. Dorton at 80% of Threshold, Jeffrey H. Hodge at midpoint between Threshold and Target and James R. Widders at Maximum. Frank T. Gentry did not meet the goals and objectives as defined by the non-equity compensation plan, however, Mr. Gentry did receive a discretionary bonus equal to 25% of his base salary. This bonus was paid due to outstanding performance of the Metal Bearing Components Segment in containing costs and improving margins even as revenues for the segment decreased for the year as compared to the prior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of non-equity plan compensation and bonuses paid to Named Executive Officers for 2012 are set forth in the Summary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9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2005 Stock Incentive Plan (“2005 Plan”), which was adopted by the Board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The 2005 Plan replaced the prior incentive plan which was adopted on March 2, 1994 and expired on March 2, 2004. Stock options granted under the former plan prior to its expiration are exercisable upon vesting for a period of ten years after the date of grant.</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2011 Stock Incentive Plan (“2011 Plan”), which was adopted by the Board on March 24, 2011 and approved by the shareholders on May 19, 2011 reserves an aggregate of 2.5 million shares of Common Stock for the issuance of options, stock appreciation rights, shares of restricted stock, restricted stock units, performance shares and stock awards to directors, executive officers and other key employees.</w:t>
      </w:r>
    </w:p>
    <w:p>
      <w:pPr>
        <w:spacing w:after="0" w:line="107"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Stock options and restricted share grants to the Company’s executive officers and other key employees are generally reviewed and determined annually by the Compensation Committee. With respect to options and restricted shares awarded, the Committee considers the following: recommendations from the independent compensation review, Mr. Baty’s recommendations (other than for himself), interests of the Company in rewarding officers and other key employees for superior performance, and the need for financial incentives for officers and employees to continue to perform in a superior manner.</w:t>
      </w:r>
    </w:p>
    <w:p>
      <w:pPr>
        <w:spacing w:after="0" w:line="11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During 2012, the Company awarded 285,300 options and 78,500 shares of restricted shares to seven executive officers, six non-employee directors and other key employees. Currently, there are 35,150 shares remaining under the 2005 Plan and 1,856,000 shares under the 2011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96"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The Company’s decisions regarding compensation of its Chief Executive Officer are guided by the same policies and considerations that govern compensation of the Company’s other executive officers. Mr. Baty’s salary is established and adjusted based upon three factors: individual performance, financial performance of the Company, and peer group and total market data established by compensation studies performed by the Corporate Human Resources Manager utilizing external research to identify the individual companies which make up this group. In identifying the peer group of surveyed companies, the Corporate Human Resource Manager utilizes the Economic Research Institute, an industry and region specific compensation database, to assemble market data on publicly traded companies having similar industrial characteristics and revenues to that of the Company. The Compensation Committee reviews and evaluates Mr. Baty’s individual performance annually on the basis of his actual performance in comparison to written financial and strategic objectives established at the beginning of the year by Mr. Baty and the Compensation Committee. The Compensation Committee also evaluates Mr. Baty based upon the financial performance of the Company as compared to the Company’s annual business plan and compares Mr. Baty’s compensation to the peer companies at the 50</w:t>
      </w:r>
      <w:r>
        <w:rPr>
          <w:rFonts w:ascii="Arial" w:cs="Arial" w:eastAsia="Arial" w:hAnsi="Arial"/>
          <w:sz w:val="10"/>
          <w:szCs w:val="10"/>
          <w:color w:val="auto"/>
        </w:rPr>
        <w:t>th</w:t>
      </w:r>
      <w:r>
        <w:rPr>
          <w:rFonts w:ascii="Arial" w:cs="Arial" w:eastAsia="Arial" w:hAnsi="Arial"/>
          <w:sz w:val="16"/>
          <w:szCs w:val="16"/>
          <w:color w:val="auto"/>
        </w:rPr>
        <w:t xml:space="preserve"> percentile of market of total direct compensation. Direct compensation is defined as base salary, bonus and awards under the long-term stock incentive plans. Additionally, on an annual basis, Mr. Baty prepares a written succession plan that is reviewed by the Compensation Committee. This plan includes a plan of succession for Mr. Baty and the executive management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Advisory Vote on Executive Compensation</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provides its shareholders with the opportunity to cast an annual advisory vote to approve executive compensation. At the 2012 Annual Meeting, an overwhelming majority of the votes cast at the meeting voted in favor of approval of the Company’s executive compensation. The Board believes this affirms the shareholders’ support of the Company’s approach to executive compensation, and did not change its approach in 2012. The Board will continue to consider the outcome of the annual advisory votes when making future compensation decisions for the Named Executive Officers.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Internal Revenue Code Section 162(m)</w:t>
      </w:r>
    </w:p>
    <w:p>
      <w:pPr>
        <w:spacing w:after="0" w:line="9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by the Company with respect to minimizing the risk that compensation paid to its executive officers will exceed the deduction limit. Although the Compensation Committee uses the requirements of Section 162(m) as a guideline, deductibility is not the sole factor it considers in assessing the appropriate levels and types of executive compensation and it will elect to forgo deductibility when it believes it is in the best interests of the Company and our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following table sets forth for the year ended December 31, 2012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2012 exceeded $100,000 (collectively, the “Named Executive Officers”).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Non-equity</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Deferred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Compen-</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Awards</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Awards</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2"/>
              </w:rPr>
              <w:t>sation</w:t>
            </w: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2"/>
                <w:szCs w:val="12"/>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26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($)(3)</w:t>
            </w:r>
          </w:p>
        </w:tc>
        <w:tc>
          <w:tcPr>
            <w:tcW w:w="260" w:type="dxa"/>
            <w:vAlign w:val="bottom"/>
          </w:tcPr>
          <w:p>
            <w:pPr>
              <w:spacing w:after="0"/>
              <w:rPr>
                <w:sz w:val="12"/>
                <w:szCs w:val="12"/>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4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($)(4)(5)(6)</w:t>
            </w:r>
          </w:p>
        </w:tc>
        <w:tc>
          <w:tcPr>
            <w:tcW w:w="240" w:type="dxa"/>
            <w:vAlign w:val="bottom"/>
          </w:tcPr>
          <w:p>
            <w:pPr>
              <w:spacing w:after="0"/>
              <w:rPr>
                <w:sz w:val="12"/>
                <w:szCs w:val="12"/>
                <w:color w:val="auto"/>
              </w:rPr>
            </w:pPr>
          </w:p>
        </w:tc>
        <w:tc>
          <w:tcPr>
            <w:tcW w:w="76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Roderick R. Baty</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84"/>
              </w:rPr>
              <w:t>2012</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520,000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90,372</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98,210</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312,000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21,774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1,042,356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Chairman/Chief</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516,615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144,126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114,190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312,000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Executive Officer</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507,011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145,860</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288,000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James H. Dorton</w:t>
            </w:r>
          </w:p>
        </w:tc>
        <w:tc>
          <w:tcPr>
            <w:tcW w:w="160" w:type="dxa"/>
            <w:vAlign w:val="bottom"/>
          </w:tcPr>
          <w:p>
            <w:pPr>
              <w:spacing w:after="0"/>
              <w:rPr>
                <w:sz w:val="17"/>
                <w:szCs w:val="17"/>
                <w:color w:val="auto"/>
              </w:rPr>
            </w:pPr>
          </w:p>
        </w:tc>
        <w:tc>
          <w:tcPr>
            <w:tcW w:w="6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2012</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310,960</w:t>
            </w:r>
          </w:p>
        </w:tc>
        <w:tc>
          <w:tcPr>
            <w:tcW w:w="240" w:type="dxa"/>
            <w:vAlign w:val="bottom"/>
          </w:tcPr>
          <w:p>
            <w:pPr>
              <w:spacing w:after="0"/>
              <w:rPr>
                <w:sz w:val="17"/>
                <w:szCs w:val="17"/>
                <w:color w:val="auto"/>
              </w:rPr>
            </w:pPr>
          </w:p>
        </w:tc>
        <w:tc>
          <w:tcPr>
            <w:tcW w:w="82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55,818</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64,050</w:t>
            </w:r>
          </w:p>
        </w:tc>
        <w:tc>
          <w:tcPr>
            <w:tcW w:w="260" w:type="dxa"/>
            <w:vAlign w:val="bottom"/>
          </w:tcPr>
          <w:p>
            <w:pPr>
              <w:spacing w:after="0"/>
              <w:rPr>
                <w:sz w:val="17"/>
                <w:szCs w:val="17"/>
                <w:color w:val="auto"/>
              </w:rPr>
            </w:pPr>
          </w:p>
        </w:tc>
        <w:tc>
          <w:tcPr>
            <w:tcW w:w="9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5"/>
              </w:rPr>
              <w:t>113,400</w:t>
            </w:r>
          </w:p>
        </w:tc>
        <w:tc>
          <w:tcPr>
            <w:tcW w:w="12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21,637</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565,865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440"/>
              <w:spacing w:after="0"/>
              <w:rPr>
                <w:sz w:val="20"/>
                <w:szCs w:val="20"/>
                <w:color w:val="auto"/>
              </w:rPr>
            </w:pPr>
            <w:r>
              <w:rPr>
                <w:rFonts w:ascii="Arial" w:cs="Arial" w:eastAsia="Arial" w:hAnsi="Arial"/>
                <w:sz w:val="18"/>
                <w:szCs w:val="18"/>
                <w:b w:val="1"/>
                <w:bCs w:val="1"/>
                <w:color w:val="auto"/>
              </w:rPr>
              <w:t>Sr. Vice President –</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300,000</w:t>
            </w:r>
          </w:p>
        </w:tc>
        <w:tc>
          <w:tcPr>
            <w:tcW w:w="2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89,019</w:t>
            </w:r>
          </w:p>
        </w:tc>
        <w:tc>
          <w:tcPr>
            <w:tcW w:w="640" w:type="dxa"/>
            <w:vAlign w:val="bottom"/>
          </w:tcPr>
          <w:p>
            <w:pPr>
              <w:jc w:val="right"/>
              <w:spacing w:after="0"/>
              <w:rPr>
                <w:sz w:val="20"/>
                <w:szCs w:val="20"/>
                <w:color w:val="auto"/>
              </w:rPr>
            </w:pPr>
            <w:r>
              <w:rPr>
                <w:rFonts w:ascii="Arial" w:cs="Arial" w:eastAsia="Arial" w:hAnsi="Arial"/>
                <w:sz w:val="18"/>
                <w:szCs w:val="18"/>
                <w:color w:val="auto"/>
              </w:rPr>
              <w:t>72,120</w:t>
            </w:r>
          </w:p>
        </w:tc>
        <w:tc>
          <w:tcPr>
            <w:tcW w:w="2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150,000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21,428</w:t>
            </w:r>
          </w:p>
        </w:tc>
        <w:tc>
          <w:tcPr>
            <w:tcW w:w="760" w:type="dxa"/>
            <w:vAlign w:val="bottom"/>
          </w:tcPr>
          <w:p>
            <w:pPr>
              <w:jc w:val="right"/>
              <w:spacing w:after="0"/>
              <w:rPr>
                <w:sz w:val="20"/>
                <w:szCs w:val="20"/>
                <w:color w:val="auto"/>
              </w:rPr>
            </w:pPr>
            <w:r>
              <w:rPr>
                <w:rFonts w:ascii="Arial" w:cs="Arial" w:eastAsia="Arial" w:hAnsi="Arial"/>
                <w:sz w:val="18"/>
                <w:szCs w:val="18"/>
                <w:color w:val="auto"/>
              </w:rPr>
              <w:t>632,567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gridSpan w:val="2"/>
          </w:tcPr>
          <w:p>
            <w:pPr>
              <w:ind w:left="440"/>
              <w:spacing w:after="0"/>
              <w:rPr>
                <w:sz w:val="20"/>
                <w:szCs w:val="20"/>
                <w:color w:val="auto"/>
              </w:rPr>
            </w:pPr>
            <w:r>
              <w:rPr>
                <w:rFonts w:ascii="Arial" w:cs="Arial" w:eastAsia="Arial" w:hAnsi="Arial"/>
                <w:sz w:val="18"/>
                <w:szCs w:val="18"/>
                <w:b w:val="1"/>
                <w:bCs w:val="1"/>
                <w:color w:val="auto"/>
              </w:rPr>
              <w:t>Chief Financial Officer</w:t>
            </w:r>
          </w:p>
        </w:tc>
        <w:tc>
          <w:tcPr>
            <w:tcW w:w="820" w:type="dxa"/>
            <w:vAlign w:val="bottom"/>
            <w:gridSpan w:val="3"/>
          </w:tcPr>
          <w:p>
            <w:pPr>
              <w:ind w:left="200"/>
              <w:spacing w:after="0"/>
              <w:rPr>
                <w:sz w:val="20"/>
                <w:szCs w:val="20"/>
                <w:color w:val="auto"/>
              </w:rPr>
            </w:pPr>
            <w:r>
              <w:rPr>
                <w:rFonts w:ascii="Arial" w:cs="Arial" w:eastAsia="Arial" w:hAnsi="Arial"/>
                <w:sz w:val="18"/>
                <w:szCs w:val="18"/>
                <w:color w:val="auto"/>
              </w:rPr>
              <w:t>2010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295,664</w:t>
            </w:r>
          </w:p>
        </w:tc>
        <w:tc>
          <w:tcPr>
            <w:tcW w:w="240" w:type="dxa"/>
            <w:vAlign w:val="bottom"/>
          </w:tcPr>
          <w:p>
            <w:pPr>
              <w:spacing w:after="0"/>
              <w:rPr>
                <w:sz w:val="19"/>
                <w:szCs w:val="19"/>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75,140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135,000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15,571</w:t>
            </w:r>
          </w:p>
        </w:tc>
        <w:tc>
          <w:tcPr>
            <w:tcW w:w="760" w:type="dxa"/>
            <w:vAlign w:val="bottom"/>
          </w:tcPr>
          <w:p>
            <w:pPr>
              <w:jc w:val="right"/>
              <w:spacing w:after="0"/>
              <w:rPr>
                <w:sz w:val="20"/>
                <w:szCs w:val="20"/>
                <w:color w:val="auto"/>
              </w:rPr>
            </w:pPr>
            <w:r>
              <w:rPr>
                <w:rFonts w:ascii="Arial" w:cs="Arial" w:eastAsia="Arial" w:hAnsi="Arial"/>
                <w:sz w:val="18"/>
                <w:szCs w:val="18"/>
                <w:color w:val="auto"/>
              </w:rPr>
              <w:t>521,375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Frank T. Gentry III</w:t>
            </w: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310,960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78,750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Sr. Vice President –</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157,500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Managing Director,</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329,218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150,000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 Bearing</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Components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James R. Widders</w:t>
            </w:r>
          </w:p>
        </w:tc>
        <w:tc>
          <w:tcPr>
            <w:tcW w:w="160" w:type="dxa"/>
            <w:vAlign w:val="bottom"/>
          </w:tcPr>
          <w:p>
            <w:pPr>
              <w:spacing w:after="0"/>
              <w:rPr>
                <w:sz w:val="17"/>
                <w:szCs w:val="17"/>
                <w:color w:val="auto"/>
              </w:rPr>
            </w:pPr>
          </w:p>
        </w:tc>
        <w:tc>
          <w:tcPr>
            <w:tcW w:w="400" w:type="dxa"/>
            <w:vAlign w:val="bottom"/>
          </w:tcPr>
          <w:p>
            <w:pPr>
              <w:ind w:left="40"/>
              <w:spacing w:after="0" w:line="201" w:lineRule="exact"/>
              <w:rPr>
                <w:sz w:val="20"/>
                <w:szCs w:val="20"/>
                <w:color w:val="auto"/>
              </w:rPr>
            </w:pPr>
            <w:r>
              <w:rPr>
                <w:rFonts w:ascii="Arial" w:cs="Arial" w:eastAsia="Arial" w:hAnsi="Arial"/>
                <w:sz w:val="18"/>
                <w:szCs w:val="18"/>
                <w:color w:val="auto"/>
                <w:w w:val="84"/>
              </w:rPr>
              <w:t>2012</w:t>
            </w:r>
          </w:p>
        </w:tc>
        <w:tc>
          <w:tcPr>
            <w:tcW w:w="2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217,488</w:t>
            </w:r>
          </w:p>
        </w:tc>
        <w:tc>
          <w:tcPr>
            <w:tcW w:w="240" w:type="dxa"/>
            <w:vAlign w:val="bottom"/>
          </w:tcPr>
          <w:p>
            <w:pPr>
              <w:spacing w:after="0"/>
              <w:rPr>
                <w:sz w:val="17"/>
                <w:szCs w:val="17"/>
                <w:color w:val="auto"/>
              </w:rPr>
            </w:pPr>
          </w:p>
        </w:tc>
        <w:tc>
          <w:tcPr>
            <w:tcW w:w="82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41,642</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51,240</w:t>
            </w:r>
          </w:p>
        </w:tc>
        <w:tc>
          <w:tcPr>
            <w:tcW w:w="260" w:type="dxa"/>
            <w:vAlign w:val="bottom"/>
          </w:tcPr>
          <w:p>
            <w:pPr>
              <w:spacing w:after="0"/>
              <w:rPr>
                <w:sz w:val="17"/>
                <w:szCs w:val="17"/>
                <w:color w:val="auto"/>
              </w:rPr>
            </w:pPr>
          </w:p>
        </w:tc>
        <w:tc>
          <w:tcPr>
            <w:tcW w:w="9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5"/>
              </w:rPr>
              <w:t>121,000</w:t>
            </w:r>
          </w:p>
        </w:tc>
        <w:tc>
          <w:tcPr>
            <w:tcW w:w="12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17,833</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449,203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440"/>
              <w:spacing w:after="0"/>
              <w:rPr>
                <w:sz w:val="20"/>
                <w:szCs w:val="20"/>
                <w:color w:val="auto"/>
              </w:rPr>
            </w:pPr>
            <w:r>
              <w:rPr>
                <w:rFonts w:ascii="Arial" w:cs="Arial" w:eastAsia="Arial" w:hAnsi="Arial"/>
                <w:sz w:val="18"/>
                <w:szCs w:val="18"/>
                <w:b w:val="1"/>
                <w:bCs w:val="1"/>
                <w:color w:val="auto"/>
              </w:rPr>
              <w:t>Vice President -</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210,000</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42,000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66,411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144,240</w:t>
            </w: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17,068</w:t>
            </w:r>
          </w:p>
        </w:tc>
        <w:tc>
          <w:tcPr>
            <w:tcW w:w="760" w:type="dxa"/>
            <w:vAlign w:val="bottom"/>
          </w:tcPr>
          <w:p>
            <w:pPr>
              <w:jc w:val="right"/>
              <w:spacing w:after="0"/>
              <w:rPr>
                <w:sz w:val="20"/>
                <w:szCs w:val="20"/>
                <w:color w:val="auto"/>
              </w:rPr>
            </w:pPr>
            <w:r>
              <w:rPr>
                <w:rFonts w:ascii="Arial" w:cs="Arial" w:eastAsia="Arial" w:hAnsi="Arial"/>
                <w:sz w:val="18"/>
                <w:szCs w:val="18"/>
                <w:color w:val="auto"/>
              </w:rPr>
              <w:t>479,719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440"/>
              <w:spacing w:after="0"/>
              <w:rPr>
                <w:sz w:val="20"/>
                <w:szCs w:val="20"/>
                <w:color w:val="auto"/>
              </w:rPr>
            </w:pPr>
            <w:r>
              <w:rPr>
                <w:rFonts w:ascii="Arial" w:cs="Arial" w:eastAsia="Arial" w:hAnsi="Arial"/>
                <w:sz w:val="18"/>
                <w:szCs w:val="18"/>
                <w:b w:val="1"/>
                <w:bCs w:val="1"/>
                <w:color w:val="auto"/>
              </w:rPr>
              <w:t>General Manager,</w:t>
            </w:r>
          </w:p>
        </w:tc>
        <w:tc>
          <w:tcPr>
            <w:tcW w:w="820" w:type="dxa"/>
            <w:vAlign w:val="bottom"/>
            <w:gridSpan w:val="3"/>
          </w:tcPr>
          <w:p>
            <w:pPr>
              <w:ind w:left="200"/>
              <w:spacing w:after="0"/>
              <w:rPr>
                <w:sz w:val="20"/>
                <w:szCs w:val="20"/>
                <w:color w:val="auto"/>
              </w:rPr>
            </w:pPr>
            <w:r>
              <w:rPr>
                <w:rFonts w:ascii="Arial" w:cs="Arial" w:eastAsia="Arial" w:hAnsi="Arial"/>
                <w:sz w:val="18"/>
                <w:szCs w:val="18"/>
                <w:color w:val="auto"/>
              </w:rPr>
              <w:t>2010</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ind w:left="440"/>
              <w:spacing w:after="0"/>
              <w:rPr>
                <w:sz w:val="20"/>
                <w:szCs w:val="20"/>
                <w:color w:val="auto"/>
              </w:rPr>
            </w:pPr>
            <w:r>
              <w:rPr>
                <w:rFonts w:ascii="Arial" w:cs="Arial" w:eastAsia="Arial" w:hAnsi="Arial"/>
                <w:sz w:val="18"/>
                <w:szCs w:val="18"/>
                <w:b w:val="1"/>
                <w:bCs w:val="1"/>
                <w:color w:val="auto"/>
              </w:rPr>
              <w:t>Precision Metal</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gridSpan w:val="2"/>
          </w:tcPr>
          <w:p>
            <w:pPr>
              <w:ind w:left="440"/>
              <w:spacing w:after="0"/>
              <w:rPr>
                <w:sz w:val="20"/>
                <w:szCs w:val="20"/>
                <w:color w:val="auto"/>
              </w:rPr>
            </w:pPr>
            <w:r>
              <w:rPr>
                <w:rFonts w:ascii="Arial" w:cs="Arial" w:eastAsia="Arial" w:hAnsi="Arial"/>
                <w:sz w:val="18"/>
                <w:szCs w:val="18"/>
                <w:b w:val="1"/>
                <w:bCs w:val="1"/>
                <w:color w:val="auto"/>
              </w:rPr>
              <w:t>Components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Jeffery H. Hodge</w:t>
            </w: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222,110</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51,240</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Vice President -</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210,000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99,225</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General Manager,</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207,489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53,040</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105,000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U.S. Ball &amp; Roller</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8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of 10,200, 6,300, 6,300, 4,700 and 4,700 of stock awarded to Messrs. Baty, Dorton, Gentry, Widders and Hodge, respectively. On March 21, 2012 the Company awarded 72,100 shares of the Company’s restricted stock to four non-employee directors, seven executive officers and other key employees. On March 22, 2012 and May 17, 2012 the Company awarded 3,200 shares to each of two non-employee directors. The restricted stock awards to officers and other key employees vest over a period of three years beginning on the first anniversary of the date of grant.</w:t>
      </w:r>
    </w:p>
    <w:p>
      <w:pPr>
        <w:spacing w:after="0" w:line="2" w:lineRule="exact"/>
        <w:rPr>
          <w:rFonts w:ascii="Arial" w:cs="Arial" w:eastAsia="Arial" w:hAnsi="Arial"/>
          <w:sz w:val="16"/>
          <w:szCs w:val="16"/>
          <w:color w:val="auto"/>
        </w:rPr>
      </w:pPr>
    </w:p>
    <w:p>
      <w:pPr>
        <w:ind w:left="460" w:right="40" w:hanging="452"/>
        <w:spacing w:after="0" w:line="28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of 23,000, 15,000, 15,000, 12,000 and 12,000 of options to purchase the Company’s stock awarded to Messrs. Baty, Dorton, Gentry, Widders and Hodge. On March 21, 2012, the Company awarded 270,700 options to purchase the Company’s stock to four non-employee directors, seven executive officers and other key employees. On March 22, 2012 and May 17, 2012, the Company granted 7,300 options to purchase shares each of two non-employee directors.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2012 filed with the Commission on March 15, 2012.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 w:name="page22"/>
    <w:bookmarkEnd w:id="21"/>
    <w:p>
      <w:pPr>
        <w:ind w:left="460" w:right="8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bonuses and non-equity incentive compensation is earned in one fiscal year are paid in the first quarter of the next year. Bonuses and non-equity incentive compensation earned during 2012 were paid in March 2013.</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include $14,400 for a car allowance for each of Messrs. Baty, Dorton, Gentry, Hodge and Widders.</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include $5,000, $5,000, $5,000, $2,556 and $4,442 in Company-matched contributions under a “401(k)” savings plan for Messrs. Baty, Dorton, Gentry, Widders and Hodge, respectively. This 401(k) savings plan is open to substantially all of the Company’s U.S. employees and officers who have met certain service and age requirements.</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include $2,374, $2,237, $2,210, $877 and $816 in premiums paid by the Company for supplemental life insurance for the benefit of Messrs. Baty, Dorton, Gentry, Widders and Hodge,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options granted during 2012 to the Named Executive Officers.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All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87"/>
              </w:rPr>
              <w:t>Estimated Future payouts</w:t>
            </w:r>
          </w:p>
        </w:tc>
        <w:tc>
          <w:tcPr>
            <w:tcW w:w="19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2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gridSpan w:val="7"/>
            <w:vMerge w:val="continue"/>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2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7"/>
              </w:rPr>
              <w:t>Incentive Plan Awards</w:t>
            </w:r>
          </w:p>
        </w:tc>
        <w:tc>
          <w:tcPr>
            <w:tcW w:w="4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Number</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9"/>
              </w:rPr>
              <w:t>Exercise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of</w:t>
            </w: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Number of</w:t>
            </w: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or Base</w:t>
            </w: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Price of</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Thres-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Maxi-</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w:t>
            </w:r>
          </w:p>
        </w:tc>
        <w:tc>
          <w:tcPr>
            <w:tcW w:w="2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Stock or</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40" w:type="dxa"/>
            <w:vAlign w:val="bottom"/>
            <w:vMerge w:val="restart"/>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Grant</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hold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mum</w:t>
            </w:r>
          </w:p>
        </w:tc>
        <w:tc>
          <w:tcPr>
            <w:tcW w:w="48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8"/>
              </w:rPr>
              <w:t>Thres-</w:t>
            </w:r>
          </w:p>
        </w:tc>
        <w:tc>
          <w:tcPr>
            <w:tcW w:w="28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Target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mum</w:t>
            </w:r>
          </w:p>
        </w:tc>
        <w:tc>
          <w:tcPr>
            <w:tcW w:w="2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Units (#)</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Options</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6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u w:val="single" w:color="auto"/>
                <w:color w:val="auto"/>
                <w:w w:val="90"/>
              </w:rPr>
              <w:t>Target($</w:t>
            </w:r>
            <w:r>
              <w:rPr>
                <w:rFonts w:ascii="Arial" w:cs="Arial" w:eastAsia="Arial" w:hAnsi="Arial"/>
                <w:sz w:val="14"/>
                <w:szCs w:val="14"/>
                <w:b w:val="1"/>
                <w:bCs w:val="1"/>
                <w:color w:val="auto"/>
                <w:w w:val="90"/>
              </w:rPr>
              <w:t>)</w:t>
            </w:r>
          </w:p>
        </w:tc>
        <w:tc>
          <w:tcPr>
            <w:tcW w:w="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4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6"/>
              </w:rPr>
              <w:t xml:space="preserve">hold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700" w:type="dxa"/>
            <w:vAlign w:val="bottom"/>
            <w:gridSpan w:val="2"/>
          </w:tcPr>
          <w:p>
            <w:pPr>
              <w:jc w:val="right"/>
              <w:ind w:right="36"/>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216"/>
              <w:spacing w:after="0" w:line="148" w:lineRule="exact"/>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68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7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($/sh)</w:t>
            </w:r>
          </w:p>
        </w:tc>
        <w:tc>
          <w:tcPr>
            <w:tcW w:w="7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9"/>
              </w:rPr>
              <w:t xml:space="preserve">Awards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Baty</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10,200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7"/>
              </w:rPr>
              <w:t>23,000</w:t>
            </w: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8.86</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188,582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6,300</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w w:val="87"/>
              </w:rPr>
              <w:t>15,000</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15,000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Mr. Hodge</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4,700</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w w:val="87"/>
              </w:rPr>
              <w:t>12,000</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12,000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80" w:hanging="452"/>
        <w:spacing w:after="0" w:line="28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March 21, 2012, the Company awarded 72,100 shares of stock to five non-employee directors, seven executive officers and other key employees. The restricted stock awards to officers and other key employees vest over a period of three years beginning on the first anniversary of the date of grant.</w:t>
      </w:r>
    </w:p>
    <w:p>
      <w:pPr>
        <w:ind w:left="460" w:right="60" w:hanging="452"/>
        <w:spacing w:after="0" w:line="25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21, 2012, the Company awarded 270,700 stock options to four non-employee directors, six executive officers and other key employees. The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2012, filed with the Commission on March 15, 2013.</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information with respect to outstanding equity awards as of December 31, 2012.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Equity</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Incentive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Market</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Value of</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4"/>
                <w:szCs w:val="4"/>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 or</w:t>
            </w:r>
          </w:p>
        </w:tc>
        <w:tc>
          <w:tcPr>
            <w:tcW w:w="88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Unearned</w:t>
            </w:r>
          </w:p>
        </w:tc>
        <w:tc>
          <w:tcPr>
            <w:tcW w:w="86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Underlying</w:t>
            </w:r>
          </w:p>
        </w:tc>
        <w:tc>
          <w:tcPr>
            <w:tcW w:w="260" w:type="dxa"/>
            <w:vAlign w:val="bottom"/>
          </w:tcPr>
          <w:p>
            <w:pPr>
              <w:spacing w:after="0"/>
              <w:rPr>
                <w:sz w:val="4"/>
                <w:szCs w:val="4"/>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Units of</w:t>
            </w:r>
          </w:p>
        </w:tc>
        <w:tc>
          <w:tcPr>
            <w:tcW w:w="88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Units of</w:t>
            </w:r>
          </w:p>
        </w:tc>
        <w:tc>
          <w:tcPr>
            <w:tcW w:w="10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4"/>
              </w:rPr>
              <w:t>Underlying</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6"/>
                <w:szCs w:val="6"/>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 That</w:t>
            </w:r>
          </w:p>
        </w:tc>
        <w:tc>
          <w:tcPr>
            <w:tcW w:w="8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Stock That</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or Other</w:t>
            </w: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69"/>
        </w:trPr>
        <w:tc>
          <w:tcPr>
            <w:tcW w:w="3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Options (#)</w:t>
            </w:r>
          </w:p>
        </w:tc>
        <w:tc>
          <w:tcPr>
            <w:tcW w:w="1120" w:type="dxa"/>
            <w:vAlign w:val="bottom"/>
            <w:gridSpan w:val="3"/>
          </w:tcPr>
          <w:p>
            <w:pPr>
              <w:jc w:val="center"/>
              <w:ind w:left="75"/>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Vested</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Vested</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Have Not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80"/>
              <w:spacing w:after="0" w:line="148" w:lineRule="exact"/>
              <w:rPr>
                <w:sz w:val="20"/>
                <w:szCs w:val="20"/>
                <w:color w:val="auto"/>
              </w:rPr>
            </w:pPr>
            <w:r>
              <w:rPr>
                <w:rFonts w:ascii="Arial" w:cs="Arial" w:eastAsia="Arial" w:hAnsi="Arial"/>
                <w:sz w:val="14"/>
                <w:szCs w:val="14"/>
                <w:b w:val="1"/>
                <w:bCs w:val="1"/>
                <w:color w:val="auto"/>
                <w:w w:val="84"/>
              </w:rPr>
              <w:t>Exercisable(1)</w:t>
            </w:r>
          </w:p>
        </w:tc>
        <w:tc>
          <w:tcPr>
            <w:tcW w:w="160" w:type="dxa"/>
            <w:vAlign w:val="bottom"/>
          </w:tcPr>
          <w:p>
            <w:pPr>
              <w:spacing w:after="0"/>
              <w:rPr>
                <w:sz w:val="14"/>
                <w:szCs w:val="14"/>
                <w:color w:val="auto"/>
              </w:rPr>
            </w:pPr>
          </w:p>
        </w:tc>
        <w:tc>
          <w:tcPr>
            <w:tcW w:w="9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Unexercisable(1)</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Options (#)</w:t>
            </w: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40" w:type="dxa"/>
            <w:vAlign w:val="bottom"/>
          </w:tcPr>
          <w:p>
            <w:pPr>
              <w:spacing w:after="0"/>
              <w:rPr>
                <w:sz w:val="14"/>
                <w:szCs w:val="14"/>
                <w:color w:val="auto"/>
              </w:rPr>
            </w:pPr>
          </w:p>
        </w:tc>
        <w:tc>
          <w:tcPr>
            <w:tcW w:w="64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10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Vested (#)</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5"/>
              </w:rPr>
              <w:t>Vested ($)</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Baty</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12.62</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3/1/2014</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8/19/2015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8/14/2016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5/25/2017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3/6/2018</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3/25/2019</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5/26/2021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3/21/2022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6,800</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62,288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10,200</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93,432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4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8/19/2015</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11,250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8/14/2016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11,250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5/25/2017</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3/6/2018</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3/25/2019</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4,000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14.13</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5/26/2021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3/21/2022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4,200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38,472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6,300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57,708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3/1/2014</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8/19/2015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8/14/2016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5/25/2017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3/6/02018</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3/25/2019</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766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3/16/2020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5/26/2021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3/21/2022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4,200</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38,472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6,300</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57,708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40" w:type="dxa"/>
            <w:vAlign w:val="bottom"/>
            <w:gridSpan w:val="2"/>
          </w:tcPr>
          <w:p>
            <w:pPr>
              <w:spacing w:after="0"/>
              <w:rPr>
                <w:sz w:val="20"/>
                <w:szCs w:val="20"/>
                <w:color w:val="auto"/>
              </w:rPr>
            </w:pPr>
            <w:r>
              <w:rPr>
                <w:rFonts w:ascii="Arial" w:cs="Arial" w:eastAsia="Arial" w:hAnsi="Arial"/>
                <w:sz w:val="18"/>
                <w:szCs w:val="18"/>
                <w:color w:val="auto"/>
              </w:rPr>
              <w:t>Mr. Hodge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8/14/2016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5/25/2017</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3/6/02018</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3/25/2019</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3,000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14.13</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5/26/2021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3/21/2022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3,134</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28,707</w:t>
            </w:r>
          </w:p>
        </w:tc>
        <w:tc>
          <w:tcPr>
            <w:tcW w:w="24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4,700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43,052</w:t>
            </w:r>
          </w:p>
        </w:tc>
        <w:tc>
          <w:tcPr>
            <w:tcW w:w="240" w:type="dxa"/>
            <w:vAlign w:val="bottom"/>
          </w:tcPr>
          <w:p>
            <w:pPr>
              <w:spacing w:after="0"/>
              <w:rPr>
                <w:sz w:val="19"/>
                <w:szCs w:val="19"/>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5/26/2021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6/2/2021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3/21/2022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3,134</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28,707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4,700</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43,052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options vest by one-third on each anniversary date over a three-year period beginning on the first anniversary date of grant.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shares vest one-third on each anniversary date over a three-year period beginning on the first anniversary date of grant.</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8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 exercises and stock vesting as of December 31, 2012.</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 During 2012</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60" w:type="dxa"/>
            <w:vAlign w:val="bottom"/>
            <w:gridSpan w:val="2"/>
          </w:tcPr>
          <w:p>
            <w:pPr>
              <w:ind w:left="920"/>
              <w:spacing w:after="0"/>
              <w:rPr>
                <w:sz w:val="20"/>
                <w:szCs w:val="20"/>
                <w:color w:val="auto"/>
              </w:rPr>
            </w:pPr>
            <w:r>
              <w:rPr>
                <w:rFonts w:ascii="Arial" w:cs="Arial" w:eastAsia="Arial" w:hAnsi="Arial"/>
                <w:sz w:val="14"/>
                <w:szCs w:val="14"/>
                <w:b w:val="1"/>
                <w:bCs w:val="1"/>
                <w:color w:val="auto"/>
                <w:w w:val="92"/>
              </w:rPr>
              <w:t>Option Awards</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8"/>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860" w:type="dxa"/>
            <w:vAlign w:val="bottom"/>
            <w:tcBorders>
              <w:top w:val="single" w:sz="8" w:color="auto"/>
            </w:tcBorders>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Borders>
              <w:top w:val="single" w:sz="8" w:color="auto"/>
            </w:tcBorders>
          </w:tcPr>
          <w:p>
            <w:pPr>
              <w:jc w:val="right"/>
              <w:ind w:right="100"/>
              <w:spacing w:after="0" w:line="129" w:lineRule="exact"/>
              <w:rPr>
                <w:sz w:val="20"/>
                <w:szCs w:val="20"/>
                <w:color w:val="auto"/>
              </w:rPr>
            </w:pPr>
            <w:r>
              <w:rPr>
                <w:rFonts w:ascii="Arial" w:cs="Arial" w:eastAsia="Arial" w:hAnsi="Arial"/>
                <w:sz w:val="14"/>
                <w:szCs w:val="14"/>
                <w:b w:val="1"/>
                <w:bCs w:val="1"/>
                <w:color w:val="auto"/>
              </w:rPr>
              <w:t>Number of</w:t>
            </w:r>
          </w:p>
        </w:tc>
        <w:tc>
          <w:tcPr>
            <w:tcW w:w="8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8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Value Realized 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86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6"/>
              </w:rPr>
              <w:t>Exercise (#)</w:t>
            </w:r>
          </w:p>
        </w:tc>
        <w:tc>
          <w:tcPr>
            <w:tcW w:w="1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on Exercise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on Vesting (#)</w:t>
            </w:r>
          </w:p>
        </w:tc>
        <w:tc>
          <w:tcPr>
            <w:tcW w:w="800" w:type="dxa"/>
            <w:vAlign w:val="bottom"/>
          </w:tcPr>
          <w:p>
            <w:pPr>
              <w:spacing w:after="0"/>
              <w:rPr>
                <w:sz w:val="14"/>
                <w:szCs w:val="14"/>
                <w:color w:val="auto"/>
              </w:rPr>
            </w:pPr>
          </w:p>
        </w:tc>
        <w:tc>
          <w:tcPr>
            <w:tcW w:w="11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Baty</w:t>
            </w:r>
          </w:p>
        </w:tc>
        <w:tc>
          <w:tcPr>
            <w:tcW w:w="106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3,400</w:t>
            </w: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30,940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8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1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Mr. Hodge</w:t>
            </w:r>
          </w:p>
        </w:tc>
        <w:tc>
          <w:tcPr>
            <w:tcW w:w="18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1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9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Messrs. Baty, Dorton, Gentry, Hodge and Widders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Dorton, Gentry, Hodge and Widders have a written change of control agreement. These agreements state if an executive’s employment is terminated within two years following a change of control as defined in the document that each executive will receive a lump sum payment equal to a multiple of his annual salary plus a multiple of his median bonus available at his specific target percentage. The multiple for each of the executive officers salary is as follows: Mr. Baty – 2.5, Mr. Dorton – 2.0, Mr. Gentry – 2.0, Mr. Hodge – 2.0, Mr. Widders – 2.0. The percentage for each of the executive officers bonus is Mr. Baty – 65%, Mr. Dorton – 50%, Mr. Gentry – 50%, Mr. Hodge – 45%, Mr. Widders – 45%. Additionally, a lump sum amount of $12,000 would be paid by the Company to each executive officer for transition costs. Each of Messrs. Baty, Dorton, Gentry, Hodge and Widders has also agreed to a non-competition agreement that ends two years after the conclusion of his employment with the Company.</w:t>
      </w:r>
    </w:p>
    <w:p>
      <w:pPr>
        <w:spacing w:after="0" w:line="12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following table shows the compensation these officers would have received under the employment agreements had a change in control occurred as of December 31, 2012.</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tcPr>
          <w:p>
            <w:pPr>
              <w:spacing w:after="0"/>
              <w:rPr>
                <w:sz w:val="15"/>
                <w:szCs w:val="15"/>
                <w:color w:val="auto"/>
              </w:rPr>
            </w:pPr>
          </w:p>
        </w:tc>
        <w:tc>
          <w:tcPr>
            <w:tcW w:w="5420" w:type="dxa"/>
            <w:vAlign w:val="bottom"/>
            <w:gridSpan w:val="3"/>
          </w:tcPr>
          <w:p>
            <w:pPr>
              <w:ind w:left="4320"/>
              <w:spacing w:after="0"/>
              <w:rPr>
                <w:sz w:val="20"/>
                <w:szCs w:val="20"/>
                <w:color w:val="auto"/>
              </w:rPr>
            </w:pPr>
            <w:r>
              <w:rPr>
                <w:rFonts w:ascii="Arial" w:cs="Arial" w:eastAsia="Arial" w:hAnsi="Arial"/>
                <w:sz w:val="14"/>
                <w:szCs w:val="14"/>
                <w:b w:val="1"/>
                <w:bCs w:val="1"/>
                <w:u w:val="single" w:color="auto"/>
                <w:color w:val="auto"/>
                <w:w w:val="94"/>
              </w:rPr>
              <w:t>Compensation($</w:t>
            </w:r>
            <w:r>
              <w:rPr>
                <w:rFonts w:ascii="Arial" w:cs="Arial" w:eastAsia="Arial" w:hAnsi="Arial"/>
                <w:sz w:val="14"/>
                <w:szCs w:val="14"/>
                <w:b w:val="1"/>
                <w:bCs w:val="1"/>
                <w:color w:val="auto"/>
                <w:w w:val="94"/>
              </w:rPr>
              <w:t>)</w:t>
            </w:r>
          </w:p>
        </w:tc>
      </w:tr>
      <w:tr>
        <w:trPr>
          <w:trHeight w:val="203"/>
        </w:trPr>
        <w:tc>
          <w:tcPr>
            <w:tcW w:w="2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Baty</w:t>
            </w:r>
          </w:p>
        </w:tc>
        <w:tc>
          <w:tcPr>
            <w:tcW w:w="4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1,988,000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799,500</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799,500</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Mr. Hodge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563,250</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551,000</w:t>
            </w:r>
          </w:p>
        </w:tc>
        <w:tc>
          <w:tcPr>
            <w:tcW w:w="100" w:type="dxa"/>
            <w:vAlign w:val="bottom"/>
            <w:shd w:val="clear" w:color="auto" w:fill="CCEEFF"/>
          </w:tcPr>
          <w:p>
            <w:pPr>
              <w:spacing w:after="0"/>
              <w:rPr>
                <w:sz w:val="18"/>
                <w:szCs w:val="18"/>
                <w:color w:val="auto"/>
              </w:rPr>
            </w:pPr>
          </w:p>
        </w:tc>
      </w:tr>
      <w:tr>
        <w:trPr>
          <w:trHeight w:val="363"/>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20" w:type="dxa"/>
            <w:vAlign w:val="bottom"/>
          </w:tcPr>
          <w:p>
            <w:pPr>
              <w:jc w:val="right"/>
              <w:ind w:right="2616"/>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Compensation Committee:</w:t>
      </w:r>
    </w:p>
    <w:p>
      <w:pPr>
        <w:spacing w:after="0" w:line="90" w:lineRule="exact"/>
        <w:rPr>
          <w:sz w:val="20"/>
          <w:szCs w:val="20"/>
          <w:color w:val="auto"/>
        </w:rPr>
      </w:pPr>
    </w:p>
    <w:p>
      <w:pPr>
        <w:ind w:left="1920" w:right="140" w:hanging="318"/>
        <w:spacing w:after="0" w:line="268"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Has reviewed and discussed the section in this Proxy Statement entitled “Compensation Discussion and Analysis” with management; and</w:t>
      </w:r>
    </w:p>
    <w:p>
      <w:pPr>
        <w:spacing w:after="0" w:line="50" w:lineRule="exact"/>
        <w:rPr>
          <w:rFonts w:ascii="Arial" w:cs="Arial" w:eastAsia="Arial" w:hAnsi="Arial"/>
          <w:sz w:val="18"/>
          <w:szCs w:val="18"/>
          <w:color w:val="auto"/>
        </w:rPr>
      </w:pPr>
    </w:p>
    <w:p>
      <w:pPr>
        <w:ind w:left="1920" w:right="980" w:hanging="318"/>
        <w:spacing w:after="0" w:line="268"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the review and discussions referred to above, the Compensation Committee recommended to the Board that the Compensation Discussion and Analysis be included in this Proxy Statement.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 of the Compensation Committee:</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G. Fanelli</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Michael E. Werner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David L. Pugh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All compensation decisions during the fiscal year ended December 31, 2012 for each of the Named Executive Officers were made by the Compensation Committee, consisting of Messrs. Warshaw, Fanelli, Pugh and Werner, none of whom is or was an officer or employee of the Company during the last fiscal year or prior to the last fiscal year, or had any relationship requiring disclosure pursuant to Item 404 of Regulation S-K.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 to Shareholders</w:t>
      </w:r>
    </w:p>
    <w:p>
      <w:pPr>
        <w:spacing w:after="0" w:line="96"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In accordance with its written charter adopted by the Board, the Audit Committee assists the Board in fulfilling its responsibility for oversight of the quality and integrity of the accounting, auditing and financial reporting practices of the Company. Management has the responsibility for preparation of the Company’s financial statements and the registered independent public accounting firm has the responsibility for the audit of those statements. Each member of the Audit Committee meets the independence requirements of the NASDAQ rules.</w:t>
      </w:r>
    </w:p>
    <w:p>
      <w:pPr>
        <w:spacing w:after="0" w:line="11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Audit Committee has reviewed and discussed with the Company’s management and PricewaterhouseCoopers LLP, the Company’s registered independent public accounting firm, the audited financial statements of the Company for 2012; has discussed with PricewaterhouseCoopers LLP matters required to be discussed by the Statement on Auditing Standards No. 61, as amended, as adopted by the Public Company Accounting Oversight Board (“PCAOB”) in Rule 3200T; has received from the registered independent public accounting firm the written disclosures and letter required by PCAOB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the Company’s Annual Report on Form 10-K for the fiscal year ended December 31, 2012 for filing with the SEC.</w:t>
      </w:r>
    </w:p>
    <w:p>
      <w:pPr>
        <w:spacing w:after="0" w:line="11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www.nnbr.com</w:t>
      </w:r>
      <w:r>
        <w:rPr>
          <w:rFonts w:ascii="Arial" w:cs="Arial" w:eastAsia="Arial" w:hAnsi="Arial"/>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 Ronald Morris</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David L. Pugh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 w:name="page26"/>
    <w:bookmarkEnd w:id="2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Except as noted below, the Company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Other than the transaction described below, the Company has not engaged in a related party transaction in the last six years.</w:t>
      </w:r>
    </w:p>
    <w:p>
      <w:pPr>
        <w:spacing w:after="0" w:line="113"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As part of the Board-approved acquisition of Whirlaway Corporation on November 30, 2006, the Company entered into operating leases covering two of the Whirlaway manufacturing facilities with a company owned by Thomas Zupan, who was an executive officer of the Company during 2011. Although employed by the Company until his resignation on April 2, 2012, Mr. Zupan was no longer an executive officer of the Company. The terms of the leases are at prevailing market rates of the rental market in which the facilities are located. The rent payments in 2011 and 2012 to Mr. Zupan were $0.6 million and $0.6 million, respectively. The total future rental payments will be $3.2 million over five years or $0.6 million per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96"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The Company’s 2012 Annual Report to Shareholders, which includes its Annual Report on Form 10-K for the year ended December 31, 2012, is being mailed together with this Proxy Statement. Exhibits to the Annual Report on Form 10-K may be obtained by contacting the Secretary of the Company at 2000 Waters Edge Drive, Building C, Suite 12, Johnson City, Tennessee 37604.</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534795" cy="608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47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C. Kelly,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Chief Administrative Officer and Secretary</w:t>
      </w:r>
    </w:p>
    <w:p>
      <w:pPr>
        <w:spacing w:after="0" w:line="182" w:lineRule="exact"/>
        <w:rPr>
          <w:sz w:val="20"/>
          <w:szCs w:val="20"/>
          <w:color w:val="auto"/>
        </w:rPr>
      </w:pPr>
    </w:p>
    <w:p>
      <w:pPr>
        <w:ind w:right="320" w:firstLine="913"/>
        <w:spacing w:after="0" w:line="339" w:lineRule="auto"/>
        <w:rPr>
          <w:sz w:val="20"/>
          <w:szCs w:val="20"/>
          <w:color w:val="auto"/>
        </w:rPr>
      </w:pPr>
      <w:r>
        <w:rPr>
          <w:rFonts w:ascii="Arial" w:cs="Arial" w:eastAsia="Arial" w:hAnsi="Arial"/>
          <w:sz w:val="16"/>
          <w:szCs w:val="16"/>
          <w:b w:val="1"/>
          <w:bCs w:val="1"/>
          <w:color w:val="auto"/>
        </w:rPr>
        <w:t>SHAREHOLDERS ARE REQUESTED TO MARK, DATE AND SIGN THE ENCLOSED PROXY CARD AND RETURN IT IN THE ENCLOSED ENVELOPE. YOUR PROMPT RESPONSE WILL BE HELPFUL, AND YOUR COOPERATION WILL BE APPRECIATED.</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74" w:right="319" w:bottom="1440" w:gutter="0" w:footer="0" w:header="0"/>
        </w:sectPr>
      </w:pPr>
    </w:p>
    <w:bookmarkStart w:id="26" w:name="page27"/>
    <w:bookmarkEnd w:id="26"/>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Arial" w:cs="Arial" w:eastAsia="Arial" w:hAnsi="Arial"/>
          <w:sz w:val="14"/>
          <w:szCs w:val="14"/>
          <w:b w:val="1"/>
          <w:bCs w:val="1"/>
          <w:i w:val="1"/>
          <w:iCs w:val="1"/>
          <w:color w:val="auto"/>
        </w:rPr>
        <w:t>NN, INC.</w:t>
      </w:r>
    </w:p>
    <w:p>
      <w:pPr>
        <w:ind w:left="880"/>
        <w:spacing w:after="0" w:line="221" w:lineRule="auto"/>
        <w:rPr>
          <w:sz w:val="20"/>
          <w:szCs w:val="20"/>
          <w:color w:val="auto"/>
        </w:rPr>
      </w:pPr>
      <w:r>
        <w:rPr>
          <w:rFonts w:ascii="Arial" w:cs="Arial" w:eastAsia="Arial" w:hAnsi="Arial"/>
          <w:sz w:val="14"/>
          <w:szCs w:val="14"/>
          <w:b w:val="1"/>
          <w:bCs w:val="1"/>
          <w:i w:val="1"/>
          <w:iCs w:val="1"/>
          <w:color w:val="auto"/>
        </w:rPr>
        <w:t>2000 WATERS EDGE DRIVE</w:t>
      </w:r>
    </w:p>
    <w:p>
      <w:pPr>
        <w:ind w:left="880"/>
        <w:spacing w:after="0" w:line="221" w:lineRule="auto"/>
        <w:rPr>
          <w:sz w:val="20"/>
          <w:szCs w:val="20"/>
          <w:color w:val="auto"/>
        </w:rPr>
      </w:pPr>
      <w:r>
        <w:rPr>
          <w:rFonts w:ascii="Arial" w:cs="Arial" w:eastAsia="Arial" w:hAnsi="Arial"/>
          <w:sz w:val="14"/>
          <w:szCs w:val="14"/>
          <w:b w:val="1"/>
          <w:bCs w:val="1"/>
          <w:i w:val="1"/>
          <w:iCs w:val="1"/>
          <w:color w:val="auto"/>
        </w:rPr>
        <w:t>BUILDING C, STE. 12</w:t>
      </w:r>
    </w:p>
    <w:p>
      <w:pPr>
        <w:ind w:left="880"/>
        <w:spacing w:after="0"/>
        <w:rPr>
          <w:sz w:val="20"/>
          <w:szCs w:val="20"/>
          <w:color w:val="auto"/>
        </w:rPr>
      </w:pPr>
      <w:r>
        <w:rPr>
          <w:rFonts w:ascii="Arial" w:cs="Arial" w:eastAsia="Arial" w:hAnsi="Arial"/>
          <w:sz w:val="14"/>
          <w:szCs w:val="14"/>
          <w:b w:val="1"/>
          <w:bCs w:val="1"/>
          <w:i w:val="1"/>
          <w:iCs w:val="1"/>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-187960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1"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71"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71" w:lineRule="exact"/>
        <w:rPr>
          <w:sz w:val="20"/>
          <w:szCs w:val="20"/>
          <w:color w:val="auto"/>
        </w:rPr>
      </w:pPr>
    </w:p>
    <w:p>
      <w:pPr>
        <w:ind w:right="100"/>
        <w:spacing w:after="0" w:line="318"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310" w:lineRule="exact"/>
        <w:rPr>
          <w:sz w:val="20"/>
          <w:szCs w:val="20"/>
          <w:color w:val="auto"/>
        </w:rPr>
      </w:pPr>
    </w:p>
    <w:p>
      <w:pPr>
        <w:ind w:left="2720"/>
        <w:spacing w:after="0"/>
        <w:rPr>
          <w:sz w:val="20"/>
          <w:szCs w:val="20"/>
          <w:color w:val="auto"/>
        </w:rPr>
      </w:pPr>
      <w:r>
        <w:rPr>
          <w:rFonts w:ascii="Arial" w:cs="Arial" w:eastAsia="Arial" w:hAnsi="Arial"/>
          <w:sz w:val="12"/>
          <w:szCs w:val="12"/>
          <w:color w:val="auto"/>
        </w:rPr>
        <w:t>KEEP THIS PORTION FOR YOUR RECORDS</w:t>
      </w:r>
    </w:p>
    <w:p>
      <w:pPr>
        <w:spacing w:after="0" w:line="27" w:lineRule="exact"/>
        <w:rPr>
          <w:sz w:val="20"/>
          <w:szCs w:val="20"/>
          <w:color w:val="auto"/>
        </w:rPr>
      </w:pPr>
    </w:p>
    <w:p>
      <w:pPr>
        <w:sectPr>
          <w:pgSz w:w="11900" w:h="16838" w:orient="portrait"/>
          <w:cols w:equalWidth="0" w:num="2">
            <w:col w:w="5240" w:space="720"/>
            <w:col w:w="5480"/>
          </w:cols>
          <w:pgMar w:left="240" w:top="275" w:right="219" w:bottom="1440" w:gutter="0" w:footer="0" w:header="0"/>
        </w:sectPr>
      </w:pPr>
    </w:p>
    <w:p>
      <w:pPr>
        <w:spacing w:after="0"/>
        <w:rPr>
          <w:sz w:val="20"/>
          <w:szCs w:val="20"/>
          <w:color w:val="auto"/>
        </w:rPr>
      </w:pPr>
      <w:r>
        <w:rPr>
          <w:rFonts w:ascii="Arial" w:cs="Arial" w:eastAsia="Arial" w:hAnsi="Arial"/>
          <w:sz w:val="18"/>
          <w:szCs w:val="18"/>
          <w:color w:val="auto"/>
        </w:rPr>
        <w:t>— — — — — — — — — — — — — — — — — — — — — — — — — — — — — — — — — — — — — — — — — — —</w:t>
      </w:r>
    </w:p>
    <w:tbl>
      <w:tblPr>
        <w:tblLayout w:type="fixed"/>
        <w:tblInd w:w="10" w:type="dxa"/>
        <w:tblCellMar>
          <w:top w:w="0" w:type="dxa"/>
          <w:left w:w="0" w:type="dxa"/>
          <w:bottom w:w="0" w:type="dxa"/>
          <w:right w:w="0" w:type="dxa"/>
        </w:tblCellMar>
      </w:tblPr>
      <w:tr>
        <w:trPr>
          <w:trHeight w:val="139"/>
        </w:trPr>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60" w:type="dxa"/>
            <w:vAlign w:val="bottom"/>
            <w:gridSpan w:val="6"/>
          </w:tcPr>
          <w:p>
            <w:pPr>
              <w:ind w:left="360"/>
              <w:spacing w:after="0" w:line="139" w:lineRule="exact"/>
              <w:rPr>
                <w:sz w:val="20"/>
                <w:szCs w:val="20"/>
                <w:color w:val="auto"/>
              </w:rPr>
            </w:pPr>
            <w:r>
              <w:rPr>
                <w:rFonts w:ascii="Arial" w:cs="Arial" w:eastAsia="Arial" w:hAnsi="Arial"/>
                <w:sz w:val="14"/>
                <w:szCs w:val="14"/>
                <w:color w:val="auto"/>
                <w:w w:val="92"/>
              </w:rPr>
              <w:t>DETACH AND RETURN THIS PORTION ONLY</w:t>
            </w: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540" w:type="dxa"/>
            <w:vAlign w:val="bottom"/>
            <w:gridSpan w:val="11"/>
          </w:tcPr>
          <w:p>
            <w:pPr>
              <w:ind w:left="1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gridSpan w:val="5"/>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For</w:t>
            </w:r>
          </w:p>
        </w:tc>
        <w:tc>
          <w:tcPr>
            <w:tcW w:w="102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90"/>
              </w:rPr>
              <w:t>Withhold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For All</w:t>
            </w:r>
          </w:p>
        </w:tc>
        <w:tc>
          <w:tcPr>
            <w:tcW w:w="2440" w:type="dxa"/>
            <w:vAlign w:val="bottom"/>
            <w:gridSpan w:val="5"/>
          </w:tcPr>
          <w:p>
            <w:pPr>
              <w:ind w:left="60"/>
              <w:spacing w:after="0" w:line="149" w:lineRule="exact"/>
              <w:rPr>
                <w:sz w:val="20"/>
                <w:szCs w:val="20"/>
                <w:color w:val="auto"/>
              </w:rPr>
            </w:pPr>
            <w:r>
              <w:rPr>
                <w:rFonts w:ascii="Arial" w:cs="Arial" w:eastAsia="Arial" w:hAnsi="Arial"/>
                <w:sz w:val="14"/>
                <w:szCs w:val="14"/>
                <w:color w:val="auto"/>
              </w:rPr>
              <w:t>To withhold authority to vote for</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jc w:val="center"/>
              <w:ind w:left="46"/>
              <w:spacing w:after="0" w:line="151" w:lineRule="exact"/>
              <w:rPr>
                <w:sz w:val="20"/>
                <w:szCs w:val="20"/>
                <w:color w:val="auto"/>
              </w:rPr>
            </w:pPr>
            <w:r>
              <w:rPr>
                <w:rFonts w:ascii="Arial" w:cs="Arial" w:eastAsia="Arial" w:hAnsi="Arial"/>
                <w:sz w:val="14"/>
                <w:szCs w:val="14"/>
                <w:b w:val="1"/>
                <w:bCs w:val="1"/>
                <w:color w:val="auto"/>
              </w:rPr>
              <w:t>All</w:t>
            </w:r>
          </w:p>
        </w:tc>
        <w:tc>
          <w:tcPr>
            <w:tcW w:w="1020" w:type="dxa"/>
            <w:vAlign w:val="bottom"/>
          </w:tcPr>
          <w:p>
            <w:pPr>
              <w:jc w:val="center"/>
              <w:ind w:left="87"/>
              <w:spacing w:after="0" w:line="151" w:lineRule="exact"/>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7"/>
              </w:rPr>
              <w:t>Except</w:t>
            </w:r>
          </w:p>
        </w:tc>
        <w:tc>
          <w:tcPr>
            <w:tcW w:w="2440" w:type="dxa"/>
            <w:vAlign w:val="bottom"/>
            <w:gridSpan w:val="5"/>
          </w:tcPr>
          <w:p>
            <w:pPr>
              <w:ind w:left="60"/>
              <w:spacing w:after="0" w:line="151" w:lineRule="exact"/>
              <w:rPr>
                <w:sz w:val="20"/>
                <w:szCs w:val="20"/>
                <w:color w:val="auto"/>
              </w:rPr>
            </w:pPr>
            <w:r>
              <w:rPr>
                <w:rFonts w:ascii="Arial" w:cs="Arial" w:eastAsia="Arial" w:hAnsi="Arial"/>
                <w:sz w:val="14"/>
                <w:szCs w:val="14"/>
                <w:color w:val="auto"/>
              </w:rPr>
              <w:t>any individual nominee(s), mark</w:t>
            </w: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40" w:type="dxa"/>
            <w:vAlign w:val="bottom"/>
            <w:gridSpan w:val="5"/>
          </w:tcPr>
          <w:p>
            <w:pPr>
              <w:ind w:left="60"/>
              <w:spacing w:after="0" w:line="159" w:lineRule="exact"/>
              <w:rPr>
                <w:sz w:val="20"/>
                <w:szCs w:val="20"/>
                <w:color w:val="auto"/>
              </w:rPr>
            </w:pPr>
            <w:r>
              <w:rPr>
                <w:rFonts w:ascii="Arial" w:cs="Arial" w:eastAsia="Arial" w:hAnsi="Arial"/>
                <w:sz w:val="14"/>
                <w:szCs w:val="14"/>
                <w:color w:val="auto"/>
              </w:rPr>
              <w:t>“For All Except” and write the</w:t>
            </w:r>
          </w:p>
        </w:tc>
        <w:tc>
          <w:tcPr>
            <w:tcW w:w="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0" w:type="dxa"/>
            <w:vAlign w:val="bottom"/>
            <w:tcBorders>
              <w:left w:val="single" w:sz="8" w:color="auto"/>
            </w:tcBorders>
          </w:tcPr>
          <w:p>
            <w:pPr>
              <w:spacing w:after="0"/>
              <w:rPr>
                <w:sz w:val="9"/>
                <w:szCs w:val="9"/>
                <w:color w:val="auto"/>
              </w:rPr>
            </w:pPr>
          </w:p>
        </w:tc>
        <w:tc>
          <w:tcPr>
            <w:tcW w:w="3280" w:type="dxa"/>
            <w:vAlign w:val="bottom"/>
            <w:gridSpan w:val="3"/>
          </w:tcPr>
          <w:p>
            <w:pPr>
              <w:ind w:left="100"/>
              <w:spacing w:after="0" w:line="111" w:lineRule="exact"/>
              <w:rPr>
                <w:sz w:val="20"/>
                <w:szCs w:val="20"/>
                <w:color w:val="auto"/>
              </w:rPr>
            </w:pPr>
            <w:r>
              <w:rPr>
                <w:rFonts w:ascii="Arial" w:cs="Arial" w:eastAsia="Arial" w:hAnsi="Arial"/>
                <w:sz w:val="12"/>
                <w:szCs w:val="12"/>
                <w:b w:val="1"/>
                <w:bCs w:val="1"/>
                <w:color w:val="auto"/>
              </w:rPr>
              <w:t>The Board of Directors recommends you vote</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40" w:type="dxa"/>
            <w:vAlign w:val="bottom"/>
            <w:gridSpan w:val="5"/>
          </w:tcPr>
          <w:p>
            <w:pPr>
              <w:ind w:left="60"/>
              <w:spacing w:after="0" w:line="111" w:lineRule="exact"/>
              <w:rPr>
                <w:sz w:val="20"/>
                <w:szCs w:val="20"/>
                <w:color w:val="auto"/>
              </w:rPr>
            </w:pPr>
            <w:r>
              <w:rPr>
                <w:rFonts w:ascii="Arial" w:cs="Arial" w:eastAsia="Arial" w:hAnsi="Arial"/>
                <w:sz w:val="12"/>
                <w:szCs w:val="12"/>
                <w:color w:val="auto"/>
              </w:rPr>
              <w:t>number(s) of the nominee(s) on</w:t>
            </w:r>
          </w:p>
        </w:tc>
        <w:tc>
          <w:tcPr>
            <w:tcW w:w="5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0" w:type="dxa"/>
            <w:vAlign w:val="bottom"/>
            <w:tcBorders>
              <w:left w:val="single" w:sz="8" w:color="auto"/>
            </w:tcBorders>
          </w:tcPr>
          <w:p>
            <w:pPr>
              <w:spacing w:after="0"/>
              <w:rPr>
                <w:sz w:val="16"/>
                <w:szCs w:val="16"/>
                <w:color w:val="auto"/>
              </w:rPr>
            </w:pPr>
          </w:p>
        </w:tc>
        <w:tc>
          <w:tcPr>
            <w:tcW w:w="3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following:</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vMerge w:val="restart"/>
          </w:tcPr>
          <w:p>
            <w:pPr>
              <w:jc w:val="center"/>
              <w:ind w:left="46"/>
              <w:spacing w:after="0" w:line="181" w:lineRule="exact"/>
              <w:rPr>
                <w:sz w:val="20"/>
                <w:szCs w:val="20"/>
                <w:color w:val="auto"/>
              </w:rPr>
            </w:pPr>
            <w:r>
              <w:rPr>
                <w:rFonts w:ascii="MS PGothic" w:cs="MS PGothic" w:eastAsia="MS PGothic" w:hAnsi="MS PGothic"/>
                <w:sz w:val="18"/>
                <w:szCs w:val="18"/>
                <w:color w:val="auto"/>
                <w:w w:val="77"/>
              </w:rPr>
              <w:t>☐</w:t>
            </w:r>
          </w:p>
        </w:tc>
        <w:tc>
          <w:tcPr>
            <w:tcW w:w="1020" w:type="dxa"/>
            <w:vAlign w:val="bottom"/>
            <w:vMerge w:val="restart"/>
          </w:tcPr>
          <w:p>
            <w:pPr>
              <w:jc w:val="center"/>
              <w:ind w:left="67"/>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gridSpan w:val="5"/>
          </w:tcPr>
          <w:p>
            <w:pPr>
              <w:ind w:left="60"/>
              <w:spacing w:after="0"/>
              <w:rPr>
                <w:sz w:val="20"/>
                <w:szCs w:val="20"/>
                <w:color w:val="auto"/>
              </w:rPr>
            </w:pPr>
            <w:r>
              <w:rPr>
                <w:rFonts w:ascii="Arial" w:cs="Arial" w:eastAsia="Arial" w:hAnsi="Arial"/>
                <w:sz w:val="14"/>
                <w:szCs w:val="14"/>
                <w:color w:val="auto"/>
              </w:rPr>
              <w:t>the line below.</w:t>
            </w:r>
          </w:p>
        </w:tc>
        <w:tc>
          <w:tcPr>
            <w:tcW w:w="5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1.</w:t>
            </w:r>
          </w:p>
        </w:tc>
        <w:tc>
          <w:tcPr>
            <w:tcW w:w="2940" w:type="dxa"/>
            <w:vAlign w:val="bottom"/>
            <w:gridSpan w:val="2"/>
          </w:tcPr>
          <w:p>
            <w:pPr>
              <w:ind w:left="200"/>
              <w:spacing w:after="0"/>
              <w:rPr>
                <w:sz w:val="20"/>
                <w:szCs w:val="20"/>
                <w:color w:val="auto"/>
              </w:rPr>
            </w:pPr>
            <w:r>
              <w:rPr>
                <w:rFonts w:ascii="Arial" w:cs="Arial" w:eastAsia="Arial" w:hAnsi="Arial"/>
                <w:sz w:val="14"/>
                <w:szCs w:val="14"/>
                <w:color w:val="auto"/>
              </w:rPr>
              <w:t>Election of Directors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2"/>
          </w:tcPr>
          <w:p>
            <w:pPr>
              <w:ind w:left="200"/>
              <w:spacing w:after="0"/>
              <w:rPr>
                <w:sz w:val="20"/>
                <w:szCs w:val="20"/>
                <w:color w:val="auto"/>
              </w:rPr>
            </w:pPr>
            <w:r>
              <w:rPr>
                <w:rFonts w:ascii="Arial" w:cs="Arial" w:eastAsia="Arial" w:hAnsi="Arial"/>
                <w:sz w:val="14"/>
                <w:szCs w:val="14"/>
                <w:b w:val="1"/>
                <w:bCs w:val="1"/>
                <w:color w:val="auto"/>
              </w:rPr>
              <w:t>Nominees</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4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color w:val="auto"/>
              </w:rPr>
              <w:t>01</w:t>
            </w:r>
          </w:p>
        </w:tc>
        <w:tc>
          <w:tcPr>
            <w:tcW w:w="2940" w:type="dxa"/>
            <w:vAlign w:val="bottom"/>
            <w:gridSpan w:val="2"/>
          </w:tcPr>
          <w:p>
            <w:pPr>
              <w:ind w:left="200"/>
              <w:spacing w:after="0"/>
              <w:rPr>
                <w:sz w:val="20"/>
                <w:szCs w:val="20"/>
                <w:color w:val="auto"/>
              </w:rPr>
            </w:pPr>
            <w:r>
              <w:rPr>
                <w:rFonts w:ascii="Arial" w:cs="Arial" w:eastAsia="Arial" w:hAnsi="Arial"/>
                <w:sz w:val="14"/>
                <w:szCs w:val="14"/>
                <w:color w:val="auto"/>
              </w:rPr>
              <w:t>Richard G. Fanelli</w:t>
            </w:r>
          </w:p>
        </w:tc>
        <w:tc>
          <w:tcPr>
            <w:tcW w:w="440" w:type="dxa"/>
            <w:vAlign w:val="bottom"/>
          </w:tcPr>
          <w:p>
            <w:pPr>
              <w:ind w:left="100"/>
              <w:spacing w:after="0"/>
              <w:rPr>
                <w:sz w:val="20"/>
                <w:szCs w:val="20"/>
                <w:color w:val="auto"/>
              </w:rPr>
            </w:pPr>
            <w:r>
              <w:rPr>
                <w:rFonts w:ascii="Arial" w:cs="Arial" w:eastAsia="Arial" w:hAnsi="Arial"/>
                <w:sz w:val="14"/>
                <w:szCs w:val="14"/>
                <w:color w:val="auto"/>
              </w:rPr>
              <w:t>02</w:t>
            </w:r>
          </w:p>
        </w:tc>
        <w:tc>
          <w:tcPr>
            <w:tcW w:w="1960" w:type="dxa"/>
            <w:vAlign w:val="bottom"/>
            <w:gridSpan w:val="3"/>
          </w:tcPr>
          <w:p>
            <w:pPr>
              <w:ind w:left="60"/>
              <w:spacing w:after="0"/>
              <w:rPr>
                <w:sz w:val="20"/>
                <w:szCs w:val="20"/>
                <w:color w:val="auto"/>
              </w:rPr>
            </w:pPr>
            <w:r>
              <w:rPr>
                <w:rFonts w:ascii="Arial" w:cs="Arial" w:eastAsia="Arial" w:hAnsi="Arial"/>
                <w:sz w:val="14"/>
                <w:szCs w:val="14"/>
                <w:color w:val="auto"/>
              </w:rPr>
              <w:t>Michael E. Werner</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Borders>
              <w:left w:val="single" w:sz="8" w:color="auto"/>
            </w:tcBorders>
          </w:tcPr>
          <w:p>
            <w:pPr>
              <w:spacing w:after="0"/>
              <w:rPr>
                <w:sz w:val="24"/>
                <w:szCs w:val="24"/>
                <w:color w:val="auto"/>
              </w:rPr>
            </w:pPr>
          </w:p>
        </w:tc>
        <w:tc>
          <w:tcPr>
            <w:tcW w:w="5680" w:type="dxa"/>
            <w:vAlign w:val="bottom"/>
            <w:gridSpan w:val="7"/>
          </w:tcPr>
          <w:p>
            <w:pPr>
              <w:ind w:left="100"/>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464"/>
        </w:trPr>
        <w:tc>
          <w:tcPr>
            <w:tcW w:w="54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w:t>
            </w:r>
          </w:p>
        </w:tc>
        <w:tc>
          <w:tcPr>
            <w:tcW w:w="5340" w:type="dxa"/>
            <w:vAlign w:val="bottom"/>
            <w:gridSpan w:val="6"/>
          </w:tcPr>
          <w:p>
            <w:pPr>
              <w:ind w:left="120"/>
              <w:spacing w:after="0"/>
              <w:rPr>
                <w:sz w:val="20"/>
                <w:szCs w:val="20"/>
                <w:color w:val="auto"/>
              </w:rPr>
            </w:pPr>
            <w:r>
              <w:rPr>
                <w:rFonts w:ascii="Arial" w:cs="Arial" w:eastAsia="Arial" w:hAnsi="Arial"/>
                <w:sz w:val="14"/>
                <w:szCs w:val="14"/>
                <w:color w:val="auto"/>
              </w:rPr>
              <w:t>To approve an advisory resolution on executive compensation.</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Borders>
              <w:right w:val="single" w:sz="8" w:color="auto"/>
            </w:tcBorders>
            <w:gridSpan w:val="2"/>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59"/>
        </w:trPr>
        <w:tc>
          <w:tcPr>
            <w:tcW w:w="54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3</w:t>
            </w:r>
          </w:p>
        </w:tc>
        <w:tc>
          <w:tcPr>
            <w:tcW w:w="7040" w:type="dxa"/>
            <w:vAlign w:val="bottom"/>
            <w:gridSpan w:val="8"/>
          </w:tcPr>
          <w:p>
            <w:pPr>
              <w:ind w:left="120"/>
              <w:spacing w:after="0"/>
              <w:rPr>
                <w:sz w:val="20"/>
                <w:szCs w:val="20"/>
                <w:color w:val="auto"/>
              </w:rPr>
            </w:pPr>
            <w:r>
              <w:rPr>
                <w:rFonts w:ascii="Arial" w:cs="Arial" w:eastAsia="Arial" w:hAnsi="Arial"/>
                <w:sz w:val="14"/>
                <w:szCs w:val="14"/>
                <w:color w:val="auto"/>
                <w:w w:val="91"/>
              </w:rPr>
              <w:t>For ratification of the selection of PRICEWATERHOUSECOOPERS LLP as registered independent public accounting firm.</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Borders>
              <w:right w:val="single" w:sz="8" w:color="auto"/>
            </w:tcBorders>
            <w:gridSpan w:val="2"/>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87"/>
        </w:trPr>
        <w:tc>
          <w:tcPr>
            <w:tcW w:w="200" w:type="dxa"/>
            <w:vAlign w:val="bottom"/>
            <w:tcBorders>
              <w:left w:val="single" w:sz="8" w:color="auto"/>
            </w:tcBorders>
          </w:tcPr>
          <w:p>
            <w:pPr>
              <w:spacing w:after="0"/>
              <w:rPr>
                <w:sz w:val="24"/>
                <w:szCs w:val="24"/>
                <w:color w:val="auto"/>
              </w:rPr>
            </w:pPr>
          </w:p>
        </w:tc>
        <w:tc>
          <w:tcPr>
            <w:tcW w:w="5680" w:type="dxa"/>
            <w:vAlign w:val="bottom"/>
            <w:gridSpan w:val="7"/>
          </w:tcPr>
          <w:p>
            <w:pPr>
              <w:ind w:left="100"/>
              <w:spacing w:after="0"/>
              <w:rPr>
                <w:sz w:val="20"/>
                <w:szCs w:val="20"/>
                <w:color w:val="auto"/>
              </w:rPr>
            </w:pPr>
            <w:r>
              <w:rPr>
                <w:rFonts w:ascii="Arial" w:cs="Arial" w:eastAsia="Arial" w:hAnsi="Arial"/>
                <w:sz w:val="14"/>
                <w:szCs w:val="14"/>
                <w:b w:val="1"/>
                <w:bCs w:val="1"/>
                <w:color w:val="auto"/>
                <w:w w:val="90"/>
              </w:rPr>
              <w:t xml:space="preserve">NOTE: </w:t>
            </w:r>
            <w:r>
              <w:rPr>
                <w:rFonts w:ascii="Arial" w:cs="Arial" w:eastAsia="Arial" w:hAnsi="Arial"/>
                <w:sz w:val="14"/>
                <w:szCs w:val="14"/>
                <w:color w:val="auto"/>
                <w:w w:val="90"/>
              </w:rPr>
              <w:t>Such other business as may properly come before the meeting or any adjournment thereof.</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0" w:type="dxa"/>
            <w:vAlign w:val="bottom"/>
            <w:tcBorders>
              <w:left w:val="single" w:sz="8" w:color="auto"/>
            </w:tcBorders>
          </w:tcPr>
          <w:p>
            <w:pPr>
              <w:spacing w:after="0"/>
              <w:rPr>
                <w:sz w:val="24"/>
                <w:szCs w:val="24"/>
                <w:color w:val="auto"/>
              </w:rPr>
            </w:pPr>
          </w:p>
        </w:tc>
        <w:tc>
          <w:tcPr>
            <w:tcW w:w="9820" w:type="dxa"/>
            <w:vAlign w:val="bottom"/>
            <w:gridSpan w:val="14"/>
          </w:tcPr>
          <w:p>
            <w:pPr>
              <w:ind w:left="100"/>
              <w:spacing w:after="0"/>
              <w:rPr>
                <w:sz w:val="20"/>
                <w:szCs w:val="20"/>
                <w:color w:val="auto"/>
              </w:rPr>
            </w:pPr>
            <w:r>
              <w:rPr>
                <w:rFonts w:ascii="Arial" w:cs="Arial" w:eastAsia="Arial" w:hAnsi="Arial"/>
                <w:sz w:val="14"/>
                <w:szCs w:val="14"/>
                <w:color w:val="auto"/>
              </w:rPr>
              <w:t>Please sign exactly as name appears hereon. Joint owners should each sign. When signing as an attorney, executor, administrator, trustee or</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7380" w:type="dxa"/>
            <w:vAlign w:val="bottom"/>
            <w:gridSpan w:val="9"/>
          </w:tcPr>
          <w:p>
            <w:pPr>
              <w:ind w:left="100"/>
              <w:spacing w:after="0" w:line="149" w:lineRule="exact"/>
              <w:rPr>
                <w:sz w:val="20"/>
                <w:szCs w:val="20"/>
                <w:color w:val="auto"/>
              </w:rPr>
            </w:pPr>
            <w:r>
              <w:rPr>
                <w:rFonts w:ascii="Arial" w:cs="Arial" w:eastAsia="Arial" w:hAnsi="Arial"/>
                <w:sz w:val="14"/>
                <w:szCs w:val="14"/>
                <w:color w:val="auto"/>
                <w:w w:val="88"/>
              </w:rPr>
              <w:t>guardian, please give full title as such. If a corporation, please sign in full corporate name by President or other authorized officer. If a</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3720" w:type="dxa"/>
            <w:vAlign w:val="bottom"/>
            <w:gridSpan w:val="4"/>
          </w:tcPr>
          <w:p>
            <w:pPr>
              <w:ind w:left="100"/>
              <w:spacing w:after="0"/>
              <w:rPr>
                <w:sz w:val="20"/>
                <w:szCs w:val="20"/>
                <w:color w:val="auto"/>
              </w:rPr>
            </w:pPr>
            <w:r>
              <w:rPr>
                <w:rFonts w:ascii="Arial" w:cs="Arial" w:eastAsia="Arial" w:hAnsi="Arial"/>
                <w:sz w:val="14"/>
                <w:szCs w:val="14"/>
                <w:color w:val="auto"/>
                <w:w w:val="86"/>
              </w:rPr>
              <w:t>partnership, please sign in partnership name by authorized person.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28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200" w:type="dxa"/>
            <w:vAlign w:val="bottom"/>
            <w:tcBorders>
              <w:left w:val="single" w:sz="8" w:color="auto"/>
              <w:right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500" w:type="dxa"/>
            <w:vAlign w:val="bottom"/>
            <w:tcBorders>
              <w:top w:val="single" w:sz="8" w:color="auto"/>
              <w:bottom w:val="single" w:sz="8" w:color="auto"/>
              <w:right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3280" w:type="dxa"/>
            <w:vAlign w:val="bottom"/>
            <w:gridSpan w:val="3"/>
          </w:tcPr>
          <w:p>
            <w:pPr>
              <w:ind w:left="100"/>
              <w:spacing w:after="0"/>
              <w:rPr>
                <w:sz w:val="20"/>
                <w:szCs w:val="20"/>
                <w:color w:val="auto"/>
              </w:rPr>
            </w:pPr>
            <w:r>
              <w:rPr>
                <w:rFonts w:ascii="Arial" w:cs="Arial" w:eastAsia="Arial" w:hAnsi="Arial"/>
                <w:sz w:val="14"/>
                <w:szCs w:val="14"/>
                <w:color w:val="auto"/>
              </w:rPr>
              <w:t>Signature [PLEASE SIGN WITHIN BOX]</w:t>
            </w:r>
          </w:p>
        </w:tc>
        <w:tc>
          <w:tcPr>
            <w:tcW w:w="440" w:type="dxa"/>
            <w:vAlign w:val="bottom"/>
          </w:tcPr>
          <w:p>
            <w:pPr>
              <w:ind w:left="100"/>
              <w:spacing w:after="0"/>
              <w:rPr>
                <w:sz w:val="20"/>
                <w:szCs w:val="20"/>
                <w:color w:val="auto"/>
              </w:rPr>
            </w:pPr>
            <w:r>
              <w:rPr>
                <w:rFonts w:ascii="Arial" w:cs="Arial" w:eastAsia="Arial" w:hAnsi="Arial"/>
                <w:sz w:val="14"/>
                <w:szCs w:val="14"/>
                <w:color w:val="auto"/>
              </w:rPr>
              <w:t>Date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w w:val="99"/>
              </w:rPr>
              <w:t>Signature (Joint Owners)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Date</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0" w:type="dxa"/>
            <w:vAlign w:val="bottom"/>
            <w:tcBorders>
              <w:left w:val="single" w:sz="8" w:color="auto"/>
              <w:bottom w:val="single" w:sz="8" w:color="auto"/>
            </w:tcBorders>
          </w:tcPr>
          <w:p>
            <w:pPr>
              <w:spacing w:after="0"/>
              <w:rPr>
                <w:sz w:val="12"/>
                <w:szCs w:val="12"/>
                <w:color w:val="auto"/>
              </w:rPr>
            </w:pPr>
          </w:p>
        </w:tc>
        <w:tc>
          <w:tcPr>
            <w:tcW w:w="780" w:type="dxa"/>
            <w:vAlign w:val="bottom"/>
            <w:tcBorders>
              <w:bottom w:val="single" w:sz="8" w:color="auto"/>
            </w:tcBorders>
            <w:gridSpan w:val="2"/>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right"/>
              <w:ind w:right="92"/>
              <w:spacing w:after="0"/>
              <w:rPr>
                <w:sz w:val="20"/>
                <w:szCs w:val="20"/>
                <w:color w:val="auto"/>
              </w:rPr>
            </w:pPr>
            <w:r>
              <w:rPr>
                <w:rFonts w:ascii="Arial" w:cs="Arial" w:eastAsia="Arial" w:hAnsi="Arial"/>
                <w:sz w:val="14"/>
                <w:szCs w:val="14"/>
                <w:color w:val="auto"/>
                <w:w w:val="85"/>
              </w:rPr>
              <w:t>0000156433_1</w:t>
            </w:r>
          </w:p>
        </w:tc>
        <w:tc>
          <w:tcPr>
            <w:tcW w:w="2500" w:type="dxa"/>
            <w:vAlign w:val="bottom"/>
          </w:tcPr>
          <w:p>
            <w:pPr>
              <w:ind w:left="140"/>
              <w:spacing w:after="0"/>
              <w:rPr>
                <w:sz w:val="20"/>
                <w:szCs w:val="20"/>
                <w:color w:val="auto"/>
              </w:rPr>
            </w:pPr>
            <w:r>
              <w:rPr>
                <w:rFonts w:ascii="Arial" w:cs="Arial" w:eastAsia="Arial" w:hAnsi="Arial"/>
                <w:sz w:val="14"/>
                <w:szCs w:val="14"/>
                <w:color w:val="auto"/>
              </w:rPr>
              <w:t>R1.0.0.51160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5" w:right="21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 available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765" cy="255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25558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2000 Waters Edge Drive, Bldg. C., Ste. 12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Johnson City, TN 37604</w:t>
      </w:r>
    </w:p>
    <w:p>
      <w:pPr>
        <w:spacing w:after="0" w:line="361" w:lineRule="exact"/>
        <w:rPr>
          <w:sz w:val="20"/>
          <w:szCs w:val="20"/>
          <w:color w:val="auto"/>
        </w:rPr>
      </w:pPr>
    </w:p>
    <w:p>
      <w:pPr>
        <w:jc w:val="both"/>
        <w:ind w:left="940" w:right="860"/>
        <w:spacing w:after="0" w:line="339" w:lineRule="auto"/>
        <w:rPr>
          <w:sz w:val="20"/>
          <w:szCs w:val="20"/>
          <w:color w:val="auto"/>
        </w:rPr>
      </w:pPr>
      <w:r>
        <w:rPr>
          <w:rFonts w:ascii="Arial" w:cs="Arial" w:eastAsia="Arial" w:hAnsi="Arial"/>
          <w:sz w:val="16"/>
          <w:szCs w:val="16"/>
          <w:b w:val="1"/>
          <w:bCs w:val="1"/>
          <w:color w:val="auto"/>
        </w:rPr>
        <w:t>SOLICITED BY THE BOARD OF DIRECTORS FOR THE ANNUAL MEETING OF STOCKHOLDERS TO BE HELD ON MAY 16, 2013, AT THE RENAISSANCE CHARLESTON HOTEL, 68 WENTWORTH STREET, CHARLESTON, SC 29401.</w:t>
      </w:r>
    </w:p>
    <w:p>
      <w:pPr>
        <w:spacing w:after="0" w:line="121" w:lineRule="exact"/>
        <w:rPr>
          <w:sz w:val="20"/>
          <w:szCs w:val="20"/>
          <w:color w:val="auto"/>
        </w:rPr>
      </w:pPr>
    </w:p>
    <w:p>
      <w:pPr>
        <w:jc w:val="both"/>
        <w:ind w:left="940" w:right="820"/>
        <w:spacing w:after="0" w:line="306" w:lineRule="auto"/>
        <w:rPr>
          <w:sz w:val="20"/>
          <w:szCs w:val="20"/>
          <w:color w:val="auto"/>
        </w:rPr>
      </w:pPr>
      <w:r>
        <w:rPr>
          <w:rFonts w:ascii="Arial" w:cs="Arial" w:eastAsia="Arial" w:hAnsi="Arial"/>
          <w:sz w:val="16"/>
          <w:szCs w:val="16"/>
          <w:color w:val="auto"/>
        </w:rPr>
        <w:t>The undersigned stockholder hereby appoints William C. Kelly, Jr. and James H. Dorton,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41" w:lineRule="exact"/>
        <w:rPr>
          <w:sz w:val="20"/>
          <w:szCs w:val="20"/>
          <w:color w:val="auto"/>
        </w:rPr>
      </w:pPr>
    </w:p>
    <w:p>
      <w:pPr>
        <w:ind w:left="940" w:right="1180"/>
        <w:spacing w:after="0" w:line="26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THIS PROXY WILL BE VOTED FOR THE NOMINEES IN ITEM 1 AND FOR IN ITEMS 2 AND 3.</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36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0000156433_2</w:t>
      </w:r>
      <w:r>
        <w:rPr>
          <w:sz w:val="20"/>
          <w:szCs w:val="20"/>
          <w:color w:val="auto"/>
        </w:rPr>
        <w:tab/>
      </w:r>
      <w:r>
        <w:rPr>
          <w:rFonts w:ascii="Arial" w:cs="Arial" w:eastAsia="Arial" w:hAnsi="Arial"/>
          <w:sz w:val="15"/>
          <w:szCs w:val="15"/>
          <w:color w:val="auto"/>
        </w:rPr>
        <w:t>R1.0.0.51160</w:t>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2)"/>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3"/>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2019-12-06T11:14:06Z</dcterms:created>
  <dcterms:modified xsi:type="dcterms:W3CDTF">2019-12-06T11:14:06Z</dcterms:modified>
</cp:coreProperties>
</file>