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4775835</wp:posOffset>
            </wp:positionH>
            <wp:positionV relativeFrom="page">
              <wp:posOffset>144780</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730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4"/>
          <w:szCs w:val="24"/>
          <w:color w:val="auto"/>
        </w:rPr>
      </w:pPr>
    </w:p>
    <w:p>
      <w:pPr>
        <w:ind w:left="7340"/>
        <w:spacing w:after="0"/>
        <w:rPr>
          <w:sz w:val="20"/>
          <w:szCs w:val="20"/>
          <w:color w:val="auto"/>
        </w:rPr>
      </w:pPr>
      <w:r>
        <w:rPr>
          <w:rFonts w:ascii="Arial" w:cs="Arial" w:eastAsia="Arial" w:hAnsi="Arial"/>
          <w:sz w:val="15"/>
          <w:szCs w:val="15"/>
          <w:color w:val="auto"/>
        </w:rPr>
        <w:t>Expires: February 28, 2009</w:t>
      </w:r>
    </w:p>
    <w:p>
      <w:pPr>
        <w:spacing w:after="0" w:line="96"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4"/>
          <w:szCs w:val="24"/>
          <w:color w:val="auto"/>
        </w:rPr>
      </w:pPr>
    </w:p>
    <w:p>
      <w:pPr>
        <w:ind w:left="7340"/>
        <w:spacing w:after="0"/>
        <w:rPr>
          <w:sz w:val="20"/>
          <w:szCs w:val="20"/>
          <w:color w:val="auto"/>
        </w:rPr>
      </w:pPr>
      <w:r>
        <w:rPr>
          <w:rFonts w:ascii="Arial" w:cs="Arial" w:eastAsia="Arial" w:hAnsi="Arial"/>
          <w:sz w:val="16"/>
          <w:szCs w:val="16"/>
          <w:color w:val="auto"/>
        </w:rPr>
        <w:t>hours per response. . . 11</w:t>
      </w:r>
    </w:p>
    <w:p>
      <w:pPr>
        <w:spacing w:after="0" w:line="200" w:lineRule="exact"/>
        <w:rPr>
          <w:sz w:val="24"/>
          <w:szCs w:val="24"/>
          <w:color w:val="auto"/>
        </w:rPr>
      </w:pPr>
    </w:p>
    <w:p>
      <w:pPr>
        <w:spacing w:after="0" w:line="266"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5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(Amendment No. 4 )</w:t>
      </w:r>
    </w:p>
    <w:p>
      <w:pPr>
        <w:spacing w:after="0" w:line="256"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280" w:right="1440" w:bottom="169"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280" w:right="1440" w:bottom="169"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280" w:right="1440" w:bottom="169"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280" w:right="1440" w:bottom="169"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2,016,327</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1,710,927</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2,020,227</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12.41 %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right="8139" w:hanging="374"/>
        <w:spacing w:after="0" w:line="326"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Name of Issuer NN, Inc.</w:t>
      </w: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2000 WATERS EDGE DR, JOHNSON CITY, TN 37604</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31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right="66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Title of Class of Securities Common Stock, $0.01 par value</w:t>
      </w: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629337106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ectPr>
          <w:pgSz w:w="11900" w:h="16838" w:orient="portrait"/>
          <w:cols w:equalWidth="0" w:num="1">
            <w:col w:w="10159"/>
          </w:cols>
          <w:pgMar w:left="300" w:top="118" w:right="1440" w:bottom="0" w:gutter="0" w:footer="0" w:header="0"/>
        </w:sectPr>
      </w:pPr>
    </w:p>
    <w:bookmarkStart w:id="2" w:name="page3"/>
    <w:bookmarkEnd w:id="2"/>
    <w:p>
      <w:pPr>
        <w:ind w:left="1240" w:right="1559" w:hanging="900"/>
        <w:spacing w:after="0" w:line="251" w:lineRule="auto"/>
        <w:tabs>
          <w:tab w:leader="none" w:pos="794"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6" w:lineRule="exact"/>
        <w:rPr>
          <w:sz w:val="20"/>
          <w:szCs w:val="20"/>
          <w:color w:val="auto"/>
        </w:rPr>
      </w:pPr>
    </w:p>
    <w:p>
      <w:pPr>
        <w:ind w:left="300"/>
        <w:spacing w:after="0"/>
        <w:tabs>
          <w:tab w:leader="none" w:pos="760" w:val="left"/>
          <w:tab w:leader="none" w:pos="1220" w:val="left"/>
        </w:tabs>
        <w:rPr>
          <w:sz w:val="20"/>
          <w:szCs w:val="20"/>
          <w:color w:val="auto"/>
        </w:rPr>
      </w:pPr>
      <w:r>
        <w:rPr>
          <w:rFonts w:ascii="Arial" w:cs="Arial" w:eastAsia="Arial" w:hAnsi="Arial"/>
          <w:sz w:val="22"/>
          <w:szCs w:val="22"/>
          <w:color w:val="auto"/>
        </w:rPr>
        <w:t>(g)</w:t>
        <w:tab/>
        <w:t>[X</w:t>
      </w:r>
      <w:r>
        <w:rPr>
          <w:sz w:val="20"/>
          <w:szCs w:val="20"/>
          <w:color w:val="auto"/>
        </w:rPr>
        <w:tab/>
      </w:r>
      <w:r>
        <w:rPr>
          <w:rFonts w:ascii="Arial" w:cs="Arial" w:eastAsia="Arial" w:hAnsi="Arial"/>
          <w:sz w:val="19"/>
          <w:szCs w:val="19"/>
          <w:color w:val="auto"/>
        </w:rPr>
        <w:t>A parent holding company or control person in accordance with 240.13d-1(b)(1)(ii)(G);</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240" w:right="1459" w:hanging="936"/>
        <w:spacing w:after="0" w:line="251"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760" w:hanging="434"/>
        <w:spacing w:after="0"/>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 2,020,227</w:t>
      </w:r>
    </w:p>
    <w:p>
      <w:pPr>
        <w:spacing w:after="0" w:line="98" w:lineRule="exact"/>
        <w:rPr>
          <w:rFonts w:ascii="Arial" w:cs="Arial" w:eastAsia="Arial" w:hAnsi="Arial"/>
          <w:sz w:val="22"/>
          <w:szCs w:val="22"/>
          <w:color w:val="auto"/>
        </w:rPr>
      </w:pPr>
    </w:p>
    <w:p>
      <w:pPr>
        <w:ind w:left="760" w:hanging="434"/>
        <w:spacing w:after="0"/>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12.41%</w:t>
      </w:r>
    </w:p>
    <w:p>
      <w:pPr>
        <w:spacing w:after="0" w:line="98" w:lineRule="exact"/>
        <w:rPr>
          <w:rFonts w:ascii="Arial" w:cs="Arial" w:eastAsia="Arial" w:hAnsi="Arial"/>
          <w:sz w:val="22"/>
          <w:szCs w:val="22"/>
          <w:color w:val="auto"/>
        </w:rPr>
      </w:pPr>
    </w:p>
    <w:p>
      <w:pPr>
        <w:ind w:left="760" w:hanging="434"/>
        <w:spacing w:after="0"/>
        <w:tabs>
          <w:tab w:leader="none" w:pos="7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vote or to direct the vote 2,016,327</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1,710,927</w:t>
      </w:r>
    </w:p>
    <w:p>
      <w:pPr>
        <w:spacing w:after="0" w:line="98" w:lineRule="exact"/>
        <w:rPr>
          <w:rFonts w:ascii="Arial" w:cs="Arial" w:eastAsia="Arial" w:hAnsi="Arial"/>
          <w:sz w:val="22"/>
          <w:szCs w:val="22"/>
          <w:color w:val="auto"/>
        </w:rPr>
      </w:pPr>
    </w:p>
    <w:p>
      <w:pPr>
        <w:ind w:left="1560" w:hanging="802"/>
        <w:spacing w:after="0"/>
        <w:tabs>
          <w:tab w:leader="none" w:pos="15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563816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45720</wp:posOffset>
            </wp:positionV>
            <wp:extent cx="57029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2935" cy="17145"/>
                    </a:xfrm>
                    <a:prstGeom prst="rect">
                      <a:avLst/>
                    </a:prstGeom>
                    <a:noFill/>
                  </pic:spPr>
                </pic:pic>
              </a:graphicData>
            </a:graphic>
          </wp:anchor>
        </w:drawing>
      </w:r>
    </w:p>
    <w:p>
      <w:pPr>
        <w:spacing w:after="0" w:line="111" w:lineRule="exact"/>
        <w:rPr>
          <w:sz w:val="20"/>
          <w:szCs w:val="20"/>
          <w:color w:val="auto"/>
        </w:rPr>
      </w:pPr>
    </w:p>
    <w:p>
      <w:pPr>
        <w:ind w:left="760" w:hanging="434"/>
        <w:spacing w:after="0"/>
        <w:tabs>
          <w:tab w:leader="none" w:pos="7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76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sz w:val="20"/>
          <w:szCs w:val="20"/>
          <w:color w:val="auto"/>
        </w:rPr>
      </w:pPr>
    </w:p>
    <w:p>
      <w:pPr>
        <w:ind w:left="760" w:right="8359" w:hanging="2"/>
        <w:spacing w:after="0" w:line="328" w:lineRule="auto"/>
        <w:tabs>
          <w:tab w:leader="none" w:pos="1066" w:val="left"/>
        </w:tabs>
        <w:numPr>
          <w:ilvl w:val="1"/>
          <w:numId w:val="15"/>
        </w:numPr>
        <w:rPr>
          <w:rFonts w:ascii="Arial" w:cs="Arial" w:eastAsia="Arial" w:hAnsi="Arial"/>
          <w:sz w:val="19"/>
          <w:szCs w:val="19"/>
          <w:color w:val="auto"/>
        </w:rPr>
      </w:pPr>
      <w:r>
        <w:rPr>
          <w:rFonts w:ascii="Arial" w:cs="Arial" w:eastAsia="Arial" w:hAnsi="Arial"/>
          <w:sz w:val="19"/>
          <w:szCs w:val="19"/>
          <w:color w:val="auto"/>
        </w:rPr>
        <w:t>Tax ID 95-3692822</w:t>
      </w:r>
    </w:p>
    <w:p>
      <w:pPr>
        <w:spacing w:after="0" w:line="348" w:lineRule="exact"/>
        <w:rPr>
          <w:rFonts w:ascii="Arial" w:cs="Arial" w:eastAsia="Arial" w:hAnsi="Arial"/>
          <w:sz w:val="19"/>
          <w:szCs w:val="19"/>
          <w:color w:val="auto"/>
        </w:rPr>
      </w:pPr>
    </w:p>
    <w:p>
      <w:pPr>
        <w:ind w:left="760" w:hanging="434"/>
        <w:spacing w:after="0"/>
        <w:tabs>
          <w:tab w:leader="none" w:pos="7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100" w:hanging="342"/>
        <w:spacing w:after="0"/>
        <w:tabs>
          <w:tab w:leader="none" w:pos="11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120" w:hanging="362"/>
        <w:spacing w:after="0"/>
        <w:tabs>
          <w:tab w:leader="none" w:pos="1120" w:val="left"/>
        </w:tabs>
        <w:numPr>
          <w:ilvl w:val="1"/>
          <w:numId w:val="16"/>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-1194435</wp:posOffset>
            </wp:positionV>
            <wp:extent cx="563816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20"/>
        <w:spacing w:after="0"/>
        <w:tabs>
          <w:tab w:leader="none" w:pos="740" w:val="left"/>
        </w:tabs>
        <w:rPr>
          <w:sz w:val="20"/>
          <w:szCs w:val="20"/>
          <w:color w:val="auto"/>
        </w:rPr>
      </w:pPr>
      <w:r>
        <w:rPr>
          <w:rFonts w:ascii="Arial" w:cs="Arial" w:eastAsia="Arial" w:hAnsi="Arial"/>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5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22"/>
                <w:szCs w:val="22"/>
                <w:color w:val="auto"/>
                <w:w w:val="76"/>
              </w:rPr>
              <w:t>5.</w:t>
            </w:r>
          </w:p>
        </w:tc>
        <w:tc>
          <w:tcPr>
            <w:tcW w:w="7140" w:type="dxa"/>
            <w:vAlign w:val="bottom"/>
          </w:tcPr>
          <w:p>
            <w:pPr>
              <w:ind w:left="40"/>
              <w:spacing w:after="0"/>
              <w:rPr>
                <w:sz w:val="20"/>
                <w:szCs w:val="20"/>
                <w:color w:val="auto"/>
              </w:rPr>
            </w:pPr>
            <w:r>
              <w:rPr>
                <w:rFonts w:ascii="Arial" w:cs="Arial" w:eastAsia="Arial" w:hAnsi="Arial"/>
                <w:sz w:val="22"/>
                <w:szCs w:val="22"/>
                <w:color w:val="auto"/>
              </w:rPr>
              <w:t>Sole Voting Power 1,606,027</w:t>
            </w:r>
          </w:p>
        </w:tc>
        <w:tc>
          <w:tcPr>
            <w:tcW w:w="0" w:type="dxa"/>
            <w:vAlign w:val="bottom"/>
          </w:tcPr>
          <w:p>
            <w:pPr>
              <w:spacing w:after="0"/>
              <w:rPr>
                <w:sz w:val="1"/>
                <w:szCs w:val="1"/>
                <w:color w:val="auto"/>
              </w:rPr>
            </w:pPr>
          </w:p>
        </w:tc>
      </w:tr>
      <w:tr>
        <w:trPr>
          <w:trHeight w:val="216"/>
        </w:trPr>
        <w:tc>
          <w:tcPr>
            <w:tcW w:w="156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180" w:type="dxa"/>
            <w:vAlign w:val="bottom"/>
            <w:tcBorders>
              <w:bottom w:val="single" w:sz="8" w:color="808080"/>
            </w:tcBorders>
          </w:tcPr>
          <w:p>
            <w:pPr>
              <w:spacing w:after="0"/>
              <w:rPr>
                <w:sz w:val="18"/>
                <w:szCs w:val="18"/>
                <w:color w:val="auto"/>
              </w:rPr>
            </w:pPr>
          </w:p>
        </w:tc>
        <w:tc>
          <w:tcPr>
            <w:tcW w:w="7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76"/>
              </w:rPr>
              <w:t>6.</w:t>
            </w:r>
          </w:p>
        </w:tc>
        <w:tc>
          <w:tcPr>
            <w:tcW w:w="7140" w:type="dxa"/>
            <w:vAlign w:val="bottom"/>
          </w:tcPr>
          <w:p>
            <w:pPr>
              <w:ind w:left="80"/>
              <w:spacing w:after="0" w:line="243" w:lineRule="exact"/>
              <w:rPr>
                <w:sz w:val="20"/>
                <w:szCs w:val="20"/>
                <w:color w:val="auto"/>
              </w:rPr>
            </w:pPr>
            <w:r>
              <w:rPr>
                <w:rFonts w:ascii="Arial" w:cs="Arial" w:eastAsia="Arial" w:hAnsi="Arial"/>
                <w:sz w:val="22"/>
                <w:szCs w:val="22"/>
                <w:color w:val="auto"/>
              </w:rPr>
              <w:t>Shared Voting Power 0</w:t>
            </w:r>
          </w:p>
        </w:tc>
        <w:tc>
          <w:tcPr>
            <w:tcW w:w="0" w:type="dxa"/>
            <w:vAlign w:val="bottom"/>
          </w:tcPr>
          <w:p>
            <w:pPr>
              <w:spacing w:after="0"/>
              <w:rPr>
                <w:sz w:val="1"/>
                <w:szCs w:val="1"/>
                <w:color w:val="auto"/>
              </w:rPr>
            </w:pPr>
          </w:p>
        </w:tc>
      </w:tr>
      <w:tr>
        <w:trPr>
          <w:trHeight w:val="261"/>
        </w:trPr>
        <w:tc>
          <w:tcPr>
            <w:tcW w:w="1560" w:type="dxa"/>
            <w:vAlign w:val="bottom"/>
          </w:tcPr>
          <w:p>
            <w:pPr>
              <w:spacing w:after="0" w:line="248" w:lineRule="exact"/>
              <w:rPr>
                <w:sz w:val="20"/>
                <w:szCs w:val="20"/>
                <w:color w:val="auto"/>
              </w:rPr>
            </w:pPr>
            <w:r>
              <w:rPr>
                <w:rFonts w:ascii="Arial" w:cs="Arial" w:eastAsia="Arial" w:hAnsi="Arial"/>
                <w:sz w:val="22"/>
                <w:szCs w:val="22"/>
                <w:color w:val="auto"/>
              </w:rPr>
              <w:t>Beneficially</w:t>
            </w:r>
          </w:p>
        </w:tc>
        <w:tc>
          <w:tcPr>
            <w:tcW w:w="180" w:type="dxa"/>
            <w:vAlign w:val="bottom"/>
            <w:tcBorders>
              <w:bottom w:val="single" w:sz="8" w:color="808080"/>
            </w:tcBorders>
          </w:tcPr>
          <w:p>
            <w:pPr>
              <w:spacing w:after="0"/>
              <w:rPr>
                <w:sz w:val="22"/>
                <w:szCs w:val="22"/>
                <w:color w:val="auto"/>
              </w:rPr>
            </w:pPr>
          </w:p>
        </w:tc>
        <w:tc>
          <w:tcPr>
            <w:tcW w:w="71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560" w:type="dxa"/>
            <w:vAlign w:val="bottom"/>
          </w:tcPr>
          <w:p>
            <w:pPr>
              <w:spacing w:after="0" w:line="205" w:lineRule="exact"/>
              <w:rPr>
                <w:sz w:val="20"/>
                <w:szCs w:val="20"/>
                <w:color w:val="auto"/>
              </w:rPr>
            </w:pPr>
            <w:r>
              <w:rPr>
                <w:rFonts w:ascii="Arial" w:cs="Arial" w:eastAsia="Arial" w:hAnsi="Arial"/>
                <w:sz w:val="22"/>
                <w:szCs w:val="22"/>
                <w:color w:val="auto"/>
              </w:rPr>
              <w:t>Owned by</w:t>
            </w:r>
          </w:p>
        </w:tc>
        <w:tc>
          <w:tcPr>
            <w:tcW w:w="180" w:type="dxa"/>
            <w:vAlign w:val="bottom"/>
            <w:vMerge w:val="restart"/>
          </w:tcPr>
          <w:p>
            <w:pPr>
              <w:jc w:val="right"/>
              <w:spacing w:after="0"/>
              <w:rPr>
                <w:sz w:val="20"/>
                <w:szCs w:val="20"/>
                <w:color w:val="auto"/>
              </w:rPr>
            </w:pPr>
            <w:r>
              <w:rPr>
                <w:rFonts w:ascii="Arial" w:cs="Arial" w:eastAsia="Arial" w:hAnsi="Arial"/>
                <w:sz w:val="22"/>
                <w:szCs w:val="22"/>
                <w:color w:val="auto"/>
                <w:w w:val="76"/>
              </w:rPr>
              <w:t>7.</w:t>
            </w:r>
          </w:p>
        </w:tc>
        <w:tc>
          <w:tcPr>
            <w:tcW w:w="7140" w:type="dxa"/>
            <w:vAlign w:val="bottom"/>
            <w:vMerge w:val="restart"/>
          </w:tcPr>
          <w:p>
            <w:pPr>
              <w:ind w:left="40"/>
              <w:spacing w:after="0"/>
              <w:rPr>
                <w:sz w:val="20"/>
                <w:szCs w:val="20"/>
                <w:color w:val="auto"/>
              </w:rPr>
            </w:pPr>
            <w:r>
              <w:rPr>
                <w:rFonts w:ascii="Arial" w:cs="Arial" w:eastAsia="Arial" w:hAnsi="Arial"/>
                <w:sz w:val="22"/>
                <w:szCs w:val="22"/>
                <w:color w:val="auto"/>
              </w:rPr>
              <w:t>Sole Dispositive Power 1,710,927</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Each Reporting</w:t>
            </w:r>
          </w:p>
        </w:tc>
        <w:tc>
          <w:tcPr>
            <w:tcW w:w="180" w:type="dxa"/>
            <w:vAlign w:val="bottom"/>
            <w:vMerge w:val="continue"/>
          </w:tcPr>
          <w:p>
            <w:pPr>
              <w:spacing w:after="0"/>
              <w:rPr>
                <w:sz w:val="21"/>
                <w:szCs w:val="21"/>
                <w:color w:val="auto"/>
              </w:rPr>
            </w:pPr>
          </w:p>
        </w:tc>
        <w:tc>
          <w:tcPr>
            <w:tcW w:w="7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line="221" w:lineRule="exact"/>
              <w:rPr>
                <w:sz w:val="20"/>
                <w:szCs w:val="20"/>
                <w:color w:val="auto"/>
              </w:rPr>
            </w:pPr>
            <w:r>
              <w:rPr>
                <w:rFonts w:ascii="Arial" w:cs="Arial" w:eastAsia="Arial" w:hAnsi="Arial"/>
                <w:sz w:val="22"/>
                <w:szCs w:val="22"/>
                <w:color w:val="auto"/>
              </w:rPr>
              <w:t>Person With</w:t>
            </w:r>
          </w:p>
        </w:tc>
        <w:tc>
          <w:tcPr>
            <w:tcW w:w="180" w:type="dxa"/>
            <w:vAlign w:val="bottom"/>
            <w:tcBorders>
              <w:bottom w:val="single" w:sz="8" w:color="808080"/>
            </w:tcBorders>
          </w:tcPr>
          <w:p>
            <w:pPr>
              <w:spacing w:after="0"/>
              <w:rPr>
                <w:sz w:val="20"/>
                <w:szCs w:val="20"/>
                <w:color w:val="auto"/>
              </w:rPr>
            </w:pPr>
          </w:p>
        </w:tc>
        <w:tc>
          <w:tcPr>
            <w:tcW w:w="71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5624830</wp:posOffset>
            </wp:positionH>
            <wp:positionV relativeFrom="paragraph">
              <wp:posOffset>-906145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-906145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-460375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-460375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1" w:lineRule="exact"/>
        <w:rPr>
          <w:sz w:val="20"/>
          <w:szCs w:val="20"/>
          <w:color w:val="auto"/>
        </w:rPr>
      </w:pPr>
    </w:p>
    <w:p>
      <w:pPr>
        <w:ind w:left="1780" w:hanging="225"/>
        <w:spacing w:after="0"/>
        <w:tabs>
          <w:tab w:leader="none" w:pos="1780" w:val="left"/>
        </w:tabs>
        <w:numPr>
          <w:ilvl w:val="1"/>
          <w:numId w:val="17"/>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1,710,927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18" w:right="1440" w:bottom="109" w:gutter="0" w:footer="0" w:header="0"/>
        </w:sect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19"/>
          <w:szCs w:val="19"/>
          <w:color w:val="auto"/>
        </w:rPr>
        <w:t>10.  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563816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ectPr>
          <w:pgSz w:w="11900" w:h="16838" w:orient="portrait"/>
          <w:cols w:equalWidth="0" w:num="1">
            <w:col w:w="10159"/>
          </w:cols>
          <w:pgMar w:left="300" w:top="118" w:right="1440" w:bottom="109" w:gutter="0" w:footer="0" w:header="0"/>
          <w:type w:val="continuous"/>
        </w:sectPr>
      </w:pPr>
    </w:p>
    <w:bookmarkStart w:id="3" w:name="page4"/>
    <w:bookmarkEnd w:id="3"/>
    <w:p>
      <w:pPr>
        <w:ind w:left="760" w:hanging="434"/>
        <w:spacing w:after="0"/>
        <w:tabs>
          <w:tab w:leader="none" w:pos="7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Percent of Class Represented by Amount in Row (9) 10.51 %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60" w:hanging="434"/>
        <w:spacing w:after="0"/>
        <w:tabs>
          <w:tab w:leader="none" w:pos="7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3816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8165"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3816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381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right="8139" w:hanging="374"/>
        <w:spacing w:after="0" w:line="326" w:lineRule="auto"/>
        <w:tabs>
          <w:tab w:leader="none" w:pos="7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Name of Issuer NN, Inc.</w:t>
      </w:r>
    </w:p>
    <w:p>
      <w:pPr>
        <w:ind w:left="700" w:hanging="374"/>
        <w:spacing w:after="0"/>
        <w:tabs>
          <w:tab w:leader="none" w:pos="7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Address of Issuer's Principal Executive Offices</w:t>
      </w:r>
    </w:p>
    <w:p>
      <w:pPr>
        <w:spacing w:after="0" w:line="9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2000 WATERS EDGE DR, JOHNSON CITY, TN 37604</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Wells Capital Management Incorporated</w:t>
      </w:r>
    </w:p>
    <w:p>
      <w:pPr>
        <w:spacing w:after="0" w:line="80" w:lineRule="exact"/>
        <w:rPr>
          <w:rFonts w:ascii="Arial" w:cs="Arial" w:eastAsia="Arial" w:hAnsi="Arial"/>
          <w:sz w:val="22"/>
          <w:szCs w:val="22"/>
          <w:color w:val="auto"/>
        </w:rPr>
      </w:pPr>
    </w:p>
    <w:p>
      <w:pPr>
        <w:ind w:left="700" w:right="4339" w:hanging="374"/>
        <w:spacing w:after="0" w:line="32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525 Market Street, San Francisco, CA 94105</w:t>
      </w:r>
    </w:p>
    <w:p>
      <w:pPr>
        <w:ind w:left="700" w:right="8479" w:hanging="374"/>
        <w:spacing w:after="0" w:line="32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Citizenship California</w:t>
      </w:r>
    </w:p>
    <w:p>
      <w:pPr>
        <w:ind w:left="700" w:right="6679" w:hanging="374"/>
        <w:spacing w:after="0" w:line="326"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Title of Class of Securities Common Stock, $0.01 par value</w:t>
      </w:r>
    </w:p>
    <w:p>
      <w:pPr>
        <w:ind w:left="700" w:right="8099" w:hanging="374"/>
        <w:spacing w:after="0" w:line="328" w:lineRule="auto"/>
        <w:tabs>
          <w:tab w:leader="none" w:pos="7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CUSIP Number 629337106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22"/>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sz w:val="20"/>
          <w:szCs w:val="20"/>
          <w:color w:val="auto"/>
        </w:rPr>
      </w:pPr>
    </w:p>
    <w:p>
      <w:pPr>
        <w:ind w:left="320"/>
        <w:spacing w:after="0"/>
        <w:tabs>
          <w:tab w:leader="none" w:pos="760" w:val="left"/>
          <w:tab w:leader="none" w:pos="1220" w:val="left"/>
        </w:tabs>
        <w:rPr>
          <w:sz w:val="20"/>
          <w:szCs w:val="20"/>
          <w:color w:val="auto"/>
        </w:rPr>
      </w:pPr>
      <w:r>
        <w:rPr>
          <w:rFonts w:ascii="Arial" w:cs="Arial" w:eastAsia="Arial" w:hAnsi="Arial"/>
          <w:sz w:val="22"/>
          <w:szCs w:val="22"/>
          <w:color w:val="auto"/>
        </w:rPr>
        <w:t>(e)</w:t>
        <w:tab/>
        <w:t>[X</w:t>
      </w:r>
      <w:r>
        <w:rPr>
          <w:sz w:val="20"/>
          <w:szCs w:val="20"/>
          <w:color w:val="auto"/>
        </w:rPr>
        <w:tab/>
      </w:r>
      <w:r>
        <w:rPr>
          <w:rFonts w:ascii="Arial" w:cs="Arial" w:eastAsia="Arial" w:hAnsi="Arial"/>
          <w:sz w:val="19"/>
          <w:szCs w:val="19"/>
          <w:color w:val="auto"/>
        </w:rPr>
        <w:t>An investment adviser in accordance with 240.13d-1(b)(1)(ii)(E);</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240" w:right="1559" w:hanging="900"/>
        <w:spacing w:after="0" w:line="251"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5" w:lineRule="exact"/>
        <w:rPr>
          <w:rFonts w:ascii="Arial" w:cs="Arial" w:eastAsia="Arial" w:hAnsi="Arial"/>
          <w:sz w:val="22"/>
          <w:szCs w:val="22"/>
          <w:color w:val="auto"/>
        </w:rPr>
      </w:pPr>
    </w:p>
    <w:p>
      <w:pPr>
        <w:ind w:left="780" w:hanging="476"/>
        <w:spacing w:after="0"/>
        <w:tabs>
          <w:tab w:leader="none" w:pos="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240" w:right="1459" w:hanging="936"/>
        <w:spacing w:after="0" w:line="251"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1360" w:hanging="359"/>
        <w:spacing w:after="0"/>
        <w:tabs>
          <w:tab w:leader="none" w:pos="1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Amount beneficially owned: 1,710,927</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Percent of class: 10.51%</w:t>
      </w:r>
    </w:p>
    <w:p>
      <w:pPr>
        <w:spacing w:after="0" w:line="98" w:lineRule="exact"/>
        <w:rPr>
          <w:rFonts w:ascii="Arial" w:cs="Arial" w:eastAsia="Arial" w:hAnsi="Arial"/>
          <w:sz w:val="22"/>
          <w:szCs w:val="22"/>
          <w:color w:val="auto"/>
        </w:rPr>
      </w:pPr>
    </w:p>
    <w:p>
      <w:pPr>
        <w:ind w:left="1360" w:hanging="359"/>
        <w:spacing w:after="0"/>
        <w:tabs>
          <w:tab w:leader="none" w:pos="1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ectPr>
          <w:pgSz w:w="11900" w:h="16838" w:orient="portrait"/>
          <w:cols w:equalWidth="0" w:num="1">
            <w:col w:w="10159"/>
          </w:cols>
          <w:pgMar w:left="300" w:top="118" w:right="1440" w:bottom="0" w:gutter="0" w:footer="0" w:header="0"/>
        </w:sectPr>
      </w:pPr>
    </w:p>
    <w:bookmarkStart w:id="4" w:name="page5"/>
    <w:bookmarkEnd w:id="4"/>
    <w:p>
      <w:pPr>
        <w:spacing w:after="0" w:line="13" w:lineRule="exact"/>
        <w:rPr>
          <w:sz w:val="20"/>
          <w:szCs w:val="20"/>
          <w:color w:val="auto"/>
        </w:rPr>
      </w:pPr>
    </w:p>
    <w:p>
      <w:pPr>
        <w:ind w:left="1800" w:hanging="434"/>
        <w:spacing w:after="0"/>
        <w:tabs>
          <w:tab w:leader="none" w:pos="1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Sole power to vote or to direct the vote 1,606,027</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1,710,927</w:t>
      </w:r>
    </w:p>
    <w:p>
      <w:pPr>
        <w:spacing w:after="0" w:line="98" w:lineRule="exact"/>
        <w:rPr>
          <w:rFonts w:ascii="Arial" w:cs="Arial" w:eastAsia="Arial" w:hAnsi="Arial"/>
          <w:sz w:val="22"/>
          <w:szCs w:val="22"/>
          <w:color w:val="auto"/>
        </w:rPr>
      </w:pPr>
    </w:p>
    <w:p>
      <w:pPr>
        <w:ind w:left="1800" w:hanging="434"/>
        <w:spacing w:after="0"/>
        <w:tabs>
          <w:tab w:leader="none" w:pos="1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43"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51" w:orient="portrait"/>
          <w:cols w:equalWidth="0" w:num="1">
            <w:col w:w="10159"/>
          </w:cols>
          <w:pgMar w:left="300" w:top="118"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ind w:right="300"/>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color w:val="auto"/>
        </w:rPr>
        <w:t>See Exhibit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459"/>
        <w:spacing w:after="0" w:line="335"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335" w:lineRule="exact"/>
        <w:rPr>
          <w:sz w:val="20"/>
          <w:szCs w:val="20"/>
          <w:color w:val="auto"/>
        </w:rPr>
      </w:pPr>
    </w:p>
    <w:p>
      <w:pPr>
        <w:sectPr>
          <w:pgSz w:w="11900" w:h="16851" w:orient="portrait"/>
          <w:cols w:equalWidth="0" w:num="2">
            <w:col w:w="1200" w:space="160"/>
            <w:col w:w="8799"/>
          </w:cols>
          <w:pgMar w:left="300" w:top="118" w:right="1440" w:bottom="0" w:gutter="0" w:footer="0" w:header="0"/>
          <w:type w:val="continuous"/>
        </w:sectPr>
      </w:pPr>
    </w:p>
    <w:p>
      <w:pPr>
        <w:spacing w:after="0"/>
        <w:tabs>
          <w:tab w:leader="none" w:pos="13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January 24,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/s/ Mark B. Kraske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Mark B. Kraske, VP Trust Operations Management Support</w:t>
      </w:r>
    </w:p>
    <w:p>
      <w:pPr>
        <w:spacing w:after="0" w:line="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4445</wp:posOffset>
            </wp:positionV>
            <wp:extent cx="3395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Funds Management, LLC (1)</w:t>
      </w:r>
    </w:p>
    <w:p>
      <w:pPr>
        <w:spacing w:after="0"/>
        <w:rPr>
          <w:sz w:val="20"/>
          <w:szCs w:val="20"/>
          <w:color w:val="auto"/>
        </w:rPr>
      </w:pPr>
      <w:r>
        <w:rPr>
          <w:rFonts w:ascii="Arial" w:cs="Arial" w:eastAsia="Arial" w:hAnsi="Arial"/>
          <w:sz w:val="22"/>
          <w:szCs w:val="22"/>
          <w:color w:val="auto"/>
        </w:rPr>
        <w:t>Wells Fargo Bank, National Association (2)</w:t>
      </w:r>
    </w:p>
    <w:p>
      <w:pPr>
        <w:sectPr>
          <w:pgSz w:w="11900" w:h="16851" w:orient="portrait"/>
          <w:cols w:equalWidth="0" w:num="1">
            <w:col w:w="10159"/>
          </w:cols>
          <w:pgMar w:left="300" w:top="118" w:right="1440" w:bottom="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(1) Classified as a registered investment advisor in accordance with Regulation</w:t>
      </w:r>
    </w:p>
    <w:p>
      <w:pPr>
        <w:sectPr>
          <w:pgSz w:w="11900" w:h="16851" w:orient="portrait"/>
          <w:cols w:equalWidth="0" w:num="1">
            <w:col w:w="10159"/>
          </w:cols>
          <w:pgMar w:left="300" w:top="118" w:right="1440" w:bottom="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22"/>
          <w:szCs w:val="22"/>
          <w:color w:val="auto"/>
        </w:rPr>
        <w:t>13d-1(b)(1)(ii)(E).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22"/>
          <w:szCs w:val="22"/>
          <w:color w:val="auto"/>
        </w:rPr>
        <w:t>(2) Classified as a bank in accordance with Regulation 13d 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80" w:right="1379" w:hanging="1079"/>
        <w:spacing w:after="0" w:line="256" w:lineRule="auto"/>
        <w:tabs>
          <w:tab w:leader="none" w:pos="106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p>
      <w:pPr>
        <w:spacing w:after="0" w:line="58" w:lineRule="exact"/>
        <w:rPr>
          <w:sz w:val="20"/>
          <w:szCs w:val="20"/>
          <w:color w:val="auto"/>
        </w:rPr>
      </w:pPr>
    </w:p>
    <w:p>
      <w:pPr>
        <w:jc w:val="right"/>
        <w:ind w:right="1279"/>
        <w:spacing w:after="0"/>
        <w:rPr>
          <w:sz w:val="20"/>
          <w:szCs w:val="20"/>
          <w:color w:val="auto"/>
        </w:rPr>
      </w:pPr>
      <w:r>
        <w:rPr>
          <w:rFonts w:ascii="Arial" w:cs="Arial" w:eastAsia="Arial" w:hAnsi="Arial"/>
          <w:sz w:val="14"/>
          <w:szCs w:val="14"/>
          <w:color w:val="auto"/>
        </w:rPr>
        <w:t>Advisor Consultant Network, Inc. Copyright © 2006-2007</w:t>
      </w:r>
    </w:p>
    <w:sectPr>
      <w:pgSz w:w="11900" w:h="16838" w:orient="portrait"/>
      <w:cols w:equalWidth="0" w:num="1">
        <w:col w:w="10179"/>
      </w:cols>
      <w:pgMar w:left="28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1"/>
    </w:lvl>
    <w:lvl w:ilvl="1">
      <w:lvlJc w:val="left"/>
      <w:lvlText w:val="(%2)"/>
      <w:numFmt w:val="lowerLetter"/>
      <w:start w:val="2"/>
    </w:lvl>
  </w:abstractNum>
  <w:abstractNum w:abstractNumId="3">
    <w:nsid w:val="7FDCC233"/>
    <w:multiLevelType w:val="hybridMultilevel"/>
    <w:lvl w:ilvl="0">
      <w:lvlJc w:val="left"/>
      <w:lvlText w:val="%1."/>
      <w:numFmt w:val="decimal"/>
      <w:start w:val="2"/>
    </w:lvl>
    <w:lvl w:ilvl="1">
      <w:lvlJc w:val="left"/>
      <w:lvlText w:val="(%2)"/>
      <w:numFmt w:val="lowerLetter"/>
      <w:start w:val="1"/>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1"/>
    </w:lvl>
    <w:lvl w:ilvl="1">
      <w:lvlJc w:val="left"/>
      <w:lvlText w:val="%2."/>
      <w:numFmt w:val="decimal"/>
      <w:start w:val="8"/>
    </w:lvl>
  </w:abstractNum>
  <w:abstractNum w:abstractNumId="6">
    <w:nsid w:val="6B68079A"/>
    <w:multiLevelType w:val="hybridMultilevel"/>
    <w:lvl w:ilvl="0">
      <w:lvlJc w:val="left"/>
      <w:lvlText w:val="%1."/>
      <w:numFmt w:val="decimal"/>
      <w:start w:val="9"/>
    </w:lvl>
    <w:lvl w:ilvl="1">
      <w:lvlJc w:val="left"/>
      <w:lvlText w:val="%2"/>
      <w:numFmt w:val="decimal"/>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6"/>
    </w:lvl>
  </w:abstractNum>
  <w:abstractNum w:abstractNumId="11">
    <w:nsid w:val="3F2DBA31"/>
    <w:multiLevelType w:val="hybridMultilevel"/>
    <w:lvl w:ilvl="0">
      <w:lvlJc w:val="left"/>
      <w:lvlText w:val="(%1)"/>
      <w:numFmt w:val="lowerLetter"/>
      <w:start w:val="8"/>
    </w:lvl>
  </w:abstractNum>
  <w:abstractNum w:abstractNumId="12">
    <w:nsid w:val="7C83E458"/>
    <w:multiLevelType w:val="hybridMultilevel"/>
    <w:lvl w:ilvl="0">
      <w:lvlJc w:val="left"/>
      <w:lvlText w:val="(%1)"/>
      <w:numFmt w:val="lowerLetter"/>
      <w:start w:val="1"/>
    </w:lvl>
    <w:lvl w:ilvl="1">
      <w:lvlJc w:val="left"/>
      <w:lvlText w:val="(%2)"/>
      <w:numFmt w:val="lowerRoman"/>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2)"/>
      <w:numFmt w:val="lowerLetter"/>
      <w:start w:val="2"/>
    </w:lvl>
  </w:abstractNum>
  <w:abstractNum w:abstractNumId="15">
    <w:nsid w:val="436C6125"/>
    <w:multiLevelType w:val="hybridMultilevel"/>
    <w:lvl w:ilvl="0">
      <w:lvlJc w:val="left"/>
      <w:lvlText w:val="%1."/>
      <w:numFmt w:val="decimal"/>
      <w:start w:val="2"/>
    </w:lvl>
    <w:lvl w:ilvl="1">
      <w:lvlJc w:val="left"/>
      <w:lvlText w:val="(%2)"/>
      <w:numFmt w:val="lowerLetter"/>
      <w:start w:val="1"/>
    </w:lvl>
  </w:abstractNum>
  <w:abstractNum w:abstractNumId="16">
    <w:nsid w:val="628C895D"/>
    <w:multiLevelType w:val="hybridMultilevel"/>
    <w:lvl w:ilvl="0">
      <w:lvlJc w:val="left"/>
      <w:lvlText w:val="%1"/>
      <w:numFmt w:val="decimal"/>
      <w:start w:val="1"/>
    </w:lvl>
    <w:lvl w:ilvl="1">
      <w:lvlJc w:val="left"/>
      <w:lvlText w:val="%2."/>
      <w:numFmt w:val="decimal"/>
      <w:start w:val="8"/>
    </w:lvl>
  </w:abstractNum>
  <w:abstractNum w:abstractNumId="17">
    <w:nsid w:val="333AB105"/>
    <w:multiLevelType w:val="hybridMultilevel"/>
    <w:lvl w:ilvl="0">
      <w:lvlJc w:val="left"/>
      <w:lvlText w:val="%1."/>
      <w:numFmt w:val="decimal"/>
      <w:start w:val="9"/>
    </w:lvl>
    <w:lvl w:ilvl="1">
      <w:lvlJc w:val="left"/>
      <w:lvlText w:val="%2"/>
      <w:numFmt w:val="decimal"/>
      <w:start w:val="1"/>
    </w:lvl>
  </w:abstractNum>
  <w:abstractNum w:abstractNumId="18">
    <w:nsid w:val="721DA317"/>
    <w:multiLevelType w:val="hybridMultilevel"/>
    <w:lvl w:ilvl="0">
      <w:lvlJc w:val="left"/>
      <w:lvlText w:val="%1."/>
      <w:numFmt w:val="decimal"/>
      <w:start w:val="1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1)"/>
      <w:numFmt w:val="lowerLetter"/>
      <w:start w:val="6"/>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2019-12-14T03:05:29Z</dcterms:created>
  <dcterms:modified xsi:type="dcterms:W3CDTF">2019-12-14T03:05:29Z</dcterms:modified>
</cp:coreProperties>
</file>