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3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FORM 8-K</w:t>
      </w:r>
    </w:p>
    <w:p>
      <w:pPr>
        <w:spacing w:after="0" w:line="238" w:lineRule="exact"/>
        <w:rPr>
          <w:sz w:val="24"/>
          <w:szCs w:val="24"/>
          <w:color w:val="auto"/>
        </w:rPr>
      </w:pPr>
    </w:p>
    <w:p>
      <w:pPr>
        <w:jc w:val="center"/>
        <w:ind w:right="-239"/>
        <w:spacing w:after="0"/>
        <w:rPr>
          <w:sz w:val="20"/>
          <w:szCs w:val="20"/>
          <w:color w:val="auto"/>
        </w:rPr>
      </w:pPr>
      <w:r>
        <w:rPr>
          <w:rFonts w:ascii="Arial" w:cs="Arial" w:eastAsia="Arial" w:hAnsi="Arial"/>
          <w:sz w:val="21"/>
          <w:szCs w:val="21"/>
          <w:b w:val="1"/>
          <w:bCs w:val="1"/>
          <w:color w:val="auto"/>
        </w:rPr>
        <w:t>CURRENT REPORT</w:t>
      </w:r>
    </w:p>
    <w:p>
      <w:pPr>
        <w:spacing w:after="0" w:line="223" w:lineRule="exact"/>
        <w:rPr>
          <w:sz w:val="24"/>
          <w:szCs w:val="24"/>
          <w:color w:val="auto"/>
        </w:rPr>
      </w:pPr>
    </w:p>
    <w:p>
      <w:pPr>
        <w:ind w:left="1600"/>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Date of Report (Date of earliest event reported): May 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18415</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38" w:lineRule="exact"/>
        <w:rPr>
          <w:sz w:val="24"/>
          <w:szCs w:val="24"/>
          <w:color w:val="auto"/>
        </w:rPr>
      </w:pPr>
    </w:p>
    <w:tbl>
      <w:tblPr>
        <w:tblLayout w:type="fixed"/>
        <w:tblInd w:w="420" w:type="dxa"/>
        <w:tblCellMar>
          <w:top w:w="0" w:type="dxa"/>
          <w:left w:w="0" w:type="dxa"/>
          <w:bottom w:w="0" w:type="dxa"/>
          <w:right w:w="0" w:type="dxa"/>
        </w:tblCellMar>
      </w:tblPr>
      <w:tr>
        <w:trPr>
          <w:trHeight w:val="241"/>
        </w:trPr>
        <w:tc>
          <w:tcPr>
            <w:tcW w:w="3680" w:type="dxa"/>
            <w:vAlign w:val="bottom"/>
          </w:tcPr>
          <w:p>
            <w:pPr>
              <w:jc w:val="center"/>
              <w:ind w:right="611"/>
              <w:spacing w:after="0"/>
              <w:rPr>
                <w:sz w:val="20"/>
                <w:szCs w:val="20"/>
                <w:color w:val="auto"/>
              </w:rPr>
            </w:pPr>
            <w:r>
              <w:rPr>
                <w:rFonts w:ascii="Arial" w:cs="Arial" w:eastAsia="Arial" w:hAnsi="Arial"/>
                <w:sz w:val="21"/>
                <w:szCs w:val="21"/>
                <w:b w:val="1"/>
                <w:bCs w:val="1"/>
                <w:color w:val="auto"/>
                <w:w w:val="88"/>
              </w:rPr>
              <w:t>Delaware</w:t>
            </w:r>
          </w:p>
        </w:tc>
        <w:tc>
          <w:tcPr>
            <w:tcW w:w="3400" w:type="dxa"/>
            <w:vAlign w:val="bottom"/>
          </w:tcPr>
          <w:p>
            <w:pPr>
              <w:jc w:val="right"/>
              <w:ind w:right="1415"/>
              <w:spacing w:after="0"/>
              <w:rPr>
                <w:sz w:val="20"/>
                <w:szCs w:val="20"/>
                <w:color w:val="auto"/>
              </w:rPr>
            </w:pPr>
            <w:r>
              <w:rPr>
                <w:rFonts w:ascii="Arial" w:cs="Arial" w:eastAsia="Arial" w:hAnsi="Arial"/>
                <w:sz w:val="17"/>
                <w:szCs w:val="17"/>
                <w:b w:val="1"/>
                <w:bCs w:val="1"/>
                <w:color w:val="auto"/>
              </w:rPr>
              <w:t>0-23486</w:t>
            </w:r>
          </w:p>
        </w:tc>
        <w:tc>
          <w:tcPr>
            <w:tcW w:w="3220" w:type="dxa"/>
            <w:vAlign w:val="bottom"/>
          </w:tcPr>
          <w:p>
            <w:pPr>
              <w:jc w:val="right"/>
              <w:ind w:right="690"/>
              <w:spacing w:after="0"/>
              <w:rPr>
                <w:sz w:val="20"/>
                <w:szCs w:val="20"/>
                <w:color w:val="auto"/>
              </w:rPr>
            </w:pPr>
            <w:r>
              <w:rPr>
                <w:rFonts w:ascii="Arial" w:cs="Arial" w:eastAsia="Arial" w:hAnsi="Arial"/>
                <w:sz w:val="17"/>
                <w:szCs w:val="17"/>
                <w:b w:val="1"/>
                <w:bCs w:val="1"/>
                <w:color w:val="auto"/>
              </w:rPr>
              <w:t>62-1096725</w:t>
            </w:r>
          </w:p>
        </w:tc>
      </w:tr>
      <w:tr>
        <w:trPr>
          <w:trHeight w:val="264"/>
        </w:trPr>
        <w:tc>
          <w:tcPr>
            <w:tcW w:w="3680" w:type="dxa"/>
            <w:vAlign w:val="bottom"/>
          </w:tcPr>
          <w:p>
            <w:pPr>
              <w:spacing w:after="0"/>
              <w:rPr>
                <w:sz w:val="20"/>
                <w:szCs w:val="20"/>
                <w:color w:val="auto"/>
              </w:rPr>
            </w:pPr>
            <w:r>
              <w:rPr>
                <w:rFonts w:ascii="Arial" w:cs="Arial" w:eastAsia="Arial" w:hAnsi="Arial"/>
                <w:sz w:val="17"/>
                <w:szCs w:val="17"/>
                <w:color w:val="auto"/>
              </w:rPr>
              <w:t>(State or other jurisdiction of incorporation)</w:t>
            </w:r>
          </w:p>
        </w:tc>
        <w:tc>
          <w:tcPr>
            <w:tcW w:w="3400" w:type="dxa"/>
            <w:vAlign w:val="bottom"/>
          </w:tcPr>
          <w:p>
            <w:pPr>
              <w:jc w:val="center"/>
              <w:ind w:right="95"/>
              <w:spacing w:after="0"/>
              <w:rPr>
                <w:sz w:val="20"/>
                <w:szCs w:val="20"/>
                <w:color w:val="auto"/>
              </w:rPr>
            </w:pPr>
            <w:r>
              <w:rPr>
                <w:rFonts w:ascii="Arial" w:cs="Arial" w:eastAsia="Arial" w:hAnsi="Arial"/>
                <w:sz w:val="17"/>
                <w:szCs w:val="17"/>
                <w:color w:val="auto"/>
                <w:w w:val="93"/>
              </w:rPr>
              <w:t>(Commission File Number)</w:t>
            </w:r>
          </w:p>
        </w:tc>
        <w:tc>
          <w:tcPr>
            <w:tcW w:w="3220" w:type="dxa"/>
            <w:vAlign w:val="bottom"/>
          </w:tcPr>
          <w:p>
            <w:pPr>
              <w:jc w:val="center"/>
              <w:ind w:left="750"/>
              <w:spacing w:after="0"/>
              <w:rPr>
                <w:sz w:val="20"/>
                <w:szCs w:val="20"/>
                <w:color w:val="auto"/>
              </w:rPr>
            </w:pPr>
            <w:r>
              <w:rPr>
                <w:rFonts w:ascii="Arial" w:cs="Arial" w:eastAsia="Arial" w:hAnsi="Arial"/>
                <w:sz w:val="21"/>
                <w:szCs w:val="21"/>
                <w:color w:val="auto"/>
                <w:w w:val="95"/>
              </w:rPr>
              <w:t>(</w:t>
            </w:r>
            <w:r>
              <w:rPr>
                <w:rFonts w:ascii="Arial" w:cs="Arial" w:eastAsia="Arial" w:hAnsi="Arial"/>
                <w:sz w:val="17"/>
                <w:szCs w:val="17"/>
                <w:color w:val="auto"/>
                <w:w w:val="95"/>
              </w:rPr>
              <w:t>IRS Employer Identification No.)</w:t>
            </w:r>
          </w:p>
        </w:tc>
      </w:tr>
      <w:tr>
        <w:trPr>
          <w:trHeight w:val="384"/>
        </w:trPr>
        <w:tc>
          <w:tcPr>
            <w:tcW w:w="3680" w:type="dxa"/>
            <w:vAlign w:val="bottom"/>
          </w:tcPr>
          <w:p>
            <w:pPr>
              <w:jc w:val="center"/>
              <w:ind w:right="571"/>
              <w:spacing w:after="0"/>
              <w:rPr>
                <w:sz w:val="20"/>
                <w:szCs w:val="20"/>
                <w:color w:val="auto"/>
              </w:rPr>
            </w:pPr>
            <w:r>
              <w:rPr>
                <w:rFonts w:ascii="Arial" w:cs="Arial" w:eastAsia="Arial" w:hAnsi="Arial"/>
                <w:sz w:val="17"/>
                <w:szCs w:val="17"/>
                <w:b w:val="1"/>
                <w:bCs w:val="1"/>
                <w:color w:val="auto"/>
                <w:w w:val="92"/>
              </w:rPr>
              <w:t>2000 Waters Edge Drive</w:t>
            </w:r>
          </w:p>
        </w:tc>
        <w:tc>
          <w:tcPr>
            <w:tcW w:w="3400" w:type="dxa"/>
            <w:vAlign w:val="bottom"/>
          </w:tcPr>
          <w:p>
            <w:pPr>
              <w:spacing w:after="0"/>
              <w:rPr>
                <w:sz w:val="24"/>
                <w:szCs w:val="24"/>
                <w:color w:val="auto"/>
              </w:rPr>
            </w:pPr>
          </w:p>
        </w:tc>
        <w:tc>
          <w:tcPr>
            <w:tcW w:w="3220" w:type="dxa"/>
            <w:vAlign w:val="bottom"/>
          </w:tcPr>
          <w:p>
            <w:pPr>
              <w:jc w:val="right"/>
              <w:ind w:right="890"/>
              <w:spacing w:after="0"/>
              <w:rPr>
                <w:sz w:val="20"/>
                <w:szCs w:val="20"/>
                <w:color w:val="auto"/>
              </w:rPr>
            </w:pPr>
            <w:r>
              <w:rPr>
                <w:rFonts w:ascii="Arial" w:cs="Arial" w:eastAsia="Arial" w:hAnsi="Arial"/>
                <w:sz w:val="17"/>
                <w:szCs w:val="17"/>
                <w:b w:val="1"/>
                <w:bCs w:val="1"/>
                <w:color w:val="auto"/>
              </w:rPr>
              <w:t>37604</w:t>
            </w:r>
          </w:p>
        </w:tc>
      </w:tr>
      <w:tr>
        <w:trPr>
          <w:trHeight w:val="212"/>
        </w:trPr>
        <w:tc>
          <w:tcPr>
            <w:tcW w:w="3680" w:type="dxa"/>
            <w:vAlign w:val="bottom"/>
          </w:tcPr>
          <w:p>
            <w:pPr>
              <w:jc w:val="center"/>
              <w:ind w:right="611"/>
              <w:spacing w:after="0"/>
              <w:rPr>
                <w:sz w:val="20"/>
                <w:szCs w:val="20"/>
                <w:color w:val="auto"/>
              </w:rPr>
            </w:pPr>
            <w:r>
              <w:rPr>
                <w:rFonts w:ascii="Arial" w:cs="Arial" w:eastAsia="Arial" w:hAnsi="Arial"/>
                <w:sz w:val="17"/>
                <w:szCs w:val="17"/>
                <w:b w:val="1"/>
                <w:bCs w:val="1"/>
                <w:color w:val="auto"/>
                <w:w w:val="86"/>
              </w:rPr>
              <w:t>Johnson City, Tennessee</w:t>
            </w:r>
          </w:p>
        </w:tc>
        <w:tc>
          <w:tcPr>
            <w:tcW w:w="3400" w:type="dxa"/>
            <w:vAlign w:val="bottom"/>
          </w:tcPr>
          <w:p>
            <w:pPr>
              <w:spacing w:after="0"/>
              <w:rPr>
                <w:sz w:val="18"/>
                <w:szCs w:val="18"/>
                <w:color w:val="auto"/>
              </w:rPr>
            </w:pPr>
          </w:p>
        </w:tc>
        <w:tc>
          <w:tcPr>
            <w:tcW w:w="3220" w:type="dxa"/>
            <w:vAlign w:val="bottom"/>
          </w:tcPr>
          <w:p>
            <w:pPr>
              <w:jc w:val="center"/>
              <w:ind w:left="730"/>
              <w:spacing w:after="0"/>
              <w:rPr>
                <w:sz w:val="20"/>
                <w:szCs w:val="20"/>
                <w:color w:val="auto"/>
              </w:rPr>
            </w:pPr>
            <w:r>
              <w:rPr>
                <w:rFonts w:ascii="Arial" w:cs="Arial" w:eastAsia="Arial" w:hAnsi="Arial"/>
                <w:sz w:val="17"/>
                <w:szCs w:val="17"/>
                <w:color w:val="auto"/>
                <w:w w:val="94"/>
              </w:rPr>
              <w:t>(Zip Code)</w:t>
            </w:r>
          </w:p>
        </w:tc>
      </w:tr>
      <w:tr>
        <w:trPr>
          <w:trHeight w:val="217"/>
        </w:trPr>
        <w:tc>
          <w:tcPr>
            <w:tcW w:w="3680" w:type="dxa"/>
            <w:vAlign w:val="bottom"/>
          </w:tcPr>
          <w:p>
            <w:pPr>
              <w:jc w:val="center"/>
              <w:ind w:right="611"/>
              <w:spacing w:after="0"/>
              <w:rPr>
                <w:sz w:val="20"/>
                <w:szCs w:val="20"/>
                <w:color w:val="auto"/>
              </w:rPr>
            </w:pPr>
            <w:r>
              <w:rPr>
                <w:rFonts w:ascii="Arial" w:cs="Arial" w:eastAsia="Arial" w:hAnsi="Arial"/>
                <w:sz w:val="17"/>
                <w:szCs w:val="17"/>
                <w:color w:val="auto"/>
                <w:w w:val="94"/>
              </w:rPr>
              <w:t>(Address of principal executive offices)</w:t>
            </w:r>
          </w:p>
        </w:tc>
        <w:tc>
          <w:tcPr>
            <w:tcW w:w="3400" w:type="dxa"/>
            <w:vAlign w:val="bottom"/>
          </w:tcPr>
          <w:p>
            <w:pPr>
              <w:spacing w:after="0"/>
              <w:rPr>
                <w:sz w:val="18"/>
                <w:szCs w:val="18"/>
                <w:color w:val="auto"/>
              </w:rPr>
            </w:pPr>
          </w:p>
        </w:tc>
        <w:tc>
          <w:tcPr>
            <w:tcW w:w="3220" w:type="dxa"/>
            <w:vAlign w:val="bottom"/>
          </w:tcPr>
          <w:p>
            <w:pPr>
              <w:spacing w:after="0"/>
              <w:rPr>
                <w:sz w:val="18"/>
                <w:szCs w:val="18"/>
                <w:color w:val="auto"/>
              </w:rPr>
            </w:pPr>
          </w:p>
        </w:tc>
      </w:tr>
    </w:tbl>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Registrant's telephone number, including area code: (423) 743-9151</w:t>
      </w:r>
    </w:p>
    <w:p>
      <w:pPr>
        <w:spacing w:after="0" w:line="24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obligation of the registrant under any of the following provisions:</w:t>
      </w:r>
    </w:p>
    <w:p>
      <w:pPr>
        <w:spacing w:after="0" w:line="266" w:lineRule="exact"/>
        <w:rPr>
          <w:sz w:val="24"/>
          <w:szCs w:val="24"/>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CFT 230.425)</w:t>
      </w:r>
    </w:p>
    <w:p>
      <w:pPr>
        <w:spacing w:after="0" w:line="243" w:lineRule="exact"/>
        <w:rPr>
          <w:rFonts w:ascii="Arial" w:cs="Arial" w:eastAsia="Arial" w:hAnsi="Arial"/>
          <w:sz w:val="17"/>
          <w:szCs w:val="17"/>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CFT 240.14a-12)</w:t>
      </w:r>
    </w:p>
    <w:p>
      <w:pPr>
        <w:spacing w:after="0" w:line="243" w:lineRule="exact"/>
        <w:rPr>
          <w:rFonts w:ascii="Arial" w:cs="Arial" w:eastAsia="Arial" w:hAnsi="Arial"/>
          <w:sz w:val="17"/>
          <w:szCs w:val="17"/>
          <w:color w:val="auto"/>
        </w:rPr>
      </w:pPr>
    </w:p>
    <w:p>
      <w:pPr>
        <w:ind w:left="140" w:hanging="137"/>
        <w:spacing w:after="0"/>
        <w:tabs>
          <w:tab w:leader="none" w:pos="1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CFT 240.14d-2(b))</w:t>
      </w:r>
    </w:p>
    <w:p>
      <w:pPr>
        <w:spacing w:after="0" w:line="247" w:lineRule="exact"/>
        <w:rPr>
          <w:rFonts w:ascii="Arial" w:cs="Arial" w:eastAsia="Arial" w:hAnsi="Arial"/>
          <w:sz w:val="17"/>
          <w:szCs w:val="17"/>
          <w:color w:val="auto"/>
        </w:rPr>
      </w:pPr>
    </w:p>
    <w:p>
      <w:pPr>
        <w:ind w:left="180" w:hanging="177"/>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CFT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969010</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1280160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529" w:right="4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Furnished as Exhibit 99.1 is NN Inc.'s press release dated May 1, 2008 regarding the earnings for first quarter 2008.</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4" w:lineRule="exact"/>
        <w:rPr>
          <w:sz w:val="20"/>
          <w:szCs w:val="20"/>
          <w:color w:val="auto"/>
        </w:rPr>
      </w:pPr>
    </w:p>
    <w:p>
      <w:pPr>
        <w:ind w:right="740"/>
        <w:spacing w:after="0" w:line="349" w:lineRule="auto"/>
        <w:rPr>
          <w:sz w:val="20"/>
          <w:szCs w:val="20"/>
          <w:color w:val="auto"/>
        </w:rPr>
      </w:pPr>
      <w:r>
        <w:rPr>
          <w:rFonts w:ascii="Arial" w:cs="Arial" w:eastAsia="Arial" w:hAnsi="Arial"/>
          <w:sz w:val="15"/>
          <w:szCs w:val="15"/>
          <w:color w:val="auto"/>
        </w:rPr>
        <w:t>The following exhibit is furnished pursuant to Item 2.02, is not considered "filed" under the Securities Exchange Act of 1934, as amended, and shall not be incorporated by reference into any of the previous or future filings of NN, Inc, Inc. under the Securities Act of 1933, as amended, or the Exchange Act.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gridSpan w:val="2"/>
          </w:tcPr>
          <w:p>
            <w:pPr>
              <w:spacing w:after="0"/>
              <w:rPr>
                <w:sz w:val="20"/>
                <w:szCs w:val="20"/>
                <w:color w:val="auto"/>
              </w:rPr>
            </w:pPr>
            <w:r>
              <w:rPr>
                <w:rFonts w:ascii="Arial" w:cs="Arial" w:eastAsia="Arial" w:hAnsi="Arial"/>
                <w:sz w:val="17"/>
                <w:szCs w:val="17"/>
                <w:color w:val="auto"/>
              </w:rPr>
              <w:t>Exhibit:</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60" w:type="dxa"/>
            <w:vAlign w:val="bottom"/>
          </w:tcPr>
          <w:p>
            <w:pPr>
              <w:spacing w:after="0"/>
              <w:rPr>
                <w:sz w:val="18"/>
                <w:szCs w:val="18"/>
                <w:color w:val="auto"/>
              </w:rPr>
            </w:pPr>
          </w:p>
        </w:tc>
      </w:tr>
      <w:tr>
        <w:trPr>
          <w:trHeight w:val="402"/>
        </w:trPr>
        <w:tc>
          <w:tcPr>
            <w:tcW w:w="1120" w:type="dxa"/>
            <w:vAlign w:val="bottom"/>
          </w:tcPr>
          <w:p>
            <w:pPr>
              <w:spacing w:after="0"/>
              <w:rPr>
                <w:sz w:val="20"/>
                <w:szCs w:val="20"/>
                <w:color w:val="auto"/>
              </w:rPr>
            </w:pPr>
            <w:r>
              <w:rPr>
                <w:rFonts w:ascii="Arial" w:cs="Arial" w:eastAsia="Arial" w:hAnsi="Arial"/>
                <w:sz w:val="17"/>
                <w:szCs w:val="17"/>
                <w:color w:val="auto"/>
                <w:w w:val="94"/>
              </w:rPr>
              <w:t>Exhibit Number</w:t>
            </w:r>
          </w:p>
        </w:tc>
        <w:tc>
          <w:tcPr>
            <w:tcW w:w="140" w:type="dxa"/>
            <w:vAlign w:val="bottom"/>
          </w:tcPr>
          <w:p>
            <w:pPr>
              <w:spacing w:after="0"/>
              <w:rPr>
                <w:sz w:val="24"/>
                <w:szCs w:val="24"/>
                <w:color w:val="auto"/>
              </w:rPr>
            </w:pPr>
          </w:p>
        </w:tc>
        <w:tc>
          <w:tcPr>
            <w:tcW w:w="10160" w:type="dxa"/>
            <w:vAlign w:val="bottom"/>
            <w:gridSpan w:val="3"/>
          </w:tcPr>
          <w:p>
            <w:pPr>
              <w:ind w:left="160"/>
              <w:spacing w:after="0"/>
              <w:rPr>
                <w:sz w:val="20"/>
                <w:szCs w:val="20"/>
                <w:color w:val="auto"/>
              </w:rPr>
            </w:pPr>
            <w:r>
              <w:rPr>
                <w:rFonts w:ascii="Arial" w:cs="Arial" w:eastAsia="Arial" w:hAnsi="Arial"/>
                <w:sz w:val="17"/>
                <w:szCs w:val="17"/>
                <w:color w:val="auto"/>
              </w:rPr>
              <w:t>Description of Exhibit</w:t>
            </w:r>
          </w:p>
        </w:tc>
      </w:tr>
      <w:tr>
        <w:trPr>
          <w:trHeight w:val="20"/>
        </w:trPr>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24"/>
        </w:trPr>
        <w:tc>
          <w:tcPr>
            <w:tcW w:w="1120" w:type="dxa"/>
            <w:vAlign w:val="bottom"/>
          </w:tcPr>
          <w:p>
            <w:pPr>
              <w:spacing w:after="0"/>
              <w:rPr>
                <w:sz w:val="20"/>
                <w:szCs w:val="20"/>
                <w:color w:val="auto"/>
              </w:rPr>
            </w:pPr>
            <w:r>
              <w:rPr>
                <w:rFonts w:ascii="Arial" w:cs="Arial" w:eastAsia="Arial" w:hAnsi="Arial"/>
                <w:sz w:val="17"/>
                <w:szCs w:val="17"/>
                <w:color w:val="auto"/>
              </w:rPr>
              <w:t>99.1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0" w:type="dxa"/>
            <w:vAlign w:val="bottom"/>
            <w:gridSpan w:val="2"/>
          </w:tcPr>
          <w:p>
            <w:pPr>
              <w:ind w:left="40"/>
              <w:spacing w:after="0"/>
              <w:rPr>
                <w:sz w:val="20"/>
                <w:szCs w:val="20"/>
                <w:color w:val="auto"/>
              </w:rPr>
            </w:pPr>
            <w:r>
              <w:rPr>
                <w:rFonts w:ascii="Arial" w:cs="Arial" w:eastAsia="Arial" w:hAnsi="Arial"/>
                <w:sz w:val="17"/>
                <w:szCs w:val="17"/>
                <w:color w:val="auto"/>
              </w:rPr>
              <w:t>Press Release of NN, Inc. dated May 1, 2008.</w:t>
            </w:r>
          </w:p>
        </w:tc>
      </w:tr>
      <w:tr>
        <w:trPr>
          <w:trHeight w:val="3831"/>
        </w:trPr>
        <w:tc>
          <w:tcPr>
            <w:tcW w:w="1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May 1, 2008</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Vice President and</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1071245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86" w:right="259" w:bottom="1440" w:gutter="0" w:footer="0" w:header="0"/>
        </w:sectPr>
      </w:pPr>
    </w:p>
    <w:bookmarkStart w:id="3" w:name="page4"/>
    <w:bookmarkEnd w:id="3"/>
    <w:p>
      <w:pPr>
        <w:ind w:left="10120"/>
        <w:spacing w:after="0"/>
        <w:rPr>
          <w:sz w:val="20"/>
          <w:szCs w:val="20"/>
          <w:color w:val="auto"/>
        </w:rPr>
      </w:pPr>
      <w:r>
        <w:rPr>
          <w:rFonts w:ascii="Arial" w:cs="Arial" w:eastAsia="Arial" w:hAnsi="Arial"/>
          <w:sz w:val="21"/>
          <w:szCs w:val="21"/>
          <w:b w:val="1"/>
          <w:bCs w:val="1"/>
          <w:color w:val="auto"/>
        </w:rPr>
        <w:t>EXHIBIT 99.1</w:t>
      </w:r>
    </w:p>
    <w:p>
      <w:pPr>
        <w:spacing w:after="0" w:line="241" w:lineRule="exact"/>
        <w:rPr>
          <w:sz w:val="20"/>
          <w:szCs w:val="20"/>
          <w:color w:val="auto"/>
        </w:rPr>
      </w:pPr>
    </w:p>
    <w:p>
      <w:pPr>
        <w:ind w:left="8860"/>
        <w:spacing w:after="0"/>
        <w:rPr>
          <w:sz w:val="20"/>
          <w:szCs w:val="20"/>
          <w:color w:val="auto"/>
        </w:rPr>
      </w:pPr>
      <w:r>
        <w:rPr>
          <w:rFonts w:ascii="Arial" w:cs="Arial" w:eastAsia="Arial" w:hAnsi="Arial"/>
          <w:sz w:val="21"/>
          <w:szCs w:val="2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098040" cy="1229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8040" cy="122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AT THE COMPANY</w:t>
            </w:r>
          </w:p>
        </w:tc>
        <w:tc>
          <w:tcPr>
            <w:tcW w:w="2980" w:type="dxa"/>
            <w:vAlign w:val="bottom"/>
          </w:tcPr>
          <w:p>
            <w:pPr>
              <w:ind w:left="20"/>
              <w:spacing w:after="0"/>
              <w:rPr>
                <w:sz w:val="20"/>
                <w:szCs w:val="20"/>
                <w:color w:val="auto"/>
              </w:rPr>
            </w:pPr>
            <w:r>
              <w:rPr>
                <w:rFonts w:ascii="Arial" w:cs="Arial" w:eastAsia="Arial" w:hAnsi="Arial"/>
                <w:sz w:val="17"/>
                <w:szCs w:val="17"/>
                <w:b w:val="1"/>
                <w:bCs w:val="1"/>
                <w:color w:val="auto"/>
              </w:rPr>
              <w:t>AT FINANCIAL RELATIONS BOARD</w:t>
            </w:r>
          </w:p>
        </w:tc>
      </w:tr>
      <w:tr>
        <w:trPr>
          <w:trHeight w:val="213"/>
        </w:trPr>
        <w:tc>
          <w:tcPr>
            <w:tcW w:w="1140" w:type="dxa"/>
            <w:vAlign w:val="bottom"/>
          </w:tcPr>
          <w:p>
            <w:pPr>
              <w:spacing w:after="0"/>
              <w:rPr>
                <w:sz w:val="18"/>
                <w:szCs w:val="18"/>
                <w:color w:val="auto"/>
              </w:rPr>
            </w:pPr>
          </w:p>
        </w:tc>
        <w:tc>
          <w:tcPr>
            <w:tcW w:w="15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Will Kelly</w:t>
            </w:r>
          </w:p>
        </w:tc>
        <w:tc>
          <w:tcPr>
            <w:tcW w:w="3020" w:type="dxa"/>
            <w:vAlign w:val="bottom"/>
          </w:tcPr>
          <w:p>
            <w:pPr>
              <w:spacing w:after="0"/>
              <w:rPr>
                <w:sz w:val="18"/>
                <w:szCs w:val="18"/>
                <w:color w:val="auto"/>
              </w:rPr>
            </w:pPr>
          </w:p>
        </w:tc>
        <w:tc>
          <w:tcPr>
            <w:tcW w:w="29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Marilynn Meek</w:t>
            </w:r>
          </w:p>
        </w:tc>
      </w:tr>
      <w:tr>
        <w:trPr>
          <w:trHeight w:val="206"/>
        </w:trPr>
        <w:tc>
          <w:tcPr>
            <w:tcW w:w="1140" w:type="dxa"/>
            <w:vAlign w:val="bottom"/>
          </w:tcPr>
          <w:p>
            <w:pPr>
              <w:spacing w:after="0"/>
              <w:rPr>
                <w:sz w:val="17"/>
                <w:szCs w:val="17"/>
                <w:color w:val="auto"/>
              </w:rPr>
            </w:pPr>
          </w:p>
        </w:tc>
        <w:tc>
          <w:tcPr>
            <w:tcW w:w="4580" w:type="dxa"/>
            <w:vAlign w:val="bottom"/>
            <w:gridSpan w:val="2"/>
          </w:tcPr>
          <w:p>
            <w:pPr>
              <w:ind w:left="40"/>
              <w:spacing w:after="0"/>
              <w:rPr>
                <w:sz w:val="20"/>
                <w:szCs w:val="20"/>
                <w:color w:val="auto"/>
              </w:rPr>
            </w:pPr>
            <w:r>
              <w:rPr>
                <w:rFonts w:ascii="Arial" w:cs="Arial" w:eastAsia="Arial" w:hAnsi="Arial"/>
                <w:sz w:val="17"/>
                <w:szCs w:val="17"/>
                <w:color w:val="auto"/>
              </w:rPr>
              <w:t>Vice President and Chief Administrative Officer</w:t>
            </w:r>
          </w:p>
        </w:tc>
        <w:tc>
          <w:tcPr>
            <w:tcW w:w="2980" w:type="dxa"/>
            <w:vAlign w:val="bottom"/>
          </w:tcPr>
          <w:p>
            <w:pPr>
              <w:ind w:left="40"/>
              <w:spacing w:after="0"/>
              <w:rPr>
                <w:sz w:val="20"/>
                <w:szCs w:val="20"/>
                <w:color w:val="auto"/>
              </w:rPr>
            </w:pPr>
            <w:r>
              <w:rPr>
                <w:rFonts w:ascii="Arial" w:cs="Arial" w:eastAsia="Arial" w:hAnsi="Arial"/>
                <w:sz w:val="17"/>
                <w:szCs w:val="17"/>
                <w:color w:val="auto"/>
              </w:rPr>
              <w:t>(General info)</w:t>
            </w:r>
          </w:p>
        </w:tc>
      </w:tr>
      <w:tr>
        <w:trPr>
          <w:trHeight w:val="217"/>
        </w:trPr>
        <w:tc>
          <w:tcPr>
            <w:tcW w:w="2700" w:type="dxa"/>
            <w:vAlign w:val="bottom"/>
            <w:gridSpan w:val="2"/>
          </w:tcPr>
          <w:p>
            <w:pPr>
              <w:ind w:left="1180"/>
              <w:spacing w:after="0"/>
              <w:rPr>
                <w:sz w:val="20"/>
                <w:szCs w:val="20"/>
                <w:color w:val="auto"/>
              </w:rPr>
            </w:pPr>
            <w:r>
              <w:rPr>
                <w:rFonts w:ascii="Arial" w:cs="Arial" w:eastAsia="Arial" w:hAnsi="Arial"/>
                <w:sz w:val="17"/>
                <w:szCs w:val="17"/>
                <w:color w:val="auto"/>
              </w:rPr>
              <w:t>(423) 743-9151</w:t>
            </w:r>
          </w:p>
        </w:tc>
        <w:tc>
          <w:tcPr>
            <w:tcW w:w="3020" w:type="dxa"/>
            <w:vAlign w:val="bottom"/>
          </w:tcPr>
          <w:p>
            <w:pPr>
              <w:spacing w:after="0"/>
              <w:rPr>
                <w:sz w:val="18"/>
                <w:szCs w:val="18"/>
                <w:color w:val="auto"/>
              </w:rPr>
            </w:pPr>
          </w:p>
        </w:tc>
        <w:tc>
          <w:tcPr>
            <w:tcW w:w="2980" w:type="dxa"/>
            <w:vAlign w:val="bottom"/>
          </w:tcPr>
          <w:p>
            <w:pPr>
              <w:jc w:val="right"/>
              <w:ind w:right="1834"/>
              <w:spacing w:after="0"/>
              <w:rPr>
                <w:sz w:val="20"/>
                <w:szCs w:val="20"/>
                <w:color w:val="auto"/>
              </w:rPr>
            </w:pPr>
            <w:r>
              <w:rPr>
                <w:rFonts w:ascii="Arial" w:cs="Arial" w:eastAsia="Arial" w:hAnsi="Arial"/>
                <w:sz w:val="17"/>
                <w:szCs w:val="17"/>
                <w:color w:val="auto"/>
                <w:w w:val="98"/>
              </w:rPr>
              <w:t>212-827-3773</w:t>
            </w:r>
          </w:p>
        </w:tc>
      </w:tr>
      <w:tr>
        <w:trPr>
          <w:trHeight w:val="660"/>
        </w:trPr>
        <w:tc>
          <w:tcPr>
            <w:tcW w:w="572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2980" w:type="dxa"/>
            <w:vAlign w:val="bottom"/>
          </w:tcPr>
          <w:p>
            <w:pPr>
              <w:spacing w:after="0"/>
              <w:rPr>
                <w:sz w:val="24"/>
                <w:szCs w:val="24"/>
                <w:color w:val="auto"/>
              </w:rPr>
            </w:pPr>
          </w:p>
        </w:tc>
      </w:tr>
      <w:tr>
        <w:trPr>
          <w:trHeight w:val="217"/>
        </w:trPr>
        <w:tc>
          <w:tcPr>
            <w:tcW w:w="5720" w:type="dxa"/>
            <w:vAlign w:val="bottom"/>
            <w:gridSpan w:val="3"/>
          </w:tcPr>
          <w:p>
            <w:pPr>
              <w:spacing w:after="0"/>
              <w:rPr>
                <w:sz w:val="20"/>
                <w:szCs w:val="20"/>
                <w:color w:val="auto"/>
              </w:rPr>
            </w:pPr>
            <w:r>
              <w:rPr>
                <w:rFonts w:ascii="Arial" w:cs="Arial" w:eastAsia="Arial" w:hAnsi="Arial"/>
                <w:sz w:val="17"/>
                <w:szCs w:val="17"/>
                <w:color w:val="auto"/>
              </w:rPr>
              <w:t>May 1, 2008</w:t>
            </w:r>
          </w:p>
        </w:tc>
        <w:tc>
          <w:tcPr>
            <w:tcW w:w="2980" w:type="dxa"/>
            <w:vAlign w:val="bottom"/>
          </w:tcPr>
          <w:p>
            <w:pPr>
              <w:spacing w:after="0"/>
              <w:rPr>
                <w:sz w:val="18"/>
                <w:szCs w:val="18"/>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EARNINGS PER SHARE OF $0.32 FOR THE FIRST QUARTER 2008</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Quarter 2008 Revenues Rise to $121.5 Million and Earnings per Share up 45.5% to a Quarterly Record of $0.32 per Diluted Share</w:t>
      </w:r>
    </w:p>
    <w:p>
      <w:pPr>
        <w:spacing w:after="0" w:line="243"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Johnson City, Tenn, May 1, 2008 </w:t>
      </w:r>
      <w:r>
        <w:rPr>
          <w:rFonts w:ascii="Arial" w:cs="Arial" w:eastAsia="Arial" w:hAnsi="Arial"/>
          <w:sz w:val="16"/>
          <w:szCs w:val="16"/>
          <w:color w:val="auto"/>
        </w:rPr>
        <w:t>– NN, Inc. (Nasdaq: NNBR) today reported its financial results for the first quarter ended March 31, 2008. Net sales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2008 were $121.5 million, an increase of $13.6 million or 12.6% from $107.9 million for the same period of 2007. Net income for the first quarter of 2008 totaled $5.1 million or $0.32 per diluted share as compared to $3.8 million or $0.22 per diluted share for the same period in 2007.</w:t>
      </w:r>
    </w:p>
    <w:p>
      <w:pPr>
        <w:spacing w:after="0" w:line="182"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James H. Dorton, Vice President and Chief Financial Officer commented, “We are pleased to report revenues of $121.5 million for the quarter, a $13.6 million increase over last year’s first quarter. Accounting for the increase was the positive effect of currency translation of $8.1 million and net volume gains of 5.1%, or $5.5 million.”</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Mr. Dorton continued, “As a percentage of net sales, 2008 first quarter cost of goods sold was 79.4% as compared to the 2007 first quarter cost of goods sold of 78.8%. Level 3 cost reductions and margin improvements at Whirlaway, China and Slovakia offset the unfavorable effects of cost increases and transactional currency losses at our Veenendaal, The Netherlands operation. As a percentage of net sales, selling, general and administrative expenses for this year’s first quarter were 8.4% as compared to 8.7% for the same period in 2007. Our reported net income of $5.1 million and $0.32 per diluted share was up 34.2% and 45.5%, respectively in comparison to our 2007 first quarter net income of $3.8 million, or $0.22 per diluted share. Our year-over-year earnings per share improvements are higher in comparison to our net income improvement due to the impact of the company’s share repurchase program. During 2007, we repurchased 1,008,439 shares of the Company’s stock.”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right="80"/>
        <w:spacing w:after="0" w:line="266" w:lineRule="auto"/>
        <w:rPr>
          <w:sz w:val="20"/>
          <w:szCs w:val="20"/>
          <w:color w:val="auto"/>
        </w:rPr>
      </w:pPr>
      <w:r>
        <w:rPr>
          <w:rFonts w:ascii="Arial" w:cs="Arial" w:eastAsia="Arial" w:hAnsi="Arial"/>
          <w:sz w:val="17"/>
          <w:szCs w:val="17"/>
          <w:color w:val="auto"/>
        </w:rPr>
        <w:t>Mr. Dorton concluded, “For 2008, we are focusing on further strengthening our balance sheet by concentrating on specific working capital improvements. Although we traditionally experience higher working capital needs in the first quarter, we are beginning to see the results of our efforts and are on track to meet our working capital goals for the year.”</w:t>
      </w:r>
    </w:p>
    <w:p>
      <w:pPr>
        <w:spacing w:after="0" w:line="2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Roderick R. Baty, Chairman and Chief Executive Officer commented, “In the latter part of 2007, we began to see evidence of improvements in three operations – Whirlaway, Slovakia and China. During the first quarter of 2008, we experienced improved profitability and operating margins at each of these locations as compared to the prior year, due mainly to higher capacity utilization resulting from new business awards at all three operations. However, we did experience lower revenues and profits than planned in our Plastics and Rubber Components Segment, driven principally by reductions in North American automotive demand. Finally, with the exception of the transactional currency losses in our Veenendaal, The Netherlands operation, our core Metal Bearing Components operations in Europe and the U.S. are continuing to perform extremely well and exceeded our expectations for the first quarter in both revenues and earnings.”</w:t>
      </w:r>
    </w:p>
    <w:p>
      <w:pPr>
        <w:spacing w:after="0" w:line="193"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color w:val="auto"/>
        </w:rPr>
        <w:t>Mr. Baty concluded, “We are encouraged by our first quarter financial performance and in particular the results from our operations that experienced profitability difficulties in 2007. Economic conditions in Europe for both automotive and industrial end markets remain healthy along with good demand in the industrial end markets in North America. Although North American reduced automotive demand impacted some of our U.S. operations in the first quarter, the reductions we experienced were essentially forecasted at the beginning of the year. Consequently, we see overall good levels of global demand and corresponding revenues continuing into the second quarter of the year.”</w:t>
      </w:r>
    </w:p>
    <w:p>
      <w:pPr>
        <w:spacing w:after="0" w:line="20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$421 million in 2007.</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Tables Follow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6"/>
          </w:tcPr>
          <w:p>
            <w:pPr>
              <w:jc w:val="right"/>
              <w:ind w:right="280"/>
              <w:spacing w:after="0"/>
              <w:rPr>
                <w:sz w:val="20"/>
                <w:szCs w:val="20"/>
                <w:color w:val="auto"/>
              </w:rPr>
            </w:pPr>
            <w:r>
              <w:rPr>
                <w:rFonts w:ascii="Arial" w:cs="Arial" w:eastAsia="Arial" w:hAnsi="Arial"/>
                <w:sz w:val="17"/>
                <w:szCs w:val="17"/>
                <w:b w:val="1"/>
                <w:bCs w:val="1"/>
                <w:color w:val="auto"/>
                <w:w w:val="96"/>
              </w:rPr>
              <w:t>Three Months Ended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March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Net sales</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121,542</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107,944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 (exclusive of depreciation shown separately below)</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96,494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85,082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10,209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9,424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Gain on disposal of assets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Other (income) loss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Net income</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5,102</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3,755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Diluted income per common share</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0.32</w:t>
            </w:r>
          </w:p>
        </w:tc>
        <w:tc>
          <w:tcPr>
            <w:tcW w:w="1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0.22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Weighted average diluted shares</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1"/>
        </w:trPr>
        <w:tc>
          <w:tcPr>
            <w:tcW w:w="7100" w:type="dxa"/>
            <w:vAlign w:val="bottom"/>
            <w:gridSpan w:val="2"/>
          </w:tcPr>
          <w:p>
            <w:pPr>
              <w:jc w:val="right"/>
              <w:ind w:right="1254"/>
              <w:spacing w:after="0"/>
              <w:rPr>
                <w:sz w:val="20"/>
                <w:szCs w:val="20"/>
                <w:color w:val="auto"/>
              </w:rPr>
            </w:pPr>
            <w:r>
              <w:rPr>
                <w:rFonts w:ascii="Arial" w:cs="Arial" w:eastAsia="Arial" w:hAnsi="Arial"/>
                <w:sz w:val="17"/>
                <w:szCs w:val="17"/>
                <w:color w:val="auto"/>
              </w:rPr>
              <w:t>3</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808080"/>
            </w:tcBorders>
          </w:tcPr>
          <w:p>
            <w:pPr>
              <w:spacing w:after="0"/>
              <w:rPr>
                <w:sz w:val="9"/>
                <w:szCs w:val="9"/>
                <w:color w:val="auto"/>
              </w:rPr>
            </w:pPr>
          </w:p>
        </w:tc>
        <w:tc>
          <w:tcPr>
            <w:tcW w:w="5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Current Assets:</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12,902</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13,029</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81,311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65,566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55,016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51,821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Other current assets</w:t>
            </w:r>
          </w:p>
        </w:tc>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8,121</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157,350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138,024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161,008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Goodwill, net</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40,474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39,471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3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11,575</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3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379,225</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350,078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Accounts payable</w:t>
            </w:r>
          </w:p>
        </w:tc>
        <w:tc>
          <w:tcPr>
            <w:tcW w:w="3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58,142</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51,124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Dividends payable</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Accrued salaries and wages</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17,234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15,087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Other liabilities</w:t>
            </w:r>
          </w:p>
        </w:tc>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liabilities</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96,569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84,256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20,284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Long-term notes payable</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100,127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100,193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3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18,091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16,904</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Total liabilities</w:t>
            </w: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235,071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220,035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144,154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130,043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3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379,225</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350,078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80" w:type="dxa"/>
            <w:vAlign w:val="bottom"/>
            <w:vMerge w:val="restart"/>
          </w:tcPr>
          <w:p>
            <w:pPr>
              <w:jc w:val="right"/>
              <w:ind w:right="2294"/>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3"/>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80" w:type="dxa"/>
            <w:vAlign w:val="bottom"/>
          </w:tcPr>
          <w:p>
            <w:pPr>
              <w:jc w:val="right"/>
              <w:ind w:right="237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808080"/>
            </w:tcBorders>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2019-12-14T02:35:09Z</dcterms:created>
  <dcterms:modified xsi:type="dcterms:W3CDTF">2019-12-14T02:35:09Z</dcterms:modified>
</cp:coreProperties>
</file>