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THE SECURITIES EXCHANGE ACT OF 1934</w:t>
      </w:r>
    </w:p>
    <w:p>
      <w:pPr>
        <w:jc w:val="center"/>
        <w:ind w:right="-19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John Barrett</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Corre Partners Management, LLC</w:t>
      </w:r>
    </w:p>
    <w:p>
      <w:pPr>
        <w:jc w:val="center"/>
        <w:ind w:right="-199"/>
        <w:spacing w:after="0" w:line="184" w:lineRule="auto"/>
        <w:rPr>
          <w:sz w:val="20"/>
          <w:szCs w:val="20"/>
          <w:color w:val="auto"/>
        </w:rPr>
      </w:pPr>
      <w:r>
        <w:rPr>
          <w:rFonts w:ascii="Times New Roman" w:cs="Times New Roman" w:eastAsia="Times New Roman" w:hAnsi="Times New Roman"/>
          <w:sz w:val="21"/>
          <w:szCs w:val="21"/>
          <w:color w:val="auto"/>
        </w:rPr>
        <w:t>12 East 49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Street, 40</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Floor,</w:t>
      </w:r>
    </w:p>
    <w:p>
      <w:pPr>
        <w:jc w:val="center"/>
        <w:ind w:right="-199"/>
        <w:spacing w:after="0" w:line="231" w:lineRule="auto"/>
        <w:rPr>
          <w:sz w:val="20"/>
          <w:szCs w:val="20"/>
          <w:color w:val="auto"/>
        </w:rPr>
      </w:pPr>
      <w:r>
        <w:rPr>
          <w:rFonts w:ascii="Times New Roman" w:cs="Times New Roman" w:eastAsia="Times New Roman" w:hAnsi="Times New Roman"/>
          <w:sz w:val="22"/>
          <w:szCs w:val="22"/>
          <w:color w:val="auto"/>
        </w:rPr>
        <w:t>New York, NY 10017</w:t>
      </w:r>
    </w:p>
    <w:p>
      <w:pPr>
        <w:jc w:val="center"/>
        <w:ind w:right="-199"/>
        <w:spacing w:after="0"/>
        <w:rPr>
          <w:sz w:val="20"/>
          <w:szCs w:val="20"/>
          <w:color w:val="auto"/>
        </w:rPr>
      </w:pPr>
      <w:r>
        <w:rPr>
          <w:rFonts w:ascii="Times New Roman" w:cs="Times New Roman" w:eastAsia="Times New Roman" w:hAnsi="Times New Roman"/>
          <w:sz w:val="22"/>
          <w:szCs w:val="22"/>
          <w:color w:val="auto"/>
        </w:rPr>
        <w:t>Telephone Number: 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9"/>
        <w:spacing w:after="0" w:line="233" w:lineRule="auto"/>
        <w:rPr>
          <w:sz w:val="20"/>
          <w:szCs w:val="20"/>
          <w:color w:val="auto"/>
        </w:rPr>
      </w:pPr>
      <w:r>
        <w:rPr>
          <w:rFonts w:ascii="Times New Roman" w:cs="Times New Roman" w:eastAsia="Times New Roman" w:hAnsi="Times New Roman"/>
          <w:sz w:val="22"/>
          <w:szCs w:val="22"/>
          <w:color w:val="auto"/>
        </w:rPr>
        <w:t>(Name, Address and Telephone Number of Person Authorized to Receive</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April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214" w:lineRule="exact"/>
        <w:rPr>
          <w:sz w:val="24"/>
          <w:szCs w:val="24"/>
          <w:color w:val="auto"/>
        </w:rPr>
      </w:pPr>
    </w:p>
    <w:p>
      <w:pPr>
        <w:ind w:firstLine="5"/>
        <w:spacing w:after="0" w:line="24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-480695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153035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20" w:top="459"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233"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CHECK THE APPROPRIATE BOX IF A MEMBER OF A GROUP</w:t>
      </w:r>
      <w:r>
        <w:rPr>
          <w:sz w:val="20"/>
          <w:szCs w:val="20"/>
          <w:color w:val="auto"/>
        </w:rPr>
        <w:tab/>
      </w:r>
      <w:r>
        <w:rPr>
          <w:rFonts w:ascii="Times New Roman" w:cs="Times New Roman" w:eastAsia="Times New Roman" w:hAnsi="Times New Roman"/>
          <w:sz w:val="22"/>
          <w:szCs w:val="22"/>
          <w:color w:val="auto"/>
        </w:rPr>
        <w:t>(a) [_]</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 [_]</w:t>
      </w:r>
    </w:p>
    <w:p>
      <w:pPr>
        <w:spacing w:after="0" w:line="209"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7860" w:hanging="895"/>
        <w:spacing w:after="0" w:line="461"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WC</w:t>
      </w: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400" w:hanging="895"/>
        <w:spacing w:after="0" w:line="489" w:lineRule="auto"/>
        <w:tabs>
          <w:tab w:leader="none" w:pos="9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Cayman Islands</w:t>
      </w:r>
    </w:p>
    <w:p>
      <w:pPr>
        <w:spacing w:after="0" w:line="200" w:lineRule="exact"/>
        <w:rPr>
          <w:sz w:val="20"/>
          <w:szCs w:val="20"/>
          <w:color w:val="auto"/>
        </w:rPr>
      </w:pPr>
    </w:p>
    <w:p>
      <w:pPr>
        <w:spacing w:after="0" w:line="227" w:lineRule="exact"/>
        <w:rPr>
          <w:sz w:val="20"/>
          <w:szCs w:val="20"/>
          <w:color w:val="auto"/>
        </w:rPr>
      </w:pPr>
    </w:p>
    <w:p>
      <w:pPr>
        <w:ind w:left="900" w:right="758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260" w:hanging="895"/>
        <w:spacing w:after="0" w:line="489"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4,172,246</w:t>
      </w:r>
    </w:p>
    <w:p>
      <w:pPr>
        <w:spacing w:after="0" w:line="157" w:lineRule="exact"/>
        <w:rPr>
          <w:rFonts w:ascii="Times New Roman" w:cs="Times New Roman" w:eastAsia="Times New Roman" w:hAnsi="Times New Roman"/>
          <w:sz w:val="22"/>
          <w:szCs w:val="22"/>
          <w:color w:val="auto"/>
        </w:rPr>
      </w:pPr>
    </w:p>
    <w:p>
      <w:pPr>
        <w:ind w:left="900" w:right="71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678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4,172,246</w:t>
      </w:r>
    </w:p>
    <w:p>
      <w:pPr>
        <w:ind w:left="900" w:right="194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4,172,246</w:t>
      </w:r>
    </w:p>
    <w:p>
      <w:pPr>
        <w:ind w:left="900" w:hanging="895"/>
        <w:spacing w:after="0"/>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640" w:hanging="895"/>
        <w:spacing w:after="0" w:line="461"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9.51%</w:t>
      </w:r>
    </w:p>
    <w:p>
      <w:pPr>
        <w:ind w:left="900" w:right="6800" w:hanging="895"/>
        <w:spacing w:after="0" w:line="489"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151765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420" w:top="949" w:right="759" w:bottom="94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CHECK THE APPROPRIATE BOX IF A MEMBER OF A GROUP</w:t>
      </w:r>
      <w:r>
        <w:rPr>
          <w:sz w:val="20"/>
          <w:szCs w:val="20"/>
          <w:color w:val="auto"/>
        </w:rPr>
        <w:tab/>
      </w:r>
      <w:r>
        <w:rPr>
          <w:rFonts w:ascii="Times New Roman" w:cs="Times New Roman" w:eastAsia="Times New Roman" w:hAnsi="Times New Roman"/>
          <w:sz w:val="22"/>
          <w:szCs w:val="22"/>
          <w:color w:val="auto"/>
        </w:rPr>
        <w:t>(a) [_]</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 [_]</w:t>
      </w:r>
    </w:p>
    <w:p>
      <w:pPr>
        <w:spacing w:after="0" w:line="209"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7860" w:hanging="895"/>
        <w:spacing w:after="0" w:line="461" w:lineRule="auto"/>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400" w:hanging="895"/>
        <w:spacing w:after="0" w:line="489" w:lineRule="auto"/>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58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26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4,792,981</w:t>
      </w:r>
    </w:p>
    <w:p>
      <w:pPr>
        <w:ind w:left="900" w:right="71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678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4,792,981</w:t>
      </w:r>
    </w:p>
    <w:p>
      <w:pPr>
        <w:ind w:left="900" w:right="194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4,792,981</w:t>
      </w:r>
    </w:p>
    <w:p>
      <w:pPr>
        <w:ind w:left="900" w:hanging="895"/>
        <w:spacing w:after="0"/>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640" w:hanging="895"/>
        <w:spacing w:after="0" w:line="461"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10.92%</w:t>
      </w:r>
    </w:p>
    <w:p>
      <w:pPr>
        <w:ind w:left="900" w:right="6800" w:hanging="895"/>
        <w:spacing w:after="0" w:line="489"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420" w:top="949" w:right="759" w:bottom="1158"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10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Corre Partners Management,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220" w:type="dxa"/>
            <w:vAlign w:val="bottom"/>
          </w:tcPr>
          <w:p>
            <w:pPr>
              <w:ind w:left="1620"/>
              <w:spacing w:after="0" w:line="244" w:lineRule="exact"/>
              <w:rPr>
                <w:sz w:val="20"/>
                <w:szCs w:val="20"/>
                <w:color w:val="auto"/>
              </w:rPr>
            </w:pPr>
            <w:r>
              <w:rPr>
                <w:rFonts w:ascii="Times New Roman" w:cs="Times New Roman" w:eastAsia="Times New Roman" w:hAnsi="Times New Roman"/>
                <w:sz w:val="22"/>
                <w:szCs w:val="22"/>
                <w:color w:val="auto"/>
              </w:rPr>
              <w:t>(a) [_]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 [_]</w:t>
            </w:r>
          </w:p>
        </w:tc>
      </w:tr>
    </w:tbl>
    <w:p>
      <w:pPr>
        <w:spacing w:after="0" w:line="204"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7860" w:hanging="895"/>
        <w:spacing w:after="0" w:line="461" w:lineRule="auto"/>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hanging="895"/>
        <w:spacing w:after="0"/>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right="758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26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4,792,981</w:t>
      </w:r>
    </w:p>
    <w:p>
      <w:pPr>
        <w:ind w:left="900" w:right="710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678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4,792,981</w:t>
      </w:r>
    </w:p>
    <w:p>
      <w:pPr>
        <w:ind w:left="900" w:right="194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4,792,981</w:t>
      </w:r>
    </w:p>
    <w:p>
      <w:pPr>
        <w:ind w:left="900" w:hanging="895"/>
        <w:spacing w:after="0"/>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640" w:hanging="895"/>
        <w:spacing w:after="0" w:line="461" w:lineRule="auto"/>
        <w:tabs>
          <w:tab w:leader="none" w:pos="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10.92%</w:t>
      </w:r>
    </w:p>
    <w:p>
      <w:pPr>
        <w:ind w:left="900" w:right="6800" w:hanging="895"/>
        <w:spacing w:after="0" w:line="489" w:lineRule="auto"/>
        <w:tabs>
          <w:tab w:leader="none" w:pos="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420" w:top="1192" w:right="759" w:bottom="91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CHECK THE APPROPRIATE BOX IF A MEMBER OF A GROUP</w:t>
      </w:r>
      <w:r>
        <w:rPr>
          <w:sz w:val="20"/>
          <w:szCs w:val="20"/>
          <w:color w:val="auto"/>
        </w:rPr>
        <w:tab/>
      </w:r>
      <w:r>
        <w:rPr>
          <w:rFonts w:ascii="Times New Roman" w:cs="Times New Roman" w:eastAsia="Times New Roman" w:hAnsi="Times New Roman"/>
          <w:sz w:val="22"/>
          <w:szCs w:val="22"/>
          <w:color w:val="auto"/>
        </w:rPr>
        <w:t>(a) [_]</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 [_]</w:t>
      </w:r>
    </w:p>
    <w:p>
      <w:pPr>
        <w:spacing w:after="0" w:line="209"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7860" w:hanging="895"/>
        <w:spacing w:after="0" w:line="461" w:lineRule="auto"/>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400" w:hanging="895"/>
        <w:spacing w:after="0" w:line="489" w:lineRule="auto"/>
        <w:tabs>
          <w:tab w:leader="none" w:pos="9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0" w:lineRule="exact"/>
        <w:rPr>
          <w:sz w:val="20"/>
          <w:szCs w:val="20"/>
          <w:color w:val="auto"/>
        </w:rPr>
      </w:pPr>
    </w:p>
    <w:p>
      <w:pPr>
        <w:spacing w:after="0" w:line="227" w:lineRule="exact"/>
        <w:rPr>
          <w:sz w:val="20"/>
          <w:szCs w:val="20"/>
          <w:color w:val="auto"/>
        </w:rPr>
      </w:pPr>
    </w:p>
    <w:p>
      <w:pPr>
        <w:ind w:left="900" w:right="758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26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4,792,981</w:t>
      </w:r>
    </w:p>
    <w:p>
      <w:pPr>
        <w:ind w:left="900" w:right="710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678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4,792,981</w:t>
      </w:r>
    </w:p>
    <w:p>
      <w:pPr>
        <w:ind w:left="900" w:right="194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4,792,981</w:t>
      </w:r>
    </w:p>
    <w:p>
      <w:pPr>
        <w:ind w:left="900" w:hanging="895"/>
        <w:spacing w:after="0"/>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640" w:hanging="895"/>
        <w:spacing w:after="0" w:line="461" w:lineRule="auto"/>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10.92%</w:t>
      </w:r>
    </w:p>
    <w:p>
      <w:pPr>
        <w:ind w:left="900" w:right="6800" w:hanging="895"/>
        <w:spacing w:after="0" w:line="489" w:lineRule="auto"/>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420" w:top="949" w:right="759" w:bottom="1158"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10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Eric Soderlund</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220" w:type="dxa"/>
            <w:vAlign w:val="bottom"/>
          </w:tcPr>
          <w:p>
            <w:pPr>
              <w:ind w:left="1620"/>
              <w:spacing w:after="0" w:line="244" w:lineRule="exact"/>
              <w:rPr>
                <w:sz w:val="20"/>
                <w:szCs w:val="20"/>
                <w:color w:val="auto"/>
              </w:rPr>
            </w:pPr>
            <w:r>
              <w:rPr>
                <w:rFonts w:ascii="Times New Roman" w:cs="Times New Roman" w:eastAsia="Times New Roman" w:hAnsi="Times New Roman"/>
                <w:sz w:val="22"/>
                <w:szCs w:val="22"/>
                <w:color w:val="auto"/>
              </w:rPr>
              <w:t>(a) [_]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 [_]</w:t>
            </w:r>
          </w:p>
        </w:tc>
      </w:tr>
    </w:tbl>
    <w:p>
      <w:pPr>
        <w:spacing w:after="0" w:line="204" w:lineRule="exact"/>
        <w:rPr>
          <w:sz w:val="20"/>
          <w:szCs w:val="20"/>
          <w:color w:val="auto"/>
        </w:rPr>
      </w:pPr>
    </w:p>
    <w:p>
      <w:pPr>
        <w:ind w:left="900" w:hanging="895"/>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7860" w:hanging="895"/>
        <w:spacing w:after="0" w:line="461" w:lineRule="auto"/>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400" w:hanging="895"/>
        <w:spacing w:after="0" w:line="489" w:lineRule="auto"/>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0" w:lineRule="exact"/>
        <w:rPr>
          <w:sz w:val="20"/>
          <w:szCs w:val="20"/>
          <w:color w:val="auto"/>
        </w:rPr>
      </w:pPr>
    </w:p>
    <w:p>
      <w:pPr>
        <w:spacing w:after="0" w:line="227" w:lineRule="exact"/>
        <w:rPr>
          <w:sz w:val="20"/>
          <w:szCs w:val="20"/>
          <w:color w:val="auto"/>
        </w:rPr>
      </w:pPr>
    </w:p>
    <w:p>
      <w:pPr>
        <w:ind w:left="900" w:right="758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26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4,792,981</w:t>
      </w:r>
    </w:p>
    <w:p>
      <w:pPr>
        <w:ind w:left="900" w:right="710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678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4,792,981</w:t>
      </w:r>
    </w:p>
    <w:p>
      <w:pPr>
        <w:ind w:left="900" w:right="194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4,792,981</w:t>
      </w:r>
    </w:p>
    <w:p>
      <w:pPr>
        <w:ind w:left="900" w:hanging="895"/>
        <w:spacing w:after="0"/>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640" w:hanging="895"/>
        <w:spacing w:after="0" w:line="461" w:lineRule="auto"/>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10.92%</w:t>
      </w:r>
    </w:p>
    <w:p>
      <w:pPr>
        <w:ind w:left="900" w:right="6800" w:hanging="895"/>
        <w:spacing w:after="0" w:line="489" w:lineRule="auto"/>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420" w:top="1192" w:right="759" w:bottom="91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8420" w:type="dxa"/>
            <w:vAlign w:val="bottom"/>
            <w:tcBorders>
              <w:bottom w:val="single" w:sz="8" w:color="auto"/>
            </w:tcBorders>
          </w:tcPr>
          <w:p>
            <w:pPr>
              <w:jc w:val="right"/>
              <w:ind w:right="725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233"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The name of the issuer is NN, Inc., a Delaware corporation (the "Issuer"). The address of the Issuer's principal executive offices is 6210 Ardrey Kell Road, Suite 600, Charlotte, North Carolina 28277. This Schedule 13D amendment relates to the Issuer's common stock, par value $0.01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-8890</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233" w:lineRule="exact"/>
        <w:rPr>
          <w:sz w:val="20"/>
          <w:szCs w:val="20"/>
          <w:color w:val="auto"/>
        </w:rPr>
      </w:pPr>
    </w:p>
    <w:p>
      <w:pPr>
        <w:jc w:val="both"/>
        <w:ind w:left="2160" w:hanging="1133"/>
        <w:spacing w:after="0" w:line="234" w:lineRule="auto"/>
        <w:tabs>
          <w:tab w:leader="none" w:pos="2140" w:val="left"/>
        </w:tabs>
        <w:rPr>
          <w:sz w:val="20"/>
          <w:szCs w:val="20"/>
          <w:color w:val="auto"/>
        </w:rPr>
      </w:pPr>
      <w:r>
        <w:rPr>
          <w:rFonts w:ascii="Times New Roman" w:cs="Times New Roman" w:eastAsia="Times New Roman" w:hAnsi="Times New Roman"/>
          <w:sz w:val="22"/>
          <w:szCs w:val="22"/>
          <w:color w:val="auto"/>
        </w:rPr>
        <w:t>(a), (f)</w:t>
      </w:r>
      <w:r>
        <w:rPr>
          <w:sz w:val="20"/>
          <w:szCs w:val="20"/>
          <w:color w:val="auto"/>
        </w:rPr>
        <w:tab/>
      </w:r>
      <w:r>
        <w:rPr>
          <w:rFonts w:ascii="Times New Roman" w:cs="Times New Roman" w:eastAsia="Times New Roman" w:hAnsi="Times New Roman"/>
          <w:sz w:val="22"/>
          <w:szCs w:val="22"/>
          <w:color w:val="auto"/>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 LLC, a Delaware limited liability company (the “Investment Adviser”), which has been delegated investment authority over the assets of the Fund by the General Partner; (iv) Mr. John Barrett, who serves as a managing member of the General Partner and the Investment Adviser; and (v) Mr. Eric Soderlund, who serves as a managing member of the General Partner and the Investment Adviser (each, a “Reporting Person” and collectively, the “Reporting Persons”). Mr. Barrett and Mr. Soderlund are citizens of the United States.</w:t>
      </w:r>
    </w:p>
    <w:p>
      <w:pPr>
        <w:spacing w:after="0" w:line="206" w:lineRule="exact"/>
        <w:rPr>
          <w:sz w:val="20"/>
          <w:szCs w:val="20"/>
          <w:color w:val="auto"/>
        </w:rPr>
      </w:pPr>
    </w:p>
    <w:p>
      <w:pPr>
        <w:jc w:val="both"/>
        <w:ind w:left="2160" w:hanging="1133"/>
        <w:spacing w:after="0" w:line="282" w:lineRule="auto"/>
        <w:tabs>
          <w:tab w:leader="none" w:pos="2140" w:val="left"/>
        </w:tabs>
        <w:rPr>
          <w:sz w:val="20"/>
          <w:szCs w:val="20"/>
          <w:color w:val="auto"/>
        </w:rPr>
      </w:pPr>
      <w:r>
        <w:rPr>
          <w:rFonts w:ascii="Times New Roman" w:cs="Times New Roman" w:eastAsia="Times New Roman" w:hAnsi="Times New Roman"/>
          <w:sz w:val="22"/>
          <w:szCs w:val="22"/>
          <w:color w:val="auto"/>
        </w:rPr>
        <w:t>(b), (c)</w:t>
      </w:r>
      <w:r>
        <w:rPr>
          <w:sz w:val="20"/>
          <w:szCs w:val="20"/>
          <w:color w:val="auto"/>
        </w:rPr>
        <w:tab/>
      </w:r>
      <w:r>
        <w:rPr>
          <w:rFonts w:ascii="Times New Roman" w:cs="Times New Roman" w:eastAsia="Times New Roman" w:hAnsi="Times New Roman"/>
          <w:sz w:val="22"/>
          <w:szCs w:val="22"/>
          <w:color w:val="auto"/>
        </w:rPr>
        <w:t>The Fund is principally engaged in the business of investing in securities. The principal business address of the Fund is 12 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p>
      <w:pPr>
        <w:spacing w:after="0" w:line="13" w:lineRule="exact"/>
        <w:rPr>
          <w:sz w:val="20"/>
          <w:szCs w:val="20"/>
          <w:color w:val="auto"/>
        </w:rPr>
      </w:pPr>
    </w:p>
    <w:p>
      <w:pPr>
        <w:jc w:val="both"/>
        <w:ind w:left="2160"/>
        <w:spacing w:after="0" w:line="244" w:lineRule="auto"/>
        <w:rPr>
          <w:sz w:val="20"/>
          <w:szCs w:val="20"/>
          <w:color w:val="auto"/>
        </w:rPr>
      </w:pPr>
      <w:r>
        <w:rPr>
          <w:rFonts w:ascii="Times New Roman" w:cs="Times New Roman" w:eastAsia="Times New Roman" w:hAnsi="Times New Roman"/>
          <w:sz w:val="22"/>
          <w:szCs w:val="22"/>
          <w:color w:val="auto"/>
        </w:rPr>
        <w:t>The General Partner is principally engaged in the business of serving as general partner and/or managing member to private investment vehicles, including the Fund. The principal business</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address of the General Partner is 12 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p>
      <w:pPr>
        <w:spacing w:after="0" w:line="108"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2"/>
          <w:szCs w:val="22"/>
          <w:color w:val="auto"/>
        </w:rPr>
        <w:t>The Investment Adviser is an investment adviser registered with the Securities and Exchange Commission (the “SEC”) that is principally engaged in the business of providing investment management services to private investment vehicles, including the Fund. The principal business</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address of the Investment Adviser is 12 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p>
      <w:pPr>
        <w:spacing w:after="0" w:line="108" w:lineRule="exact"/>
        <w:rPr>
          <w:sz w:val="20"/>
          <w:szCs w:val="20"/>
          <w:color w:val="auto"/>
        </w:rPr>
      </w:pPr>
    </w:p>
    <w:p>
      <w:pPr>
        <w:jc w:val="both"/>
        <w:ind w:left="2160" w:right="20"/>
        <w:spacing w:after="0" w:line="255" w:lineRule="auto"/>
        <w:rPr>
          <w:sz w:val="20"/>
          <w:szCs w:val="20"/>
          <w:color w:val="auto"/>
        </w:rPr>
      </w:pPr>
      <w:r>
        <w:rPr>
          <w:rFonts w:ascii="Times New Roman" w:cs="Times New Roman" w:eastAsia="Times New Roman" w:hAnsi="Times New Roman"/>
          <w:sz w:val="21"/>
          <w:szCs w:val="21"/>
          <w:color w:val="auto"/>
        </w:rPr>
        <w:t>Mr. Barrett and Mr. Soderlund are the co-owners and managing members of the General Partner and the Investment Adviser. The business address of each of Mr. Barrett and Mr. Soderlund is 12</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p>
      <w:pPr>
        <w:spacing w:after="0" w:line="108" w:lineRule="exact"/>
        <w:rPr>
          <w:sz w:val="20"/>
          <w:szCs w:val="20"/>
          <w:color w:val="auto"/>
        </w:rPr>
      </w:pPr>
    </w:p>
    <w:p>
      <w:pPr>
        <w:ind w:left="2160" w:right="20" w:hanging="1142"/>
        <w:spacing w:after="0" w:line="258" w:lineRule="auto"/>
        <w:tabs>
          <w:tab w:leader="none" w:pos="2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have, during the last five years, been convicted in a criminal proceeding (excluding traffic violations or similar misdemeanors).</w:t>
      </w:r>
    </w:p>
    <w:p>
      <w:pPr>
        <w:spacing w:after="0" w:line="185" w:lineRule="exact"/>
        <w:rPr>
          <w:rFonts w:ascii="Times New Roman" w:cs="Times New Roman" w:eastAsia="Times New Roman" w:hAnsi="Times New Roman"/>
          <w:sz w:val="22"/>
          <w:szCs w:val="22"/>
          <w:color w:val="auto"/>
        </w:rPr>
      </w:pPr>
    </w:p>
    <w:p>
      <w:pPr>
        <w:jc w:val="both"/>
        <w:ind w:left="2160" w:hanging="1142"/>
        <w:spacing w:after="0" w:line="238" w:lineRule="auto"/>
        <w:tabs>
          <w:tab w:leader="none" w:pos="2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146685</wp:posOffset>
            </wp:positionV>
            <wp:extent cx="6489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318135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706" w:right="879" w:bottom="1440"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233" w:lineRule="exact"/>
        <w:rPr>
          <w:sz w:val="20"/>
          <w:szCs w:val="20"/>
          <w:color w:val="auto"/>
        </w:rPr>
      </w:pPr>
    </w:p>
    <w:p>
      <w:pPr>
        <w:jc w:val="both"/>
        <w:ind w:left="1020"/>
        <w:spacing w:after="0" w:line="235" w:lineRule="auto"/>
        <w:rPr>
          <w:sz w:val="20"/>
          <w:szCs w:val="20"/>
          <w:color w:val="auto"/>
        </w:rPr>
      </w:pPr>
      <w:r>
        <w:rPr>
          <w:rFonts w:ascii="Times New Roman" w:cs="Times New Roman" w:eastAsia="Times New Roman" w:hAnsi="Times New Roman"/>
          <w:sz w:val="22"/>
          <w:szCs w:val="22"/>
          <w:color w:val="auto"/>
        </w:rPr>
        <w:t>The funds for the purchase of the 4,172,246 Shares beneficially owned by the Fund came from the working capital of the Fund, which is the direct owner of the Shares. The funds for the purchase of the 4,792,981 Shares beneficially owned by the other Reporting Persons (which include the 4,172,246 Shares directly owned by the Fund) came from the working capital of the Fund and other private investment vehicles managed by the Investment Adviser, which are the direct owners of such Shares. The net investment cost (including commissions, if any) of the Shares owned by the Reporting Persons is approximately $36,044,462. No borrowed funds were used to purchase the Shares, other than any borrowed funds used for working capital purposes (including certain leverage arrangements)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147955</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233" w:lineRule="exact"/>
        <w:rPr>
          <w:sz w:val="20"/>
          <w:szCs w:val="20"/>
          <w:color w:val="auto"/>
        </w:rPr>
      </w:pPr>
    </w:p>
    <w:p>
      <w:pPr>
        <w:jc w:val="both"/>
        <w:ind w:left="1020"/>
        <w:spacing w:after="0" w:line="236" w:lineRule="auto"/>
        <w:rPr>
          <w:sz w:val="20"/>
          <w:szCs w:val="20"/>
          <w:color w:val="auto"/>
        </w:rPr>
      </w:pPr>
      <w:r>
        <w:rPr>
          <w:rFonts w:ascii="Times New Roman" w:cs="Times New Roman" w:eastAsia="Times New Roman" w:hAnsi="Times New Roman"/>
          <w:sz w:val="22"/>
          <w:szCs w:val="22"/>
          <w:color w:val="auto"/>
        </w:rPr>
        <w:t>The Reporting Persons originally acquired the Shares for investment purposes. The Reporting Persons have had discussions with certain representatives of the Issuer and management of the Issuer. The Reporting Persons have entered into a Cooperation Agreement with Issuer pursuant to which the Issuer increased the size of the Issuer’s Board of Directors (the “Board”) from 9 to 10 directors and appointed Dr. Rajeev Gautam to fill the newly created directorship on the recommendation of the Reporting Persons. The Cooperation Agreement is further described in Item 6 below.</w:t>
      </w:r>
    </w:p>
    <w:p>
      <w:pPr>
        <w:spacing w:after="0" w:line="208" w:lineRule="exact"/>
        <w:rPr>
          <w:sz w:val="20"/>
          <w:szCs w:val="20"/>
          <w:color w:val="auto"/>
        </w:rPr>
      </w:pPr>
    </w:p>
    <w:p>
      <w:pPr>
        <w:jc w:val="both"/>
        <w:ind w:left="1020"/>
        <w:spacing w:after="0" w:line="232" w:lineRule="auto"/>
        <w:rPr>
          <w:sz w:val="20"/>
          <w:szCs w:val="20"/>
          <w:color w:val="auto"/>
        </w:rPr>
      </w:pPr>
      <w:r>
        <w:rPr>
          <w:rFonts w:ascii="Times New Roman" w:cs="Times New Roman" w:eastAsia="Times New Roman" w:hAnsi="Times New Roman"/>
          <w:sz w:val="22"/>
          <w:szCs w:val="22"/>
          <w:color w:val="auto"/>
        </w:rPr>
        <w:t>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151130</wp:posOffset>
            </wp:positionV>
            <wp:extent cx="6489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322580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706" w:right="879" w:bottom="1440" w:gutter="0" w:footer="0" w:header="0"/>
        </w:sectPr>
      </w:pPr>
    </w:p>
    <w:bookmarkStart w:id="8" w:name="page9"/>
    <w:bookmarkEnd w:id="8"/>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233" w:lineRule="exact"/>
        <w:rPr>
          <w:sz w:val="20"/>
          <w:szCs w:val="20"/>
          <w:color w:val="auto"/>
        </w:rPr>
      </w:pPr>
    </w:p>
    <w:p>
      <w:pPr>
        <w:ind w:left="2160" w:hanging="1142"/>
        <w:spacing w:after="0" w:line="251" w:lineRule="auto"/>
        <w:tabs>
          <w:tab w:leader="none" w:pos="1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w:t>
      </w:r>
      <w:r>
        <w:rPr>
          <w:rFonts w:ascii="Times New Roman" w:cs="Times New Roman" w:eastAsia="Times New Roman" w:hAnsi="Times New Roman"/>
          <w:sz w:val="21"/>
          <w:szCs w:val="21"/>
          <w:color w:val="auto"/>
        </w:rPr>
        <w:t>As of the date hereof (i) the Fund may be deemed to be the beneficial owner of 4,172,246 Shares, constituting 9.51% of the Shares in the aggregate and (ii) each of the General Partner, the Investment Adviser, Mr. Barrett and Mr. Soderlund may be deemed to be the beneficial owner of 4,792,981 Shares, constituting 10.92% of the Shares in the aggregate, in each case based upon 43,890,305 Shares outstanding at March 31, 2022, as determined based on reports by the Issuer.</w:t>
      </w:r>
    </w:p>
    <w:p>
      <w:pPr>
        <w:spacing w:after="0" w:line="195" w:lineRule="exact"/>
        <w:rPr>
          <w:sz w:val="20"/>
          <w:szCs w:val="20"/>
          <w:color w:val="auto"/>
        </w:rPr>
      </w:pPr>
    </w:p>
    <w:p>
      <w:pPr>
        <w:jc w:val="both"/>
        <w:ind w:left="2160"/>
        <w:spacing w:after="0" w:line="244" w:lineRule="auto"/>
        <w:rPr>
          <w:sz w:val="20"/>
          <w:szCs w:val="20"/>
          <w:color w:val="auto"/>
        </w:rPr>
      </w:pPr>
      <w:r>
        <w:rPr>
          <w:rFonts w:ascii="Times New Roman" w:cs="Times New Roman" w:eastAsia="Times New Roman" w:hAnsi="Times New Roman"/>
          <w:sz w:val="22"/>
          <w:szCs w:val="22"/>
          <w:color w:val="auto"/>
        </w:rPr>
        <w:t>The Fund has the sole power to vote or direct the vote of 0 Shares; has the shared power to vote or direct the vote of 4,172,246 Shares; has the sole power to dispose or direct the disposition of 0 Shares; and has the shared power to dispose or direct the disposition of 4,172,246 Shares.</w:t>
      </w:r>
    </w:p>
    <w:p>
      <w:pPr>
        <w:spacing w:after="0" w:line="200"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2"/>
          <w:szCs w:val="22"/>
          <w:color w:val="auto"/>
        </w:rPr>
        <w:t>The General Partner has the sole power to vote or direct the vote of 0 Shares; has the shared power to vote or direct the vote of 4,792,981 Shares; has the sole power to dispose or direct the disposition of 0 Shares; and has the shared power to dispose or direct the disposition of 4,792,981 Shares.</w:t>
      </w:r>
    </w:p>
    <w:p>
      <w:pPr>
        <w:spacing w:after="0" w:line="207"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2"/>
          <w:szCs w:val="22"/>
          <w:color w:val="auto"/>
        </w:rPr>
        <w:t>The Investment Adviser has the sole power to vote or direct the vote of 0 Shares; has the shared power to vote or direct the vote of 4,792,981 Shares; has the sole power to dispose or direct the disposition of 0 Shares; and has the shared power to dispose or direct the disposition of 4,792,981 Shares.</w:t>
      </w:r>
    </w:p>
    <w:p>
      <w:pPr>
        <w:spacing w:after="0" w:line="207" w:lineRule="exact"/>
        <w:rPr>
          <w:sz w:val="20"/>
          <w:szCs w:val="20"/>
          <w:color w:val="auto"/>
        </w:rPr>
      </w:pPr>
    </w:p>
    <w:p>
      <w:pPr>
        <w:jc w:val="both"/>
        <w:ind w:left="2160"/>
        <w:spacing w:after="0" w:line="261" w:lineRule="auto"/>
        <w:rPr>
          <w:sz w:val="20"/>
          <w:szCs w:val="20"/>
          <w:color w:val="auto"/>
        </w:rPr>
      </w:pPr>
      <w:r>
        <w:rPr>
          <w:rFonts w:ascii="Times New Roman" w:cs="Times New Roman" w:eastAsia="Times New Roman" w:hAnsi="Times New Roman"/>
          <w:sz w:val="21"/>
          <w:szCs w:val="21"/>
          <w:color w:val="auto"/>
        </w:rPr>
        <w:t>Mr. Barrett has the sole power to vote or direct the vote of 0 Shares; has the shared power to vote or direct the vote of 4,792,981 Shares; has the sole power to dispose or direct the disposition of 0 Shares; and has the shared power to dispose or direct the disposition of 4,792,981 Shares.</w:t>
      </w:r>
    </w:p>
    <w:p>
      <w:pPr>
        <w:spacing w:after="0" w:line="184" w:lineRule="exact"/>
        <w:rPr>
          <w:sz w:val="20"/>
          <w:szCs w:val="20"/>
          <w:color w:val="auto"/>
        </w:rPr>
      </w:pPr>
    </w:p>
    <w:p>
      <w:pPr>
        <w:jc w:val="both"/>
        <w:ind w:left="2160"/>
        <w:spacing w:after="0" w:line="261" w:lineRule="auto"/>
        <w:rPr>
          <w:sz w:val="20"/>
          <w:szCs w:val="20"/>
          <w:color w:val="auto"/>
        </w:rPr>
      </w:pPr>
      <w:r>
        <w:rPr>
          <w:rFonts w:ascii="Times New Roman" w:cs="Times New Roman" w:eastAsia="Times New Roman" w:hAnsi="Times New Roman"/>
          <w:sz w:val="21"/>
          <w:szCs w:val="21"/>
          <w:color w:val="auto"/>
        </w:rPr>
        <w:t>Mr. Soderlund has the sole power to vote or direct the vote of 0 Shares; has the shared power to vote or direct the vote of 4,792,981 Shares; has the sole power to dispose or direct the disposition of 0 Shares; and has the shared power to dispose or direct the disposition of 4,792,981 Shares.</w:t>
      </w:r>
    </w:p>
    <w:p>
      <w:pPr>
        <w:spacing w:after="0" w:line="184" w:lineRule="exact"/>
        <w:rPr>
          <w:sz w:val="20"/>
          <w:szCs w:val="20"/>
          <w:color w:val="auto"/>
        </w:rPr>
      </w:pPr>
    </w:p>
    <w:p>
      <w:pPr>
        <w:ind w:left="2160" w:right="460"/>
        <w:spacing w:after="0" w:line="244" w:lineRule="auto"/>
        <w:rPr>
          <w:sz w:val="20"/>
          <w:szCs w:val="20"/>
          <w:color w:val="auto"/>
        </w:rPr>
      </w:pPr>
      <w:r>
        <w:rPr>
          <w:rFonts w:ascii="Times New Roman" w:cs="Times New Roman" w:eastAsia="Times New Roman" w:hAnsi="Times New Roman"/>
          <w:sz w:val="22"/>
          <w:szCs w:val="22"/>
          <w:color w:val="auto"/>
        </w:rPr>
        <w:t>The transactions by the Reporting Persons in the securities of the Issuer during the past sixty days are set forth in Exhibit B. All such transactions were carried out in open market transactions.</w:t>
      </w:r>
    </w:p>
    <w:p>
      <w:pPr>
        <w:spacing w:after="0" w:line="200" w:lineRule="exact"/>
        <w:rPr>
          <w:sz w:val="20"/>
          <w:szCs w:val="20"/>
          <w:color w:val="auto"/>
        </w:rPr>
      </w:pPr>
    </w:p>
    <w:p>
      <w:pPr>
        <w:spacing w:after="0" w:line="243" w:lineRule="exact"/>
        <w:rPr>
          <w:sz w:val="20"/>
          <w:szCs w:val="20"/>
          <w:color w:val="auto"/>
        </w:rPr>
      </w:pPr>
    </w:p>
    <w:p>
      <w:pPr>
        <w:ind w:left="2160" w:hanging="1142"/>
        <w:spacing w:after="0"/>
        <w:tabs>
          <w:tab w:leader="none" w:pos="2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165100</wp:posOffset>
            </wp:positionV>
            <wp:extent cx="6489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336550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706" w:right="879" w:bottom="1440" w:gutter="0" w:footer="0" w:header="0"/>
        </w:sectPr>
      </w:pPr>
    </w:p>
    <w:bookmarkStart w:id="9" w:name="page10"/>
    <w:bookmarkEnd w:id="9"/>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233" w:lineRule="exact"/>
        <w:rPr>
          <w:sz w:val="20"/>
          <w:szCs w:val="20"/>
          <w:color w:val="auto"/>
        </w:rPr>
      </w:pPr>
    </w:p>
    <w:p>
      <w:pPr>
        <w:jc w:val="both"/>
        <w:ind w:left="1020"/>
        <w:spacing w:after="0" w:line="239" w:lineRule="auto"/>
        <w:rPr>
          <w:sz w:val="20"/>
          <w:szCs w:val="20"/>
          <w:color w:val="auto"/>
        </w:rPr>
      </w:pPr>
      <w:r>
        <w:rPr>
          <w:rFonts w:ascii="Times New Roman" w:cs="Times New Roman" w:eastAsia="Times New Roman" w:hAnsi="Times New Roman"/>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w:t>
      </w:r>
    </w:p>
    <w:p>
      <w:pPr>
        <w:spacing w:after="0" w:line="207" w:lineRule="exact"/>
        <w:rPr>
          <w:sz w:val="20"/>
          <w:szCs w:val="20"/>
          <w:color w:val="auto"/>
        </w:rPr>
      </w:pPr>
    </w:p>
    <w:p>
      <w:pPr>
        <w:jc w:val="both"/>
        <w:ind w:left="1020"/>
        <w:spacing w:after="0" w:line="233" w:lineRule="auto"/>
        <w:rPr>
          <w:sz w:val="20"/>
          <w:szCs w:val="20"/>
          <w:color w:val="auto"/>
        </w:rPr>
      </w:pPr>
      <w:r>
        <w:rPr>
          <w:rFonts w:ascii="Times New Roman" w:cs="Times New Roman" w:eastAsia="Times New Roman" w:hAnsi="Times New Roman"/>
          <w:sz w:val="22"/>
          <w:szCs w:val="22"/>
          <w:color w:val="auto"/>
        </w:rPr>
        <w:t>The Warrants are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w:t>
      </w:r>
    </w:p>
    <w:p>
      <w:pPr>
        <w:spacing w:after="0" w:line="214" w:lineRule="exact"/>
        <w:rPr>
          <w:sz w:val="20"/>
          <w:szCs w:val="20"/>
          <w:color w:val="auto"/>
        </w:rPr>
      </w:pPr>
    </w:p>
    <w:p>
      <w:pPr>
        <w:jc w:val="both"/>
        <w:ind w:left="1020"/>
        <w:spacing w:after="0" w:line="236" w:lineRule="auto"/>
        <w:rPr>
          <w:sz w:val="20"/>
          <w:szCs w:val="20"/>
          <w:color w:val="auto"/>
        </w:rPr>
      </w:pPr>
      <w:r>
        <w:rPr>
          <w:rFonts w:ascii="Times New Roman" w:cs="Times New Roman" w:eastAsia="Times New Roman" w:hAnsi="Times New Roman"/>
          <w:sz w:val="22"/>
          <w:szCs w:val="22"/>
          <w:color w:val="auto"/>
        </w:rPr>
        <w:t>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w:t>
      </w:r>
    </w:p>
    <w:p>
      <w:pPr>
        <w:spacing w:after="0" w:line="208" w:lineRule="exact"/>
        <w:rPr>
          <w:sz w:val="20"/>
          <w:szCs w:val="20"/>
          <w:color w:val="auto"/>
        </w:rPr>
      </w:pPr>
    </w:p>
    <w:p>
      <w:pPr>
        <w:jc w:val="both"/>
        <w:ind w:left="1020"/>
        <w:spacing w:after="0" w:line="243" w:lineRule="auto"/>
        <w:rPr>
          <w:sz w:val="20"/>
          <w:szCs w:val="20"/>
          <w:color w:val="auto"/>
        </w:rPr>
      </w:pPr>
      <w:r>
        <w:rPr>
          <w:rFonts w:ascii="Times New Roman" w:cs="Times New Roman" w:eastAsia="Times New Roman" w:hAnsi="Times New Roman"/>
          <w:sz w:val="21"/>
          <w:szCs w:val="21"/>
          <w:color w:val="auto"/>
        </w:rPr>
        <w:t>The Reporting Persons have entered into a Cooperation Agreement with the Issuer as of May 13, 2021. Pursuant to the Cooperation Agreement, the Issuer increased the size of the Board from 9 to 10 directors and appointed Dr. Rajeev Gautam to fill the newly created directorship. Dr. Gautam will serve as a director with an initial term expiring at the Issuer’s 2021 annual meeting and will be included in the Issuer’s slate of director nominees for election at the 2021 and 2022 annual meeting. The Cooperation Agreement requires the Reporting Persons to, at the Issuer’s 2021 annual meeting and at any meeting of the Issuer’s stockholders held prior to the date of termination of the Standstill Period (as defined below), vote all of its Shares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either or both Institutional Shareholder Services Inc. and Glass Lewis &amp; Co., LLC. The Cooperation Agreement, among other things, contains certain customary standstill restrictions that apply to the Reporting Persons during the period from May 13, 2021 until the date that is 20 calendar days prior to the last day of the advance notice period for the submission by shareholders of director nominations for the Issuer’s 2023 annual meeting, as set forth in the advance notice provisions of the Issuer’s Amended and Restated Bylaws (the “</w:t>
      </w:r>
      <w:r>
        <w:rPr>
          <w:rFonts w:ascii="Times New Roman" w:cs="Times New Roman" w:eastAsia="Times New Roman" w:hAnsi="Times New Roman"/>
          <w:sz w:val="21"/>
          <w:szCs w:val="21"/>
          <w:u w:val="single" w:color="auto"/>
          <w:color w:val="auto"/>
        </w:rPr>
        <w:t>Standstill Period</w:t>
      </w:r>
      <w:r>
        <w:rPr>
          <w:rFonts w:ascii="Times New Roman" w:cs="Times New Roman" w:eastAsia="Times New Roman" w:hAnsi="Times New Roman"/>
          <w:sz w:val="21"/>
          <w:szCs w:val="21"/>
          <w:color w:val="auto"/>
        </w:rPr>
        <w:t>”). During the Standstill Period, the Reporting Persons are, among other things, restricted from engaging in any solicitation of proxies or written consents relating to the Issuer, acquiring any assets of the Issuer, or acquiring any voting stock that would result in the Reporting Persons having beneficial ownership of more than 15.0% of the Issuer’s outstanding common stock. See Exhibit F for the Cooperation Agreement.</w:t>
      </w:r>
    </w:p>
    <w:p>
      <w:pPr>
        <w:spacing w:after="0" w:line="214"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21"/>
          <w:szCs w:val="21"/>
          <w:color w:val="auto"/>
        </w:rPr>
        <w:t>The Reporting Persons do not have any contract, arrangement, understanding or relationship with any person with respect to securities of the Issuer that is not described above and/or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120015</wp:posOffset>
            </wp:positionV>
            <wp:extent cx="6489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463" w:right="879" w:bottom="1440" w:gutter="0" w:footer="0" w:header="0"/>
        </w:sectPr>
      </w:pPr>
    </w:p>
    <w:bookmarkStart w:id="10" w:name="page11"/>
    <w:bookmarkEnd w:id="10"/>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A: Joint Filing Agreement</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B: Schedule of Transactions in Shares</w:t>
      </w:r>
    </w:p>
    <w:p>
      <w:pPr>
        <w:spacing w:after="0" w:line="233"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Exhibit C: Securities Purchase Agreement (incorporated by reference to Exhibit 10.1 to the Form 8-K filed with the SEC by the Issuer on December 11, 2019)</w:t>
      </w:r>
    </w:p>
    <w:p>
      <w:pPr>
        <w:spacing w:after="0" w:line="185"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Exhibit D: Common Stock Purchase Warrant (incorporated by reference to Exhibit 4.1 to the Form 8-K filed with the SEC by the Issuer on December 11, 2019)</w:t>
      </w:r>
    </w:p>
    <w:p>
      <w:pPr>
        <w:spacing w:after="0" w:line="185"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Exhibit E: Registration Rights Agreement (incorporated by reference to Exhibit 10.2 to the Form 8-K filed with the SEC by the Issuer on December 11, 2019)</w:t>
      </w:r>
    </w:p>
    <w:p>
      <w:pPr>
        <w:spacing w:after="0" w:line="185" w:lineRule="exact"/>
        <w:rPr>
          <w:sz w:val="20"/>
          <w:szCs w:val="20"/>
          <w:color w:val="auto"/>
        </w:rPr>
      </w:pPr>
    </w:p>
    <w:p>
      <w:pPr>
        <w:ind w:left="1020" w:right="20"/>
        <w:spacing w:after="0" w:line="258" w:lineRule="auto"/>
        <w:rPr>
          <w:sz w:val="20"/>
          <w:szCs w:val="20"/>
          <w:color w:val="auto"/>
        </w:rPr>
      </w:pPr>
      <w:r>
        <w:rPr>
          <w:rFonts w:ascii="Times New Roman" w:cs="Times New Roman" w:eastAsia="Times New Roman" w:hAnsi="Times New Roman"/>
          <w:sz w:val="22"/>
          <w:szCs w:val="22"/>
          <w:color w:val="auto"/>
        </w:rPr>
        <w:t>Exhibit F: Cooperation Agreement (incorporated by reference to Exhibit 10.1 to the Form 8-K filed with the SEC by the Issuer on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135255</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461010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10795</wp:posOffset>
            </wp:positionV>
            <wp:extent cx="19970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pacing w:after="0" w:line="200" w:lineRule="exact"/>
        <w:rPr>
          <w:sz w:val="20"/>
          <w:szCs w:val="20"/>
          <w:color w:val="auto"/>
        </w:rPr>
      </w:pPr>
    </w:p>
    <w:p>
      <w:pPr>
        <w:spacing w:after="0" w:line="2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Eric Soderlund*</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Eric Soderlund</w:t>
      </w:r>
    </w:p>
    <w:p>
      <w:pPr>
        <w:spacing w:after="0" w:line="233" w:lineRule="exact"/>
        <w:rPr>
          <w:sz w:val="20"/>
          <w:szCs w:val="20"/>
          <w:color w:val="auto"/>
        </w:rPr>
      </w:pPr>
    </w:p>
    <w:p>
      <w:pPr>
        <w:jc w:val="both"/>
        <w:ind w:firstLine="8"/>
        <w:spacing w:after="0" w:line="244" w:lineRule="auto"/>
        <w:tabs>
          <w:tab w:leader="none" w:pos="19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disclaims beneficial ownership of the reported securities except to the extent of his or its pecuniary interests therein, and this report shall not be deemed an admission that such person is the beneficial owner of these securities for purposes of Section 16 of the U.S. Securities Exchange Act of 1934, as amended, or for any other purpose.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April 22, 2022, relating to the common stock, par value $0.01 per share, of NN, Inc. shall be filed on behalf of the undersigned.</w:t>
      </w: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10795</wp:posOffset>
            </wp:positionV>
            <wp:extent cx="1928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pacing w:after="0" w:line="200" w:lineRule="exact"/>
        <w:rPr>
          <w:sz w:val="20"/>
          <w:szCs w:val="20"/>
          <w:color w:val="auto"/>
        </w:rPr>
      </w:pPr>
    </w:p>
    <w:p>
      <w:pPr>
        <w:spacing w:after="0" w:line="2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Eric Soderlund</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2"/>
        </w:trPr>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6"/>
              </w:rPr>
              <w:t>Exhibit B</w:t>
            </w:r>
          </w:p>
        </w:tc>
        <w:tc>
          <w:tcPr>
            <w:tcW w:w="0" w:type="dxa"/>
            <w:vAlign w:val="bottom"/>
          </w:tcPr>
          <w:p>
            <w:pPr>
              <w:spacing w:after="0"/>
              <w:rPr>
                <w:sz w:val="1"/>
                <w:szCs w:val="1"/>
                <w:color w:val="auto"/>
              </w:rPr>
            </w:pPr>
          </w:p>
        </w:tc>
      </w:tr>
      <w:tr>
        <w:trPr>
          <w:trHeight w:val="729"/>
        </w:trPr>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7"/>
        </w:trPr>
        <w:tc>
          <w:tcPr>
            <w:tcW w:w="400" w:type="dxa"/>
            <w:vAlign w:val="bottom"/>
          </w:tcPr>
          <w:p>
            <w:pPr>
              <w:spacing w:after="0"/>
              <w:rPr>
                <w:sz w:val="24"/>
                <w:szCs w:val="24"/>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Date of Transaction</w:t>
            </w:r>
          </w:p>
        </w:tc>
        <w:tc>
          <w:tcPr>
            <w:tcW w:w="4140" w:type="dxa"/>
            <w:vAlign w:val="bottom"/>
            <w:gridSpan w:val="3"/>
            <w:vMerge w:val="restart"/>
          </w:tcPr>
          <w:p>
            <w:pPr>
              <w:ind w:left="1660"/>
              <w:spacing w:after="0"/>
              <w:rPr>
                <w:sz w:val="20"/>
                <w:szCs w:val="20"/>
                <w:color w:val="auto"/>
              </w:rPr>
            </w:pPr>
            <w:r>
              <w:rPr>
                <w:rFonts w:ascii="Times New Roman" w:cs="Times New Roman" w:eastAsia="Times New Roman" w:hAnsi="Times New Roman"/>
                <w:sz w:val="22"/>
                <w:szCs w:val="22"/>
                <w:color w:val="auto"/>
              </w:rPr>
              <w:t>Title of Class</w:t>
            </w:r>
          </w:p>
        </w:tc>
        <w:tc>
          <w:tcPr>
            <w:tcW w:w="400" w:type="dxa"/>
            <w:vAlign w:val="bottom"/>
          </w:tcPr>
          <w:p>
            <w:pPr>
              <w:spacing w:after="0"/>
              <w:rPr>
                <w:sz w:val="24"/>
                <w:szCs w:val="24"/>
                <w:color w:val="auto"/>
              </w:rPr>
            </w:pPr>
          </w:p>
        </w:tc>
        <w:tc>
          <w:tcPr>
            <w:tcW w:w="1780" w:type="dxa"/>
            <w:vAlign w:val="bottom"/>
            <w:gridSpan w:val="4"/>
          </w:tcPr>
          <w:p>
            <w:pPr>
              <w:jc w:val="center"/>
              <w:ind w:right="220"/>
              <w:spacing w:after="0"/>
              <w:rPr>
                <w:sz w:val="20"/>
                <w:szCs w:val="20"/>
                <w:color w:val="auto"/>
              </w:rPr>
            </w:pPr>
            <w:r>
              <w:rPr>
                <w:rFonts w:ascii="Times New Roman" w:cs="Times New Roman" w:eastAsia="Times New Roman" w:hAnsi="Times New Roman"/>
                <w:sz w:val="22"/>
                <w:szCs w:val="22"/>
                <w:color w:val="auto"/>
                <w:w w:val="97"/>
              </w:rPr>
              <w:t>Number of Shares</w:t>
            </w:r>
          </w:p>
        </w:tc>
        <w:tc>
          <w:tcPr>
            <w:tcW w:w="1300" w:type="dxa"/>
            <w:vAlign w:val="bottom"/>
            <w:gridSpan w:val="7"/>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28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Price Per</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14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Acquired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center"/>
              <w:ind w:right="180"/>
              <w:spacing w:after="0" w:line="223" w:lineRule="exact"/>
              <w:rPr>
                <w:sz w:val="20"/>
                <w:szCs w:val="20"/>
                <w:color w:val="auto"/>
              </w:rPr>
            </w:pPr>
            <w:r>
              <w:rPr>
                <w:rFonts w:ascii="Times New Roman" w:cs="Times New Roman" w:eastAsia="Times New Roman" w:hAnsi="Times New Roman"/>
                <w:sz w:val="22"/>
                <w:szCs w:val="22"/>
                <w:color w:val="auto"/>
                <w:w w:val="98"/>
              </w:rPr>
              <w:t>Shares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Share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70"/>
              </w:rPr>
              <w:t>Disposed</w:t>
            </w:r>
          </w:p>
        </w:tc>
        <w:tc>
          <w:tcPr>
            <w:tcW w:w="10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3/11/2022</w:t>
            </w:r>
          </w:p>
        </w:tc>
        <w:tc>
          <w:tcPr>
            <w:tcW w:w="240" w:type="dxa"/>
            <w:vAlign w:val="bottom"/>
          </w:tcPr>
          <w:p>
            <w:pPr>
              <w:spacing w:after="0"/>
              <w:rPr>
                <w:sz w:val="24"/>
                <w:szCs w:val="24"/>
                <w:color w:val="auto"/>
              </w:rPr>
            </w:pPr>
          </w:p>
        </w:tc>
        <w:tc>
          <w:tcPr>
            <w:tcW w:w="41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41,000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$2.8807 (1)</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3/14/2022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78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4,132</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$2.836 (2)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3/15/2022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12,542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$2.9251 (3)</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3/16/2022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78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$2.95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3/18/2022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10,461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$2.948 (4)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3/21/2022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27,693</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$2.871 (5)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3/22/2022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$2.884 (6)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3/23/2022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27,010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$2.7678 (7)</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3/24/2022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$2.8404 (8)</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3/25/2022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$2.9243 (9)</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3/28/2022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$2.8542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3/29/2022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16,406</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$2.9427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3/30/2022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19,504</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$2.884 (12)</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3/31/2022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20,753</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$2.8751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4/1/2022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37,600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$2.8644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4/4/2022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78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2,721</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$2.8396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4/5/2022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12,233</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$2.9098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4/6/2022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72,328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$2.8609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4/7/2022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37,218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$2.7498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4/8/2022</w:t>
            </w:r>
          </w:p>
        </w:tc>
        <w:tc>
          <w:tcPr>
            <w:tcW w:w="240" w:type="dxa"/>
            <w:vAlign w:val="bottom"/>
          </w:tcPr>
          <w:p>
            <w:pPr>
              <w:spacing w:after="0"/>
              <w:rPr>
                <w:sz w:val="21"/>
                <w:szCs w:val="21"/>
                <w:color w:val="auto"/>
              </w:rPr>
            </w:pPr>
          </w:p>
        </w:tc>
        <w:tc>
          <w:tcPr>
            <w:tcW w:w="41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15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20,577</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$2.6649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(19)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6" w:right="339" w:bottom="1440" w:gutter="0" w:footer="0" w:header="0"/>
        </w:sectPr>
      </w:pPr>
    </w:p>
    <w:bookmarkStart w:id="14" w:name="page15"/>
    <w:bookmarkEnd w:id="14"/>
    <w:p>
      <w:pPr>
        <w:spacing w:after="0" w:line="1" w:lineRule="exact"/>
        <w:rPr>
          <w:sz w:val="20"/>
          <w:szCs w:val="20"/>
          <w:color w:val="auto"/>
        </w:rPr>
      </w:pPr>
    </w:p>
    <w:tbl>
      <w:tblPr>
        <w:tblLayout w:type="fixed"/>
        <w:tblInd w:w="92"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4/11/2022</w:t>
            </w:r>
          </w:p>
        </w:tc>
        <w:tc>
          <w:tcPr>
            <w:tcW w:w="47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4,600</w:t>
            </w:r>
          </w:p>
        </w:tc>
        <w:tc>
          <w:tcPr>
            <w:tcW w:w="20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$2.5716</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4/12/2022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15,674</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$2.5265</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4/13/2022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19,115</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$2.5286</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4/14/2022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$2.4864</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4/18/2022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66,947</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$2.3365</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4/19/2022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274,619</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$2.5998</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4/20/2022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59,802</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$2.7318</w:t>
            </w:r>
          </w:p>
        </w:tc>
      </w:tr>
      <w:tr>
        <w:trPr>
          <w:trHeight w:val="243"/>
        </w:trPr>
        <w:tc>
          <w:tcPr>
            <w:tcW w:w="16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4/21/2022</w:t>
            </w:r>
          </w:p>
        </w:tc>
        <w:tc>
          <w:tcPr>
            <w:tcW w:w="4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Common Stock, par value $0.01 per share</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69,495</w:t>
            </w:r>
          </w:p>
        </w:tc>
        <w:tc>
          <w:tcPr>
            <w:tcW w:w="20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w w:val="97"/>
              </w:rPr>
              <w:t>$2.7483</w:t>
            </w:r>
          </w:p>
        </w:tc>
      </w:tr>
      <w:tr>
        <w:trPr>
          <w:trHeight w:val="282"/>
        </w:trPr>
        <w:tc>
          <w:tcPr>
            <w:tcW w:w="1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(27)</w:t>
            </w:r>
          </w:p>
        </w:tc>
      </w:tr>
    </w:tbl>
    <w:p>
      <w:pPr>
        <w:spacing w:after="0" w:line="204" w:lineRule="exact"/>
        <w:rPr>
          <w:sz w:val="20"/>
          <w:szCs w:val="20"/>
          <w:color w:val="auto"/>
        </w:rPr>
      </w:pPr>
    </w:p>
    <w:p>
      <w:pPr>
        <w:jc w:val="both"/>
        <w:ind w:left="-8" w:firstLine="8"/>
        <w:spacing w:after="0" w:line="239"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$2.86 to $2.90.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$2.785 to $2.85.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$2.88 to $2.95.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$2.93 to $2.95.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$2.82 to $2.90.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466090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9" w:right="339" w:bottom="1440" w:gutter="0" w:footer="0" w:header="0"/>
        </w:sectPr>
      </w:pPr>
    </w:p>
    <w:bookmarkStart w:id="15" w:name="page16"/>
    <w:bookmarkEnd w:id="15"/>
    <w:p>
      <w:pPr>
        <w:jc w:val="both"/>
        <w:ind w:left="-8" w:firstLine="8"/>
        <w:spacing w:after="0" w:line="239" w:lineRule="auto"/>
        <w:tabs>
          <w:tab w:leader="none" w:pos="32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$2.86 to $2.90.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$2.71 to $2.85.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$2.80 to $2.90.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$2.875 to $2.95.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$2.78 to $2.95.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$2.92 to $2.95.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$2.845 to $2.93.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$2.81 to $2.90.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06" w:right="339" w:bottom="1440" w:gutter="0" w:footer="0" w:header="0"/>
        </w:sectPr>
      </w:pPr>
    </w:p>
    <w:bookmarkStart w:id="16" w:name="page17"/>
    <w:bookmarkEnd w:id="16"/>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$2.83 to $2.90.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$2.81 to $2.86.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$2.88 to $2.945.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$2.74 to $2.99.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$2.725 to $2.82.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$2.56 to $2.745.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$2.56 to $2.58.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$2.51 to $2.57.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$2.475 to $2.56.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49" w:right="339" w:bottom="1440" w:gutter="0" w:footer="0" w:header="0"/>
        </w:sectPr>
      </w:pPr>
    </w:p>
    <w:bookmarkStart w:id="17" w:name="page18"/>
    <w:bookmarkEnd w:id="17"/>
    <w:p>
      <w:pPr>
        <w:jc w:val="both"/>
        <w:ind w:left="-8" w:firstLine="8"/>
        <w:spacing w:after="0" w:line="239" w:lineRule="auto"/>
        <w:tabs>
          <w:tab w:leader="none" w:pos="4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$2.45 to $2.54.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$2.30 to $2.39.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$2.55 to $2.62.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$2.64 to $2.75.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4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$2.70 to $2.75. The Reporting Persons undertake to provide to the Issuer, any security holder of the Issuer or the staff of the SEC, upon request, full information regarding the number of shares purchased at each separate price within the range set forth in this footnote.</w:t>
      </w:r>
    </w:p>
    <w:sectPr>
      <w:pgSz w:w="11900" w:h="16838" w:orient="portrait"/>
      <w:cols w:equalWidth="0" w:num="1">
        <w:col w:w="11232"/>
      </w:cols>
      <w:pgMar w:left="328"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7"/>
    </w:lvl>
  </w:abstractNum>
  <w:abstractNum w:abstractNumId="5">
    <w:nsid w:val="62BBD95A"/>
    <w:multiLevelType w:val="hybridMultilevel"/>
    <w:lvl w:ilvl="0">
      <w:lvlJc w:val="left"/>
      <w:lvlText w:val="%1."/>
      <w:numFmt w:val="decimal"/>
      <w:start w:val="1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13"/>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1."/>
      <w:numFmt w:val="decimal"/>
      <w:start w:val="7"/>
    </w:lvl>
  </w:abstractNum>
  <w:abstractNum w:abstractNumId="20">
    <w:nsid w:val="71F32454"/>
    <w:multiLevelType w:val="hybridMultilevel"/>
    <w:lvl w:ilvl="0">
      <w:lvlJc w:val="left"/>
      <w:lvlText w:val="%1."/>
      <w:numFmt w:val="decimal"/>
      <w:start w:val="13"/>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6"/>
    </w:lvl>
  </w:abstractNum>
  <w:abstractNum w:abstractNumId="24">
    <w:nsid w:val="3A95F874"/>
    <w:multiLevelType w:val="hybridMultilevel"/>
    <w:lvl w:ilvl="0">
      <w:lvlJc w:val="left"/>
      <w:lvlText w:val="%1."/>
      <w:numFmt w:val="decimal"/>
      <w:start w:val="7"/>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lowerLetter"/>
      <w:start w:val="4"/>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6"/>
    </w:lvl>
  </w:abstractNum>
  <w:abstractNum w:abstractNumId="32">
    <w:nsid w:val="3006C83E"/>
    <w:multiLevelType w:val="hybridMultilevel"/>
    <w:lvl w:ilvl="0">
      <w:lvlJc w:val="left"/>
      <w:lvlText w:val="(%1)"/>
      <w:numFmt w:val="decimal"/>
      <w:start w:val="14"/>
    </w:lvl>
  </w:abstractNum>
  <w:abstractNum w:abstractNumId="33">
    <w:nsid w:val="614FD4A1"/>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2022-04-22T15:40:34Z</dcterms:created>
  <dcterms:modified xsi:type="dcterms:W3CDTF">2022-04-22T15:40:34Z</dcterms:modified>
</cp:coreProperties>
</file>