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tab/>
        <w:t>REGULATION FD.</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On October 21, 2019, NN, Inc. (the “Company”) issued a press release regarding initiatives to reduce costs and improve cash flow. A copy of this press release is included as Exhibit 99.1 to this Current Report on Form 8-K.</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9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3"/>
                <w:szCs w:val="23"/>
                <w:color w:val="auto"/>
              </w:rPr>
            </w:pPr>
          </w:p>
        </w:tc>
        <w:tc>
          <w:tcPr>
            <w:tcW w:w="4160" w:type="dxa"/>
            <w:vAlign w:val="bottom"/>
            <w:tcBorders>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NN, Inc., dated October 21, 2019</w:t>
              </w:r>
            </w:hyperlink>
          </w:p>
        </w:tc>
        <w:tc>
          <w:tcPr>
            <w:tcW w:w="5420" w:type="dxa"/>
            <w:vAlign w:val="bottom"/>
          </w:tcPr>
          <w:p>
            <w:pPr>
              <w:spacing w:after="0"/>
              <w:rPr>
                <w:sz w:val="23"/>
                <w:szCs w:val="23"/>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23495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3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883285</wp:posOffset>
            </wp:positionV>
            <wp:extent cx="82359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21,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Initiatives to Reduce Costs and Improve Cash Flow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Expected to Yield Approximately $32 Million in Annualized Cash Savings</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Charlotte, N.C., October 21, 2019 – </w:t>
      </w:r>
      <w:r>
        <w:rPr>
          <w:rFonts w:ascii="Arial" w:cs="Arial" w:eastAsia="Arial" w:hAnsi="Arial"/>
          <w:sz w:val="17"/>
          <w:szCs w:val="17"/>
          <w:color w:val="auto"/>
        </w:rPr>
        <w:t>NN, Inc. (NASDAQ: NNBR), a diversified industrial company, today announced expense reduction and cash</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initiatives to help the Company continue to pay down its debt and support greater growth by reinvesting in its businesses. The initiatives are expected to produce approximately $32 million in annualized cash savings and include the following: streamlining facilities and reducing overall SG&amp;A costs, which are expected to save NN approximately $10 million per year when fully implemented; elimination of the quarterly dividend, which is expected to save the Company approximately $12 million per year; and a reduction in capital expenditures as NN returns to a more normalized level of capital spending after several years of higher investment, which is expected to generate an additional $10 million of savings per year. The Company expects these cost reductions to be fully realized by the second quarter of 2020.</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“NN has a strong portfolio of businesses and a solid foundation from which we can build, and we are focused on making the most efficient use of our capital to best position NN for the long term,” said Warren Veltman, interim President and CEO of NN. “The initiatives we are undertaking should generate cash savings of approximately $32 million per year, which we can utilize to de-lever our balance sheet while also making further investments in the areas where we see the highest growth potential. Tom DeByle and I have been working closely with the Board to identify opportunities to improve our overall financial performance. To that end, we will continue to look at the entire business to explore additional cost savings and other strategic actions we could take to improve free cash flow generation and accelerate our ability to pay down our debt.”</w:t>
      </w:r>
    </w:p>
    <w:p>
      <w:pPr>
        <w:sectPr>
          <w:pgSz w:w="11900" w:h="16838" w:orient="portrait"/>
          <w:cols w:equalWidth="0" w:num="1">
            <w:col w:w="11020"/>
          </w:cols>
          <w:pgMar w:left="440" w:top="121" w:right="439" w:bottom="1440" w:gutter="0" w:footer="0" w:header="0"/>
        </w:sectPr>
      </w:pPr>
    </w:p>
    <w:bookmarkStart w:id="4" w:name="page5"/>
    <w:bookmarkEnd w:id="4"/>
    <w:p>
      <w:pPr>
        <w:jc w:val="both"/>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Commenting on the initiatives, Tom DeByle, Senior Vice President and Chief Financial Officer said, “We are focused on carefully evaluating each of our businesses to determine where we can further streamline costs and allocate our capital more strategically and efficiently to ensure that we have the flexibility to continue to de-lever while also making investments that have the highest potential return.”</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these initiatives, NN announced that it plans to refinance its existing senior credit facilities to extend the tenor of its capital structure and provide additional liquidity to allow the Company to execute on these and future strategic initiatives. SunTrust Robinson Humphrey and J.P. Morgan are serving as joint lead arrangers on the refinancing. The consummation of the refinancing is subject to the completion of definitive agreements and the satisfaction of customary closing conditions and to market and other conditions.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NN’s estimates of the costs related to its cost reduction and cash savings initiatives represent its current best estimates. However, such estimates are preliminary and subject to change as the Company executes on these initiatives. NN will provide a full update on its progress on the Company’s third quarter conference call.</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2019-12-28T05:01:10Z</dcterms:created>
  <dcterms:modified xsi:type="dcterms:W3CDTF">2019-12-28T05:01:10Z</dcterms:modified>
</cp:coreProperties>
</file>