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4"/>
          <w:szCs w:val="24"/>
          <w:color w:val="auto"/>
        </w:rPr>
      </w:pPr>
    </w:p>
    <w:p>
      <w:pPr>
        <w:ind w:left="440" w:right="333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[X}</w:t>
        <w:tab/>
        <w:t>QUARTERLY REPORT PURSUANT TO SECTION 13 OR 15(d) OF THE SECURITIES EXCHANGE ACT OF 1934</w:t>
      </w:r>
    </w:p>
    <w:p>
      <w:pPr>
        <w:spacing w:after="0" w:line="160"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For the quarterly period ended September 30, 2004</w:t>
      </w:r>
    </w:p>
    <w:p>
      <w:pPr>
        <w:spacing w:after="0" w:line="7" w:lineRule="exact"/>
        <w:rPr>
          <w:sz w:val="24"/>
          <w:szCs w:val="24"/>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360" w:right="3339" w:hanging="352"/>
        <w:spacing w:after="0" w:line="255" w:lineRule="auto"/>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For the transition period from _________ to _________</w:t>
      </w:r>
    </w:p>
    <w:p>
      <w:pPr>
        <w:spacing w:after="0" w:line="338"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Commission File Number 0-23486</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338" w:lineRule="exact"/>
        <w:rPr>
          <w:sz w:val="24"/>
          <w:szCs w:val="24"/>
          <w:color w:val="auto"/>
        </w:rPr>
      </w:pPr>
    </w:p>
    <w:tbl>
      <w:tblPr>
        <w:tblLayout w:type="fixed"/>
        <w:tblInd w:w="180" w:type="dxa"/>
        <w:tblCellMar>
          <w:top w:w="0" w:type="dxa"/>
          <w:left w:w="0" w:type="dxa"/>
          <w:bottom w:w="0" w:type="dxa"/>
          <w:right w:w="0" w:type="dxa"/>
        </w:tblCellMar>
      </w:tblPr>
      <w:tr>
        <w:trPr>
          <w:trHeight w:val="162"/>
        </w:trPr>
        <w:tc>
          <w:tcPr>
            <w:tcW w:w="2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Delaware</w:t>
            </w:r>
          </w:p>
        </w:tc>
        <w:tc>
          <w:tcPr>
            <w:tcW w:w="3480" w:type="dxa"/>
            <w:vAlign w:val="bottom"/>
          </w:tcPr>
          <w:p>
            <w:pPr>
              <w:jc w:val="center"/>
              <w:ind w:left="1508"/>
              <w:spacing w:after="0"/>
              <w:rPr>
                <w:sz w:val="20"/>
                <w:szCs w:val="20"/>
                <w:color w:val="auto"/>
              </w:rPr>
            </w:pPr>
            <w:r>
              <w:rPr>
                <w:rFonts w:ascii="Courier New" w:cs="Courier New" w:eastAsia="Courier New" w:hAnsi="Courier New"/>
                <w:sz w:val="14"/>
                <w:szCs w:val="14"/>
                <w:color w:val="auto"/>
              </w:rPr>
              <w:t>62-1096725</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(State or other jurisdiction of</w:t>
            </w:r>
          </w:p>
        </w:tc>
        <w:tc>
          <w:tcPr>
            <w:tcW w:w="3480" w:type="dxa"/>
            <w:vAlign w:val="bottom"/>
          </w:tcPr>
          <w:p>
            <w:pPr>
              <w:jc w:val="center"/>
              <w:ind w:left="1508"/>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incorporation or organization)</w:t>
            </w:r>
          </w:p>
        </w:tc>
        <w:tc>
          <w:tcPr>
            <w:tcW w:w="3480" w:type="dxa"/>
            <w:vAlign w:val="bottom"/>
          </w:tcPr>
          <w:p>
            <w:pPr>
              <w:jc w:val="center"/>
              <w:ind w:left="1508"/>
              <w:spacing w:after="0"/>
              <w:rPr>
                <w:sz w:val="20"/>
                <w:szCs w:val="20"/>
                <w:color w:val="auto"/>
              </w:rPr>
            </w:pPr>
            <w:r>
              <w:rPr>
                <w:rFonts w:ascii="Courier New" w:cs="Courier New" w:eastAsia="Courier New" w:hAnsi="Courier New"/>
                <w:sz w:val="14"/>
                <w:szCs w:val="14"/>
                <w:color w:val="auto"/>
              </w:rPr>
              <w:t>Identification Number)</w:t>
            </w:r>
          </w:p>
        </w:tc>
      </w:tr>
      <w:tr>
        <w:trPr>
          <w:trHeight w:val="331"/>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Waters Edge Drive</w:t>
            </w:r>
          </w:p>
        </w:tc>
      </w:tr>
    </w:tbl>
    <w:p>
      <w:pPr>
        <w:spacing w:after="0" w:line="4"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Building C, Suite 12</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Johnson City, Tennessee 37604</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(Address of principal executive offices, including zip code)</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(423) 743-9151</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65"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Indicate by check mark whether the registrant is an accelerated filer (as defined in Rule 12b-2 of the Exchange Act). Yes [X] No [ ]</w:t>
      </w:r>
    </w:p>
    <w:p>
      <w:pPr>
        <w:spacing w:after="0" w:line="160"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As of November 5, 2004 there were 16,772,092 shares of the registrant's common stock, par value $0.01 per share,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INDEX</w:t>
      </w:r>
    </w:p>
    <w:p>
      <w:pPr>
        <w:spacing w:after="0" w:line="338"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173" w:lineRule="exact"/>
        <w:rPr>
          <w:sz w:val="24"/>
          <w:szCs w:val="24"/>
          <w:color w:val="auto"/>
        </w:rPr>
      </w:pPr>
    </w:p>
    <w:p>
      <w:pPr>
        <w:ind w:left="440"/>
        <w:spacing w:after="0"/>
        <w:tabs>
          <w:tab w:leader="none" w:pos="1620" w:val="left"/>
          <w:tab w:leader="none" w:pos="3860" w:val="left"/>
        </w:tabs>
        <w:rPr>
          <w:sz w:val="20"/>
          <w:szCs w:val="20"/>
          <w:color w:val="auto"/>
        </w:rPr>
      </w:pPr>
      <w:r>
        <w:rPr>
          <w:rFonts w:ascii="Courier New" w:cs="Courier New" w:eastAsia="Courier New" w:hAnsi="Courier New"/>
          <w:sz w:val="14"/>
          <w:szCs w:val="14"/>
          <w:color w:val="auto"/>
        </w:rPr>
        <w:t>Consolidated</w:t>
        <w:tab/>
        <w:t>Statements of Income and</w:t>
        <w:tab/>
        <w:t>Comprehensive</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Income for the three and nine months ended September 30,</w:t>
      </w:r>
    </w:p>
    <w:p>
      <w:pPr>
        <w:spacing w:after="0" w:line="7" w:lineRule="exact"/>
        <w:rPr>
          <w:sz w:val="24"/>
          <w:szCs w:val="24"/>
          <w:color w:val="auto"/>
        </w:rPr>
      </w:pPr>
    </w:p>
    <w:p>
      <w:pPr>
        <w:ind w:left="520"/>
        <w:spacing w:after="0"/>
        <w:tabs>
          <w:tab w:leader="dot" w:pos="6700" w:val="left"/>
        </w:tabs>
        <w:rPr>
          <w:sz w:val="20"/>
          <w:szCs w:val="20"/>
          <w:color w:val="auto"/>
        </w:rPr>
      </w:pPr>
      <w:r>
        <w:rPr>
          <w:rFonts w:ascii="Courier New" w:cs="Courier New" w:eastAsia="Courier New" w:hAnsi="Courier New"/>
          <w:sz w:val="14"/>
          <w:szCs w:val="14"/>
          <w:color w:val="auto"/>
        </w:rPr>
        <w:t>2004 and 2003 (unaudited)</w:t>
      </w:r>
      <w:r>
        <w:rPr>
          <w:sz w:val="20"/>
          <w:szCs w:val="20"/>
          <w:color w:val="auto"/>
        </w:rPr>
        <w:tab/>
      </w:r>
      <w:r>
        <w:rPr>
          <w:rFonts w:ascii="Courier New" w:cs="Courier New" w:eastAsia="Courier New" w:hAnsi="Courier New"/>
          <w:sz w:val="14"/>
          <w:szCs w:val="14"/>
          <w:color w:val="auto"/>
        </w:rPr>
        <w:t>2</w:t>
      </w:r>
    </w:p>
    <w:p>
      <w:pPr>
        <w:spacing w:after="0" w:line="338" w:lineRule="exact"/>
        <w:rPr>
          <w:sz w:val="24"/>
          <w:szCs w:val="24"/>
          <w:color w:val="auto"/>
        </w:rPr>
      </w:pPr>
    </w:p>
    <w:p>
      <w:pPr>
        <w:ind w:left="440"/>
        <w:spacing w:after="0"/>
        <w:tabs>
          <w:tab w:leader="none" w:pos="1360" w:val="left"/>
          <w:tab w:leader="none" w:pos="2580" w:val="left"/>
          <w:tab w:leader="none" w:pos="3340" w:val="left"/>
        </w:tabs>
        <w:rPr>
          <w:sz w:val="20"/>
          <w:szCs w:val="20"/>
          <w:color w:val="auto"/>
        </w:rPr>
      </w:pPr>
      <w:r>
        <w:rPr>
          <w:rFonts w:ascii="Courier New" w:cs="Courier New" w:eastAsia="Courier New" w:hAnsi="Courier New"/>
          <w:sz w:val="14"/>
          <w:szCs w:val="14"/>
          <w:color w:val="auto"/>
        </w:rPr>
        <w:t>Condensed</w:t>
        <w:tab/>
        <w:t>Consolidated</w:t>
        <w:tab/>
        <w:t>Balance</w:t>
        <w:tab/>
        <w:t>Sheets at September 30,</w:t>
      </w:r>
    </w:p>
    <w:p>
      <w:pPr>
        <w:spacing w:after="0" w:line="7" w:lineRule="exact"/>
        <w:rPr>
          <w:sz w:val="24"/>
          <w:szCs w:val="24"/>
          <w:color w:val="auto"/>
        </w:rPr>
      </w:pPr>
    </w:p>
    <w:p>
      <w:pPr>
        <w:ind w:left="520"/>
        <w:spacing w:after="0"/>
        <w:tabs>
          <w:tab w:leader="dot" w:pos="6700" w:val="left"/>
        </w:tabs>
        <w:rPr>
          <w:sz w:val="20"/>
          <w:szCs w:val="20"/>
          <w:color w:val="auto"/>
        </w:rPr>
      </w:pPr>
      <w:r>
        <w:rPr>
          <w:rFonts w:ascii="Courier New" w:cs="Courier New" w:eastAsia="Courier New" w:hAnsi="Courier New"/>
          <w:sz w:val="14"/>
          <w:szCs w:val="14"/>
          <w:color w:val="auto"/>
        </w:rPr>
        <w:t>2004 (unaudited) and December 31, 2003</w:t>
      </w:r>
      <w:r>
        <w:rPr>
          <w:sz w:val="20"/>
          <w:szCs w:val="20"/>
          <w:color w:val="auto"/>
        </w:rPr>
        <w:tab/>
      </w:r>
      <w:r>
        <w:rPr>
          <w:rFonts w:ascii="Courier New" w:cs="Courier New" w:eastAsia="Courier New" w:hAnsi="Courier New"/>
          <w:sz w:val="14"/>
          <w:szCs w:val="14"/>
          <w:color w:val="auto"/>
        </w:rPr>
        <w:t>3</w:t>
      </w:r>
    </w:p>
    <w:p>
      <w:pPr>
        <w:spacing w:after="0" w:line="338" w:lineRule="exact"/>
        <w:rPr>
          <w:sz w:val="24"/>
          <w:szCs w:val="24"/>
          <w:color w:val="auto"/>
        </w:rPr>
      </w:pPr>
    </w:p>
    <w:p>
      <w:pPr>
        <w:ind w:left="440"/>
        <w:spacing w:after="0"/>
        <w:tabs>
          <w:tab w:leader="none" w:pos="1620" w:val="left"/>
          <w:tab w:leader="none" w:pos="2660" w:val="left"/>
          <w:tab w:leader="none" w:pos="3960" w:val="left"/>
        </w:tabs>
        <w:rPr>
          <w:sz w:val="20"/>
          <w:szCs w:val="20"/>
          <w:color w:val="auto"/>
        </w:rPr>
      </w:pPr>
      <w:r>
        <w:rPr>
          <w:rFonts w:ascii="Courier New" w:cs="Courier New" w:eastAsia="Courier New" w:hAnsi="Courier New"/>
          <w:sz w:val="14"/>
          <w:szCs w:val="14"/>
          <w:color w:val="auto"/>
        </w:rPr>
        <w:t>Consolidated</w:t>
        <w:tab/>
        <w:t>Statements</w:t>
        <w:tab/>
        <w:t>of Changes in</w:t>
        <w:tab/>
        <w:t>Stockholders'</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Equity for the nine months ended September 30,</w:t>
      </w:r>
    </w:p>
    <w:p>
      <w:pPr>
        <w:spacing w:after="0" w:line="7" w:lineRule="exact"/>
        <w:rPr>
          <w:sz w:val="24"/>
          <w:szCs w:val="24"/>
          <w:color w:val="auto"/>
        </w:rPr>
      </w:pPr>
    </w:p>
    <w:p>
      <w:pPr>
        <w:ind w:left="520"/>
        <w:spacing w:after="0"/>
        <w:tabs>
          <w:tab w:leader="dot" w:pos="6700" w:val="left"/>
        </w:tabs>
        <w:rPr>
          <w:sz w:val="20"/>
          <w:szCs w:val="20"/>
          <w:color w:val="auto"/>
        </w:rPr>
      </w:pPr>
      <w:r>
        <w:rPr>
          <w:rFonts w:ascii="Courier New" w:cs="Courier New" w:eastAsia="Courier New" w:hAnsi="Courier New"/>
          <w:sz w:val="14"/>
          <w:szCs w:val="14"/>
          <w:color w:val="auto"/>
        </w:rPr>
        <w:t>2004 and 2003 (unaudited)</w:t>
      </w:r>
      <w:r>
        <w:rPr>
          <w:sz w:val="20"/>
          <w:szCs w:val="20"/>
          <w:color w:val="auto"/>
        </w:rPr>
        <w:tab/>
      </w:r>
      <w:r>
        <w:rPr>
          <w:rFonts w:ascii="Courier New" w:cs="Courier New" w:eastAsia="Courier New" w:hAnsi="Courier New"/>
          <w:sz w:val="14"/>
          <w:szCs w:val="14"/>
          <w:color w:val="auto"/>
        </w:rPr>
        <w:t>4</w:t>
      </w:r>
    </w:p>
    <w:p>
      <w:pPr>
        <w:spacing w:after="0" w:line="338" w:lineRule="exact"/>
        <w:rPr>
          <w:sz w:val="24"/>
          <w:szCs w:val="24"/>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Consolidated</w:t>
        <w:tab/>
        <w:t>Statements of Cash Flows for the nine</w:t>
      </w:r>
    </w:p>
    <w:p>
      <w:pPr>
        <w:spacing w:after="0" w:line="7" w:lineRule="exact"/>
        <w:rPr>
          <w:sz w:val="24"/>
          <w:szCs w:val="24"/>
          <w:color w:val="auto"/>
        </w:rPr>
      </w:pPr>
    </w:p>
    <w:p>
      <w:pPr>
        <w:ind w:left="440"/>
        <w:spacing w:after="0"/>
        <w:tabs>
          <w:tab w:leader="none" w:pos="1620" w:val="left"/>
          <w:tab w:leader="dot" w:pos="6700" w:val="left"/>
        </w:tabs>
        <w:rPr>
          <w:sz w:val="20"/>
          <w:szCs w:val="20"/>
          <w:color w:val="auto"/>
        </w:rPr>
      </w:pPr>
      <w:r>
        <w:rPr>
          <w:rFonts w:ascii="Courier New" w:cs="Courier New" w:eastAsia="Courier New" w:hAnsi="Courier New"/>
          <w:sz w:val="14"/>
          <w:szCs w:val="14"/>
          <w:color w:val="auto"/>
        </w:rPr>
        <w:t>months ended</w:t>
        <w:tab/>
        <w:t>September 30, 2004 and 2003 (unaudited)</w:t>
      </w:r>
      <w:r>
        <w:rPr>
          <w:sz w:val="20"/>
          <w:szCs w:val="20"/>
          <w:color w:val="auto"/>
        </w:rPr>
        <w:tab/>
      </w:r>
      <w:r>
        <w:rPr>
          <w:rFonts w:ascii="Courier New" w:cs="Courier New" w:eastAsia="Courier New" w:hAnsi="Courier New"/>
          <w:sz w:val="14"/>
          <w:szCs w:val="14"/>
          <w:color w:val="auto"/>
        </w:rPr>
        <w:t>5</w:t>
      </w:r>
    </w:p>
    <w:p>
      <w:pPr>
        <w:spacing w:after="0" w:line="338" w:lineRule="exact"/>
        <w:rPr>
          <w:sz w:val="24"/>
          <w:szCs w:val="24"/>
          <w:color w:val="auto"/>
        </w:rPr>
      </w:pPr>
    </w:p>
    <w:p>
      <w:pPr>
        <w:ind w:left="440"/>
        <w:spacing w:after="0"/>
        <w:tabs>
          <w:tab w:leader="dot" w:pos="6700" w:val="left"/>
        </w:tabs>
        <w:rPr>
          <w:sz w:val="20"/>
          <w:szCs w:val="20"/>
          <w:color w:val="auto"/>
        </w:rPr>
      </w:pPr>
      <w:r>
        <w:rPr>
          <w:rFonts w:ascii="Courier New" w:cs="Courier New" w:eastAsia="Courier New" w:hAnsi="Courier New"/>
          <w:sz w:val="14"/>
          <w:szCs w:val="14"/>
          <w:color w:val="auto"/>
        </w:rPr>
        <w:t>Notes to Consolidated Financial Statements (unaudited)</w:t>
      </w:r>
      <w:r>
        <w:rPr>
          <w:sz w:val="20"/>
          <w:szCs w:val="20"/>
          <w:color w:val="auto"/>
        </w:rPr>
        <w:tab/>
      </w:r>
      <w:r>
        <w:rPr>
          <w:rFonts w:ascii="Courier New" w:cs="Courier New" w:eastAsia="Courier New" w:hAnsi="Courier New"/>
          <w:sz w:val="14"/>
          <w:szCs w:val="14"/>
          <w:color w:val="auto"/>
        </w:rPr>
        <w:t>6</w:t>
      </w:r>
    </w:p>
    <w:p>
      <w:pPr>
        <w:spacing w:after="0" w:line="338"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Item 2. Management's</w:t>
        <w:tab/>
        <w:t>Discussion and Analysis of Financial</w:t>
      </w:r>
    </w:p>
    <w:p>
      <w:pPr>
        <w:spacing w:after="0" w:line="7" w:lineRule="exact"/>
        <w:rPr>
          <w:sz w:val="24"/>
          <w:szCs w:val="24"/>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Condition and Results of Operations</w:t>
      </w:r>
      <w:r>
        <w:rPr>
          <w:sz w:val="20"/>
          <w:szCs w:val="20"/>
          <w:color w:val="auto"/>
        </w:rPr>
        <w:tab/>
      </w:r>
      <w:r>
        <w:rPr>
          <w:rFonts w:ascii="Courier New" w:cs="Courier New" w:eastAsia="Courier New" w:hAnsi="Courier New"/>
          <w:sz w:val="14"/>
          <w:szCs w:val="14"/>
          <w:color w:val="auto"/>
        </w:rPr>
        <w:t>13</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3. Quantitative and Qualitative Disclosures about</w:t>
      </w:r>
    </w:p>
    <w:p>
      <w:pPr>
        <w:spacing w:after="0" w:line="7" w:lineRule="exact"/>
        <w:rPr>
          <w:sz w:val="24"/>
          <w:szCs w:val="24"/>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Market Risk</w:t>
      </w:r>
      <w:r>
        <w:rPr>
          <w:sz w:val="20"/>
          <w:szCs w:val="20"/>
          <w:color w:val="auto"/>
        </w:rPr>
        <w:tab/>
      </w:r>
      <w:r>
        <w:rPr>
          <w:rFonts w:ascii="Courier New" w:cs="Courier New" w:eastAsia="Courier New" w:hAnsi="Courier New"/>
          <w:sz w:val="14"/>
          <w:szCs w:val="14"/>
          <w:color w:val="auto"/>
        </w:rPr>
        <w:t>24</w:t>
      </w:r>
    </w:p>
    <w:p>
      <w:pPr>
        <w:spacing w:after="0" w:line="338" w:lineRule="exact"/>
        <w:rPr>
          <w:sz w:val="24"/>
          <w:szCs w:val="24"/>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Item 4. Controls and Procedures</w:t>
      </w:r>
      <w:r>
        <w:rPr>
          <w:sz w:val="20"/>
          <w:szCs w:val="20"/>
          <w:color w:val="auto"/>
        </w:rPr>
        <w:tab/>
      </w:r>
      <w:r>
        <w:rPr>
          <w:rFonts w:ascii="Courier New" w:cs="Courier New" w:eastAsia="Courier New" w:hAnsi="Courier New"/>
          <w:sz w:val="14"/>
          <w:szCs w:val="14"/>
          <w:color w:val="auto"/>
        </w:rPr>
        <w:t>26</w:t>
      </w:r>
    </w:p>
    <w:p>
      <w:pPr>
        <w:sectPr>
          <w:pgSz w:w="11900" w:h="16838" w:orient="portrait"/>
          <w:cols w:equalWidth="0" w:num="1">
            <w:col w:w="10239"/>
          </w:cols>
          <w:pgMar w:left="220" w:top="230" w:right="1440" w:bottom="0" w:gutter="0" w:footer="0" w:header="0"/>
        </w:sectPr>
      </w:pP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II. Other Information</w:t>
      </w:r>
    </w:p>
    <w:p>
      <w:pPr>
        <w:sectPr>
          <w:pgSz w:w="11900" w:h="16838" w:orient="portrait"/>
          <w:cols w:equalWidth="0" w:num="1">
            <w:col w:w="10239"/>
          </w:cols>
          <w:pgMar w:left="220" w:top="230"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2540" w:type="dxa"/>
            <w:vAlign w:val="bottom"/>
            <w:gridSpan w:val="2"/>
          </w:tcPr>
          <w:p>
            <w:pPr>
              <w:ind w:left="80"/>
              <w:spacing w:after="0"/>
              <w:rPr>
                <w:sz w:val="20"/>
                <w:szCs w:val="20"/>
                <w:color w:val="auto"/>
              </w:rPr>
            </w:pPr>
            <w:r>
              <w:rPr>
                <w:rFonts w:ascii="Courier New" w:cs="Courier New" w:eastAsia="Courier New" w:hAnsi="Courier New"/>
                <w:sz w:val="8"/>
                <w:szCs w:val="8"/>
                <w:color w:val="auto"/>
                <w:w w:val="74"/>
              </w:rPr>
              <w:t>Legal Proceedings...................................................</w:t>
            </w:r>
          </w:p>
        </w:tc>
        <w:tc>
          <w:tcPr>
            <w:tcW w:w="34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27</w:t>
            </w:r>
          </w:p>
        </w:tc>
      </w:tr>
      <w:tr>
        <w:trPr>
          <w:trHeight w:val="331"/>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Item 2.  Change in Securities</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and Use</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of Proceeds............................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27</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Defaults Upon Senior</w:t>
            </w:r>
          </w:p>
        </w:tc>
        <w:tc>
          <w:tcPr>
            <w:tcW w:w="4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Securities.....................................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27</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2540" w:type="dxa"/>
            <w:vAlign w:val="bottom"/>
            <w:gridSpan w:val="2"/>
          </w:tcPr>
          <w:p>
            <w:pPr>
              <w:ind w:left="80"/>
              <w:spacing w:after="0"/>
              <w:rPr>
                <w:sz w:val="20"/>
                <w:szCs w:val="20"/>
                <w:color w:val="auto"/>
              </w:rPr>
            </w:pPr>
            <w:r>
              <w:rPr>
                <w:rFonts w:ascii="Courier New" w:cs="Courier New" w:eastAsia="Courier New" w:hAnsi="Courier New"/>
                <w:sz w:val="8"/>
                <w:szCs w:val="8"/>
                <w:color w:val="auto"/>
                <w:w w:val="74"/>
              </w:rPr>
              <w:t>Other Information...................................................</w:t>
            </w:r>
          </w:p>
        </w:tc>
        <w:tc>
          <w:tcPr>
            <w:tcW w:w="3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27</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Exhibits and Reports</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on Form</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8-K....................................</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27</w:t>
            </w:r>
          </w:p>
        </w:tc>
      </w:tr>
      <w:tr>
        <w:trPr>
          <w:trHeight w:val="331"/>
        </w:trPr>
        <w:tc>
          <w:tcPr>
            <w:tcW w:w="3240" w:type="dxa"/>
            <w:vAlign w:val="bottom"/>
            <w:gridSpan w:val="3"/>
          </w:tcPr>
          <w:p>
            <w:pPr>
              <w:spacing w:after="0"/>
              <w:rPr>
                <w:sz w:val="20"/>
                <w:szCs w:val="20"/>
                <w:color w:val="auto"/>
              </w:rPr>
            </w:pPr>
            <w:r>
              <w:rPr>
                <w:rFonts w:ascii="Courier New" w:cs="Courier New" w:eastAsia="Courier New" w:hAnsi="Courier New"/>
                <w:sz w:val="9"/>
                <w:szCs w:val="9"/>
                <w:color w:val="auto"/>
                <w:w w:val="77"/>
              </w:rPr>
              <w:t>Signatures...................................................................</w:t>
            </w:r>
          </w:p>
        </w:tc>
        <w:tc>
          <w:tcPr>
            <w:tcW w:w="3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r>
      <w:tr>
        <w:trPr>
          <w:trHeight w:val="331"/>
        </w:trPr>
        <w:tc>
          <w:tcPr>
            <w:tcW w:w="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spacing w:after="0"/>
              <w:rPr>
                <w:sz w:val="24"/>
                <w:szCs w:val="24"/>
                <w:color w:val="auto"/>
              </w:rPr>
            </w:pPr>
          </w:p>
        </w:tc>
      </w:tr>
    </w:tbl>
    <w:p>
      <w:pPr>
        <w:sectPr>
          <w:pgSz w:w="11900" w:h="16838" w:orient="portrait"/>
          <w:cols w:equalWidth="0" w:num="1">
            <w:col w:w="10239"/>
          </w:cols>
          <w:pgMar w:left="220" w:top="307" w:right="1440" w:bottom="1440" w:gutter="0" w:footer="0" w:header="0"/>
        </w:sectPr>
      </w:pPr>
    </w:p>
    <w:bookmarkStart w:id="2" w:name="page3"/>
    <w:bookmarkEnd w:id="2"/>
    <w:p>
      <w:pPr>
        <w:ind w:left="2240"/>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Consolidated Statements of Income and Comprehensive Income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8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Three Months Ended</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436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September 30,</w:t>
            </w:r>
          </w:p>
        </w:tc>
        <w:tc>
          <w:tcPr>
            <w:tcW w:w="8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Thousands of Dollars, Except Per Share Data</w:t>
            </w:r>
          </w:p>
        </w:tc>
        <w:tc>
          <w:tcPr>
            <w:tcW w:w="20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2004</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2003</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$72,917</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$64,612</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$225,815</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$ 186,415</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Cost of products sold (exclusive of depreciation</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shown separately below)</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57,263</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50,294</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176,590</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142,758</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7,126</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5,247</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22,309</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15,650</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3,999</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3,602</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11,918</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10,103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Restructuring and impairment costs</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2,498</w:t>
            </w: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Income from operations</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4,529</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5,693</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14,998</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15,406</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70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1,101</w:t>
            </w:r>
          </w:p>
        </w:tc>
        <w:tc>
          <w:tcPr>
            <w:tcW w:w="60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921</w:t>
            </w:r>
          </w:p>
        </w:tc>
        <w:tc>
          <w:tcPr>
            <w:tcW w:w="60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2,925</w:t>
            </w:r>
          </w:p>
        </w:tc>
        <w:tc>
          <w:tcPr>
            <w:tcW w:w="6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2,325</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3,605</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4,810</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12,281</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12,809</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1,453</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1,646</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4,926</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4,630</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 subsidiaries</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2,152</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3,164</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7,355</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7,504</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Foreign currency translation</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1,184</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1,292</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(1,304)</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5,460</w:t>
            </w: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$ 3,336</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$ 4,456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6,051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12,964</w:t>
            </w: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Basic income per common share: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16,767</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16,660</w:t>
            </w:r>
          </w:p>
        </w:tc>
        <w:tc>
          <w:tcPr>
            <w:tcW w:w="6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16,721</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15,804</w:t>
            </w: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Diluted income per common share: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0.46</w:t>
            </w: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70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17,135</w:t>
            </w:r>
          </w:p>
        </w:tc>
        <w:tc>
          <w:tcPr>
            <w:tcW w:w="60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17,167</w:t>
            </w:r>
          </w:p>
        </w:tc>
        <w:tc>
          <w:tcPr>
            <w:tcW w:w="60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17,142</w:t>
            </w:r>
          </w:p>
        </w:tc>
        <w:tc>
          <w:tcPr>
            <w:tcW w:w="6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16,194</w:t>
            </w: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Cash dividends per common share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3" w:name="page4"/>
    <w:bookmarkEnd w:id="3"/>
    <w:p>
      <w:pPr>
        <w:jc w:val="center"/>
        <w:ind w:right="333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Condensed Consolidated Balance Sheets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300"/>
        <w:spacing w:after="0"/>
        <w:tabs>
          <w:tab w:leader="none" w:pos="8420" w:val="left"/>
        </w:tabs>
        <w:rPr>
          <w:sz w:val="20"/>
          <w:szCs w:val="20"/>
          <w:color w:val="auto"/>
        </w:rPr>
      </w:pP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December 31,</w:t>
      </w:r>
    </w:p>
    <w:p>
      <w:pPr>
        <w:spacing w:after="0" w:line="7" w:lineRule="exact"/>
        <w:rPr>
          <w:sz w:val="20"/>
          <w:szCs w:val="20"/>
          <w:color w:val="auto"/>
        </w:rPr>
      </w:pPr>
    </w:p>
    <w:p>
      <w:pPr>
        <w:spacing w:after="0"/>
        <w:tabs>
          <w:tab w:leader="none" w:pos="6200" w:val="left"/>
          <w:tab w:leader="none" w:pos="8860" w:val="left"/>
        </w:tabs>
        <w:rPr>
          <w:sz w:val="20"/>
          <w:szCs w:val="20"/>
          <w:color w:val="auto"/>
        </w:rPr>
      </w:pPr>
      <w:r>
        <w:rPr>
          <w:rFonts w:ascii="Courier New" w:cs="Courier New" w:eastAsia="Courier New" w:hAnsi="Courier New"/>
          <w:sz w:val="14"/>
          <w:szCs w:val="14"/>
          <w:color w:val="auto"/>
        </w:rPr>
        <w:t>Thousands of Dollars</w:t>
      </w:r>
      <w:r>
        <w:rPr>
          <w:sz w:val="20"/>
          <w:szCs w:val="20"/>
          <w:color w:val="auto"/>
        </w:rPr>
        <w:tab/>
      </w:r>
      <w:r>
        <w:rPr>
          <w:rFonts w:ascii="Courier New" w:cs="Courier New" w:eastAsia="Courier New" w:hAnsi="Courier New"/>
          <w:sz w:val="14"/>
          <w:szCs w:val="14"/>
          <w:color w:val="auto"/>
        </w:rPr>
        <w:t>2004 (Unaudited)</w:t>
      </w:r>
      <w:r>
        <w:rPr>
          <w:sz w:val="20"/>
          <w:szCs w:val="20"/>
          <w:color w:val="auto"/>
        </w:rPr>
        <w:tab/>
      </w:r>
      <w:r>
        <w:rPr>
          <w:rFonts w:ascii="Courier New" w:cs="Courier New" w:eastAsia="Courier New" w:hAnsi="Courier New"/>
          <w:sz w:val="14"/>
          <w:szCs w:val="14"/>
          <w:color w:val="auto"/>
        </w:rPr>
        <w:t>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7,773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4,978</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net</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50,656</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40,864</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Inventories, net</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32,292</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36,278</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6,092</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6,299</w:t>
            </w:r>
          </w:p>
        </w:tc>
      </w:tr>
      <w:tr>
        <w:trPr>
          <w:trHeight w:val="166"/>
        </w:trPr>
        <w:tc>
          <w:tcPr>
            <w:tcW w:w="4840" w:type="dxa"/>
            <w:vAlign w:val="bottom"/>
          </w:tcPr>
          <w:p>
            <w:pPr>
              <w:spacing w:after="0"/>
              <w:rPr>
                <w:sz w:val="14"/>
                <w:szCs w:val="14"/>
                <w:color w:val="auto"/>
              </w:rPr>
            </w:pPr>
          </w:p>
        </w:tc>
        <w:tc>
          <w:tcPr>
            <w:tcW w:w="3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96,813</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88,419</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1980" w:type="dxa"/>
            <w:vAlign w:val="bottom"/>
          </w:tcPr>
          <w:p>
            <w:pPr>
              <w:spacing w:after="0"/>
              <w:rPr>
                <w:sz w:val="24"/>
                <w:szCs w:val="2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125,463</w:t>
            </w:r>
          </w:p>
        </w:tc>
        <w:tc>
          <w:tcPr>
            <w:tcW w:w="8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128,996</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Assets held for sale</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1,805</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42,544</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42,893</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4,871</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4,304</w:t>
            </w:r>
          </w:p>
        </w:tc>
      </w:tr>
      <w:tr>
        <w:trPr>
          <w:trHeight w:val="166"/>
        </w:trPr>
        <w:tc>
          <w:tcPr>
            <w:tcW w:w="4840" w:type="dxa"/>
            <w:vAlign w:val="bottom"/>
          </w:tcPr>
          <w:p>
            <w:pPr>
              <w:spacing w:after="0"/>
              <w:rPr>
                <w:sz w:val="14"/>
                <w:szCs w:val="14"/>
                <w:color w:val="auto"/>
              </w:rPr>
            </w:pPr>
          </w:p>
        </w:tc>
        <w:tc>
          <w:tcPr>
            <w:tcW w:w="3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Total assets</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269,691</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266,417</w:t>
            </w:r>
          </w:p>
        </w:tc>
      </w:tr>
      <w:tr>
        <w:trPr>
          <w:trHeight w:val="166"/>
        </w:trPr>
        <w:tc>
          <w:tcPr>
            <w:tcW w:w="4840" w:type="dxa"/>
            <w:vAlign w:val="bottom"/>
          </w:tcPr>
          <w:p>
            <w:pPr>
              <w:spacing w:after="0"/>
              <w:rPr>
                <w:sz w:val="14"/>
                <w:szCs w:val="14"/>
                <w:color w:val="auto"/>
              </w:rPr>
            </w:pPr>
          </w:p>
        </w:tc>
        <w:tc>
          <w:tcPr>
            <w:tcW w:w="3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37,418</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32,867</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Accrued salaries and wages</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12,106</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12,032</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Short-term debt</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Current maturities of long-term debt</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6,523</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12,725</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Other current liabilities</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6,519</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3,070</w:t>
            </w:r>
          </w:p>
        </w:tc>
      </w:tr>
      <w:tr>
        <w:trPr>
          <w:trHeight w:val="166"/>
        </w:trPr>
        <w:tc>
          <w:tcPr>
            <w:tcW w:w="4840" w:type="dxa"/>
            <w:vAlign w:val="bottom"/>
          </w:tcPr>
          <w:p>
            <w:pPr>
              <w:spacing w:after="0"/>
              <w:rPr>
                <w:sz w:val="14"/>
                <w:szCs w:val="14"/>
                <w:color w:val="auto"/>
              </w:rPr>
            </w:pPr>
          </w:p>
        </w:tc>
        <w:tc>
          <w:tcPr>
            <w:tcW w:w="3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62,566</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62,694</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Non-current deferred tax liability</w:t>
            </w:r>
          </w:p>
        </w:tc>
        <w:tc>
          <w:tcPr>
            <w:tcW w:w="1980" w:type="dxa"/>
            <w:vAlign w:val="bottom"/>
          </w:tcPr>
          <w:p>
            <w:pPr>
              <w:spacing w:after="0"/>
              <w:rPr>
                <w:sz w:val="24"/>
                <w:szCs w:val="2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14,102</w:t>
            </w:r>
          </w:p>
        </w:tc>
        <w:tc>
          <w:tcPr>
            <w:tcW w:w="8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13,423</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70,735</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69,752</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Accrued pension and other</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13,355</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14,080</w:t>
            </w:r>
          </w:p>
        </w:tc>
      </w:tr>
      <w:tr>
        <w:trPr>
          <w:trHeight w:val="166"/>
        </w:trPr>
        <w:tc>
          <w:tcPr>
            <w:tcW w:w="4840" w:type="dxa"/>
            <w:vAlign w:val="bottom"/>
          </w:tcPr>
          <w:p>
            <w:pPr>
              <w:spacing w:after="0"/>
              <w:rPr>
                <w:sz w:val="14"/>
                <w:szCs w:val="14"/>
                <w:color w:val="auto"/>
              </w:rPr>
            </w:pPr>
          </w:p>
        </w:tc>
        <w:tc>
          <w:tcPr>
            <w:tcW w:w="3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160,758</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159,949</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1980" w:type="dxa"/>
            <w:vAlign w:val="bottom"/>
          </w:tcPr>
          <w:p>
            <w:pPr>
              <w:spacing w:after="0"/>
              <w:rPr>
                <w:sz w:val="24"/>
                <w:szCs w:val="2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108,933</w:t>
            </w:r>
          </w:p>
        </w:tc>
        <w:tc>
          <w:tcPr>
            <w:tcW w:w="8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106,468</w:t>
            </w:r>
          </w:p>
        </w:tc>
      </w:tr>
      <w:tr>
        <w:trPr>
          <w:trHeight w:val="166"/>
        </w:trPr>
        <w:tc>
          <w:tcPr>
            <w:tcW w:w="4840" w:type="dxa"/>
            <w:vAlign w:val="bottom"/>
          </w:tcPr>
          <w:p>
            <w:pPr>
              <w:spacing w:after="0"/>
              <w:rPr>
                <w:sz w:val="14"/>
                <w:szCs w:val="14"/>
                <w:color w:val="auto"/>
              </w:rPr>
            </w:pPr>
          </w:p>
        </w:tc>
        <w:tc>
          <w:tcPr>
            <w:tcW w:w="3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9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7"/>
              </w:rPr>
              <w:t>$ 269,691</w:t>
            </w: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$ 266,417</w:t>
            </w:r>
          </w:p>
        </w:tc>
      </w:tr>
      <w:tr>
        <w:trPr>
          <w:trHeight w:val="166"/>
        </w:trPr>
        <w:tc>
          <w:tcPr>
            <w:tcW w:w="4840" w:type="dxa"/>
            <w:vAlign w:val="bottom"/>
          </w:tcPr>
          <w:p>
            <w:pPr>
              <w:spacing w:after="0"/>
              <w:rPr>
                <w:sz w:val="14"/>
                <w:szCs w:val="14"/>
                <w:color w:val="auto"/>
              </w:rPr>
            </w:pPr>
          </w:p>
        </w:tc>
        <w:tc>
          <w:tcPr>
            <w:tcW w:w="3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2" w:right="1440" w:bottom="1440" w:gutter="0" w:footer="0" w:header="0"/>
        </w:sectPr>
      </w:pPr>
    </w:p>
    <w:bookmarkStart w:id="4" w:name="page5"/>
    <w:bookmarkEnd w:id="4"/>
    <w:p>
      <w:pPr>
        <w:jc w:val="center"/>
        <w:ind w:right="4640"/>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7"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4320"/>
        <w:spacing w:after="0"/>
        <w:tabs>
          <w:tab w:leader="none" w:pos="878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Accumulated</w:t>
      </w:r>
    </w:p>
    <w:p>
      <w:pPr>
        <w:spacing w:after="0" w:line="7" w:lineRule="exact"/>
        <w:rPr>
          <w:sz w:val="20"/>
          <w:szCs w:val="20"/>
          <w:color w:val="auto"/>
        </w:rPr>
      </w:pPr>
    </w:p>
    <w:p>
      <w:pPr>
        <w:ind w:left="4060"/>
        <w:spacing w:after="0"/>
        <w:tabs>
          <w:tab w:leader="none" w:pos="6200" w:val="left"/>
          <w:tab w:leader="none" w:pos="904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4140"/>
        <w:spacing w:after="0"/>
        <w:tabs>
          <w:tab w:leader="none" w:pos="5420" w:val="left"/>
          <w:tab w:leader="none" w:pos="6280" w:val="left"/>
          <w:tab w:leader="none" w:pos="7560" w:val="left"/>
          <w:tab w:leader="none" w:pos="8780" w:val="left"/>
        </w:tabs>
        <w:rPr>
          <w:sz w:val="20"/>
          <w:szCs w:val="20"/>
          <w:color w:val="auto"/>
        </w:rPr>
      </w:pP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Par</w:t>
      </w:r>
      <w:r>
        <w:rPr>
          <w:sz w:val="20"/>
          <w:szCs w:val="20"/>
          <w:color w:val="auto"/>
        </w:rPr>
        <w:tab/>
      </w:r>
      <w:r>
        <w:rPr>
          <w:rFonts w:ascii="Courier New" w:cs="Courier New" w:eastAsia="Courier New" w:hAnsi="Courier New"/>
          <w:sz w:val="14"/>
          <w:szCs w:val="14"/>
          <w:color w:val="auto"/>
        </w:rPr>
        <w:t>paid in</w:t>
      </w:r>
      <w:r>
        <w:rPr>
          <w:sz w:val="20"/>
          <w:szCs w:val="20"/>
          <w:color w:val="auto"/>
        </w:rPr>
        <w:tab/>
      </w:r>
      <w:r>
        <w:rPr>
          <w:rFonts w:ascii="Courier New" w:cs="Courier New" w:eastAsia="Courier New" w:hAnsi="Courier New"/>
          <w:sz w:val="14"/>
          <w:szCs w:val="14"/>
          <w:color w:val="auto"/>
        </w:rPr>
        <w:t>Retained</w:t>
      </w:r>
      <w:r>
        <w:rPr>
          <w:sz w:val="20"/>
          <w:szCs w:val="20"/>
          <w:color w:val="auto"/>
        </w:rPr>
        <w:tab/>
      </w:r>
      <w:r>
        <w:rPr>
          <w:rFonts w:ascii="Courier New" w:cs="Courier New" w:eastAsia="Courier New" w:hAnsi="Courier New"/>
          <w:sz w:val="14"/>
          <w:szCs w:val="14"/>
          <w:color w:val="auto"/>
        </w:rPr>
        <w:t>Comprehensive</w:t>
      </w:r>
    </w:p>
    <w:p>
      <w:pPr>
        <w:spacing w:after="0" w:line="7" w:lineRule="exact"/>
        <w:rPr>
          <w:sz w:val="20"/>
          <w:szCs w:val="20"/>
          <w:color w:val="auto"/>
        </w:rPr>
      </w:pPr>
    </w:p>
    <w:p>
      <w:pPr>
        <w:ind w:left="4060"/>
        <w:spacing w:after="0"/>
        <w:tabs>
          <w:tab w:leader="none" w:pos="5320" w:val="left"/>
          <w:tab w:leader="none" w:pos="6360" w:val="left"/>
          <w:tab w:leader="none" w:pos="7660" w:val="left"/>
          <w:tab w:leader="none" w:pos="8780" w:val="left"/>
          <w:tab w:leader="none" w:pos="1076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Income (Loss)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January 1, 2003</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15,370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$ 40,457</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$ 38,984</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(1,687)</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$ 77,908</w:t>
            </w: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Shares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issued</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12,421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12,435</w:t>
            </w: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7,504</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7,504</w:t>
            </w: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declared</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(3,895)</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(3,895)</w:t>
            </w: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comprehensive income</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5,460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5,460</w:t>
            </w:r>
          </w:p>
        </w:tc>
      </w:tr>
      <w:tr>
        <w:trPr>
          <w:trHeight w:val="166"/>
        </w:trPr>
        <w:tc>
          <w:tcPr>
            <w:tcW w:w="7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September 30, 2003</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$ 52,878</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$ 42,593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3,773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$ 99,412</w:t>
            </w:r>
          </w:p>
        </w:tc>
      </w:tr>
      <w:tr>
        <w:trPr>
          <w:trHeight w:val="166"/>
        </w:trPr>
        <w:tc>
          <w:tcPr>
            <w:tcW w:w="7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January 1, 2004</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16,712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$ 52,960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$ 43,931</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9,409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$106,468</w:t>
            </w: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Shares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issued</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430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430</w:t>
            </w: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7,355</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7,355</w:t>
            </w: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declared</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(4,016)</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(4,016)</w:t>
            </w: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comprehensive (loss)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(1,304)</w:t>
            </w:r>
          </w:p>
        </w:tc>
      </w:tr>
      <w:tr>
        <w:trPr>
          <w:trHeight w:val="166"/>
        </w:trPr>
        <w:tc>
          <w:tcPr>
            <w:tcW w:w="7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September 30, 2004</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16,772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$ 53,390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$ 47,270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8,105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$108,933</w:t>
            </w:r>
          </w:p>
        </w:tc>
      </w:tr>
      <w:tr>
        <w:trPr>
          <w:trHeight w:val="166"/>
        </w:trPr>
        <w:tc>
          <w:tcPr>
            <w:tcW w:w="7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540"/>
          </w:cols>
          <w:pgMar w:left="220" w:top="782" w:right="139" w:bottom="1440" w:gutter="0" w:footer="0" w:header="0"/>
        </w:sectPr>
      </w:pPr>
    </w:p>
    <w:bookmarkStart w:id="5" w:name="page6"/>
    <w:bookmarkEnd w:id="5"/>
    <w:p>
      <w:pPr>
        <w:jc w:val="center"/>
        <w:ind w:right="333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4580" w:type="dxa"/>
            <w:vAlign w:val="bottom"/>
          </w:tcPr>
          <w:p>
            <w:pPr>
              <w:spacing w:after="0"/>
              <w:rPr>
                <w:sz w:val="14"/>
                <w:szCs w:val="14"/>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Thousands of Dollars</w:t>
            </w:r>
          </w:p>
        </w:tc>
        <w:tc>
          <w:tcPr>
            <w:tcW w:w="39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9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7,355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7,504</w:t>
            </w:r>
          </w:p>
        </w:tc>
      </w:tr>
      <w:tr>
        <w:trPr>
          <w:trHeight w:val="166"/>
        </w:trPr>
        <w:tc>
          <w:tcPr>
            <w:tcW w:w="694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 to net cash provided (used) by operating</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activities: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94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11,918</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10,103</w:t>
            </w:r>
          </w:p>
        </w:tc>
      </w:tr>
      <w:tr>
        <w:trPr>
          <w:trHeight w:val="166"/>
        </w:trPr>
        <w:tc>
          <w:tcPr>
            <w:tcW w:w="694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debt issue costs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r>
      <w:tr>
        <w:trPr>
          <w:trHeight w:val="166"/>
        </w:trPr>
        <w:tc>
          <w:tcPr>
            <w:tcW w:w="6940" w:type="dxa"/>
            <w:vAlign w:val="bottom"/>
          </w:tcPr>
          <w:p>
            <w:pPr>
              <w:ind w:left="360"/>
              <w:spacing w:after="0"/>
              <w:rPr>
                <w:sz w:val="20"/>
                <w:szCs w:val="20"/>
                <w:color w:val="auto"/>
              </w:rPr>
            </w:pPr>
            <w:r>
              <w:rPr>
                <w:rFonts w:ascii="Courier New" w:cs="Courier New" w:eastAsia="Courier New" w:hAnsi="Courier New"/>
                <w:sz w:val="14"/>
                <w:szCs w:val="14"/>
                <w:color w:val="auto"/>
              </w:rPr>
              <w:t>Write-off of unamortized debt issue costs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w:t>
            </w:r>
          </w:p>
        </w:tc>
      </w:tr>
      <w:tr>
        <w:trPr>
          <w:trHeight w:val="166"/>
        </w:trPr>
        <w:tc>
          <w:tcPr>
            <w:tcW w:w="6940" w:type="dxa"/>
            <w:vAlign w:val="bottom"/>
          </w:tcPr>
          <w:p>
            <w:pPr>
              <w:ind w:left="360"/>
              <w:spacing w:after="0"/>
              <w:rPr>
                <w:sz w:val="20"/>
                <w:szCs w:val="20"/>
                <w:color w:val="auto"/>
              </w:rPr>
            </w:pPr>
            <w:r>
              <w:rPr>
                <w:rFonts w:ascii="Courier New" w:cs="Courier New" w:eastAsia="Courier New" w:hAnsi="Courier New"/>
                <w:sz w:val="14"/>
                <w:szCs w:val="14"/>
                <w:color w:val="auto"/>
              </w:rPr>
              <w:t>Gain (loss) on disposal of property, plant and equipment</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6940" w:type="dxa"/>
            <w:vAlign w:val="bottom"/>
          </w:tcPr>
          <w:p>
            <w:pPr>
              <w:ind w:left="360"/>
              <w:spacing w:after="0"/>
              <w:rPr>
                <w:sz w:val="20"/>
                <w:szCs w:val="20"/>
                <w:color w:val="auto"/>
              </w:rPr>
            </w:pPr>
            <w:r>
              <w:rPr>
                <w:rFonts w:ascii="Courier New" w:cs="Courier New" w:eastAsia="Courier New" w:hAnsi="Courier New"/>
                <w:sz w:val="14"/>
                <w:szCs w:val="14"/>
                <w:color w:val="auto"/>
              </w:rPr>
              <w:t>Interest income on note receivable</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w:t>
            </w:r>
          </w:p>
        </w:tc>
      </w:tr>
      <w:tr>
        <w:trPr>
          <w:trHeight w:val="166"/>
        </w:trPr>
        <w:tc>
          <w:tcPr>
            <w:tcW w:w="6940" w:type="dxa"/>
            <w:vAlign w:val="bottom"/>
          </w:tcPr>
          <w:p>
            <w:pPr>
              <w:ind w:left="360"/>
              <w:spacing w:after="0"/>
              <w:rPr>
                <w:sz w:val="20"/>
                <w:szCs w:val="20"/>
                <w:color w:val="auto"/>
              </w:rPr>
            </w:pPr>
            <w:r>
              <w:rPr>
                <w:rFonts w:ascii="Courier New" w:cs="Courier New" w:eastAsia="Courier New" w:hAnsi="Courier New"/>
                <w:sz w:val="14"/>
                <w:szCs w:val="14"/>
                <w:color w:val="auto"/>
              </w:rPr>
              <w:t>Minority interest in consolidated subsidiary</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w:t>
            </w:r>
          </w:p>
        </w:tc>
      </w:tr>
      <w:tr>
        <w:trPr>
          <w:trHeight w:val="166"/>
        </w:trPr>
        <w:tc>
          <w:tcPr>
            <w:tcW w:w="6940" w:type="dxa"/>
            <w:vAlign w:val="bottom"/>
          </w:tcPr>
          <w:p>
            <w:pPr>
              <w:ind w:left="360"/>
              <w:spacing w:after="0"/>
              <w:rPr>
                <w:sz w:val="20"/>
                <w:szCs w:val="20"/>
                <w:color w:val="auto"/>
              </w:rPr>
            </w:pPr>
            <w:r>
              <w:rPr>
                <w:rFonts w:ascii="Courier New" w:cs="Courier New" w:eastAsia="Courier New" w:hAnsi="Courier New"/>
                <w:sz w:val="14"/>
                <w:szCs w:val="14"/>
                <w:color w:val="auto"/>
              </w:rPr>
              <w:t>Restructuring costs and impairment costs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2,742</w:t>
            </w:r>
          </w:p>
        </w:tc>
      </w:tr>
      <w:tr>
        <w:trPr>
          <w:trHeight w:val="166"/>
        </w:trPr>
        <w:tc>
          <w:tcPr>
            <w:tcW w:w="6940" w:type="dxa"/>
            <w:vAlign w:val="bottom"/>
          </w:tcPr>
          <w:p>
            <w:pPr>
              <w:ind w:left="3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(9,609)</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(14,506)</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3,587</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(3,736)</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Other current assets</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(717)</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(594)</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(3,056)</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4,897</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6,653</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Income taxes payable</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2,079</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(128)</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Other liabilities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2,299</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2,015</w:t>
            </w:r>
          </w:p>
        </w:tc>
      </w:tr>
      <w:tr>
        <w:trPr>
          <w:trHeight w:val="166"/>
        </w:trPr>
        <w:tc>
          <w:tcPr>
            <w:tcW w:w="69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21,976</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8,171</w:t>
            </w:r>
          </w:p>
        </w:tc>
      </w:tr>
      <w:tr>
        <w:trPr>
          <w:trHeight w:val="166"/>
        </w:trPr>
        <w:tc>
          <w:tcPr>
            <w:tcW w:w="69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Acquisition of Veenendaal, The Netherlands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(17,933)</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Purchase of minority interest</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(15,583)</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Acquisition of property, plant, and equipment</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(7,999)</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(7,100)</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Proceeds from disposals of property, plant and equipment</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69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Net cash used by investing activities</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(7,948)</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(40,471)</w:t>
            </w:r>
          </w:p>
        </w:tc>
      </w:tr>
      <w:tr>
        <w:trPr>
          <w:trHeight w:val="166"/>
        </w:trPr>
        <w:tc>
          <w:tcPr>
            <w:tcW w:w="69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Proceeds from long-term debt</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89,745</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Proceeds from short-term debt</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Book overdraft</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Debt issue costs paid</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(771)</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(823)</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Repayment of long-term debt</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(44,642)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(60,962)</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Repayment of short-term debt</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Proceeds from issuance of stock</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5,498</w:t>
            </w:r>
          </w:p>
        </w:tc>
      </w:tr>
      <w:tr>
        <w:trPr>
          <w:trHeight w:val="166"/>
        </w:trPr>
        <w:tc>
          <w:tcPr>
            <w:tcW w:w="6940" w:type="dxa"/>
            <w:vAlign w:val="bottom"/>
          </w:tcPr>
          <w:p>
            <w:pPr>
              <w:ind w:left="100"/>
              <w:spacing w:after="0"/>
              <w:rPr>
                <w:sz w:val="20"/>
                <w:szCs w:val="20"/>
                <w:color w:val="auto"/>
              </w:rPr>
            </w:pPr>
            <w:r>
              <w:rPr>
                <w:rFonts w:ascii="Courier New" w:cs="Courier New" w:eastAsia="Courier New" w:hAnsi="Courier New"/>
                <w:sz w:val="14"/>
                <w:szCs w:val="14"/>
                <w:color w:val="auto"/>
              </w:rPr>
              <w:t>Dividends paid</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(4,016)</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(3,895)</w:t>
            </w:r>
          </w:p>
        </w:tc>
      </w:tr>
      <w:tr>
        <w:trPr>
          <w:trHeight w:val="166"/>
        </w:trPr>
        <w:tc>
          <w:tcPr>
            <w:tcW w:w="69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Net cash provided (used) by financing activities</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(10,998)</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31,526</w:t>
            </w:r>
          </w:p>
        </w:tc>
      </w:tr>
      <w:tr>
        <w:trPr>
          <w:trHeight w:val="166"/>
        </w:trPr>
        <w:tc>
          <w:tcPr>
            <w:tcW w:w="69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 cash and cash equivalents</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(235)</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Net Change in Cash and Cash Equivalents</w:t>
            </w:r>
          </w:p>
        </w:tc>
        <w:tc>
          <w:tcPr>
            <w:tcW w:w="5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2,795</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(354)</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4,978</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5,144</w:t>
            </w:r>
          </w:p>
        </w:tc>
      </w:tr>
      <w:tr>
        <w:trPr>
          <w:trHeight w:val="166"/>
        </w:trPr>
        <w:tc>
          <w:tcPr>
            <w:tcW w:w="69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7,773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4,790</w:t>
            </w:r>
          </w:p>
        </w:tc>
      </w:tr>
      <w:tr>
        <w:trPr>
          <w:trHeight w:val="166"/>
        </w:trPr>
        <w:tc>
          <w:tcPr>
            <w:tcW w:w="69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Supplemental schedule of non-cash investing and financing activities: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Stock issued related to acquisition on Veenendaal</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6,937</w:t>
            </w:r>
          </w:p>
        </w:tc>
      </w:tr>
      <w:tr>
        <w:trPr>
          <w:trHeight w:val="166"/>
        </w:trPr>
        <w:tc>
          <w:tcPr>
            <w:tcW w:w="69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6" w:name="page7"/>
    <w:bookmarkEnd w:id="6"/>
    <w:p>
      <w:pPr>
        <w:jc w:val="center"/>
        <w:ind w:right="333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1.</w:t>
        <w:tab/>
        <w:t>Interim Financial Statements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of NN, Inc. (the "Company") have not been audited by our independent registered public accounting firm, except that the balance sheet at December 31, 2003 is derived from the Company's audited financial statements. In the opinion of the Company's management, the financial statements reflect all adjustments necessary to present fairly the results of operations for the three and nine month periods ended September 30, 2004 and 2003, the Company's financial position at September 30, 2004 and December 31, 2003, and the cash flows for the nine month periods ended September 30, 2004 and 2003. These adjustments are of a normal recurring nature and are, in the opinion of management, necessary for fair presentation of the financial position and operating results for the interim periods. As used in this Quarterly Report on Form 10-Q, the terms "NN", "the Company", "we", "our", or "us" mean NN, Inc. and its subsidiaries.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 These Condensed, Consolidated, Unaudited Financial Statements should be read in conjunction with our audited Consolidated Financial Statements and the Notes thereto included in our most recent annual report on Form 10-K which we filed with the Securities and Exchange Commission on March 15, 2004.</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results for the first, second and third quarters of 2004 are not necessarily indicative of future results.</w:t>
      </w:r>
    </w:p>
    <w:p>
      <w:pPr>
        <w:spacing w:after="0" w:line="160" w:lineRule="exact"/>
        <w:rPr>
          <w:sz w:val="20"/>
          <w:szCs w:val="20"/>
          <w:color w:val="auto"/>
        </w:rPr>
      </w:pPr>
    </w:p>
    <w:p>
      <w:pPr>
        <w:jc w:val="both"/>
        <w:ind w:right="3339"/>
        <w:spacing w:after="0" w:line="247" w:lineRule="auto"/>
        <w:rPr>
          <w:sz w:val="20"/>
          <w:szCs w:val="20"/>
          <w:color w:val="auto"/>
        </w:rPr>
      </w:pPr>
      <w:r>
        <w:rPr>
          <w:rFonts w:ascii="Courier New" w:cs="Courier New" w:eastAsia="Courier New" w:hAnsi="Courier New"/>
          <w:sz w:val="14"/>
          <w:szCs w:val="14"/>
          <w:color w:val="auto"/>
        </w:rPr>
        <w:t>Certain 2003 amounts have been reclassified to conform with the 2004 presentation.</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Derivative Financial Instruments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a variable Euribor rate debt financing in July 2000, our subsidiary, NN Europe ApS (formerly known as NN Euroball ApS) entered into an interest rate swap with a notional amount of 12.5 million Euro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 This original debt was repaid in May 2003, however, the swap remains pursuant to its original terms.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 September 30, 2004, the fair value of the swap was approximately $264,000, which is recorded as a component of other non-current liabilities. The change in fair value during the nine month periods ended September 30, 2004 and 2003 was a gain of approximately $73,000 and a loss of $63,000, respectively, which have been included as a component of other (income) expense.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Note 3. Inventories</w:t>
      </w:r>
    </w:p>
    <w:p>
      <w:pPr>
        <w:spacing w:after="0" w:line="173" w:lineRule="exact"/>
        <w:rPr>
          <w:sz w:val="20"/>
          <w:szCs w:val="20"/>
          <w:color w:val="auto"/>
        </w:rPr>
      </w:pPr>
    </w:p>
    <w:p>
      <w:pPr>
        <w:ind w:right="760"/>
        <w:spacing w:after="0" w:line="255" w:lineRule="auto"/>
        <w:rPr>
          <w:sz w:val="20"/>
          <w:szCs w:val="20"/>
          <w:color w:val="auto"/>
        </w:rPr>
      </w:pPr>
      <w:r>
        <w:rPr>
          <w:rFonts w:ascii="Courier New" w:cs="Courier New" w:eastAsia="Courier New" w:hAnsi="Courier New"/>
          <w:sz w:val="14"/>
          <w:szCs w:val="14"/>
          <w:color w:val="auto"/>
        </w:rPr>
        <w:t>Inventories are stated at the lower of cost or market. Cost is determined using the first-in, first-out method.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are comprised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September 30,</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2760" w:type="dxa"/>
            <w:vAlign w:val="bottom"/>
          </w:tcPr>
          <w:p>
            <w:pPr>
              <w:spacing w:after="0"/>
              <w:rPr>
                <w:sz w:val="14"/>
                <w:szCs w:val="14"/>
                <w:color w:val="auto"/>
              </w:rPr>
            </w:pPr>
          </w:p>
        </w:tc>
        <w:tc>
          <w:tcPr>
            <w:tcW w:w="2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760" w:type="dxa"/>
            <w:vAlign w:val="bottom"/>
          </w:tcPr>
          <w:p>
            <w:pPr>
              <w:spacing w:after="0"/>
              <w:rPr>
                <w:sz w:val="14"/>
                <w:szCs w:val="14"/>
                <w:color w:val="auto"/>
              </w:rPr>
            </w:pPr>
          </w:p>
        </w:tc>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$ 8,392</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8,492</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6,160</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6,808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19,012</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22,128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Less inventory reserves</w:t>
            </w:r>
          </w:p>
        </w:tc>
        <w:tc>
          <w:tcPr>
            <w:tcW w:w="2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(1,272)</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(1,150)</w:t>
            </w:r>
          </w:p>
        </w:tc>
      </w:tr>
      <w:tr>
        <w:trPr>
          <w:trHeight w:val="166"/>
        </w:trPr>
        <w:tc>
          <w:tcPr>
            <w:tcW w:w="2760" w:type="dxa"/>
            <w:vAlign w:val="bottom"/>
          </w:tcPr>
          <w:p>
            <w:pPr>
              <w:spacing w:after="0"/>
              <w:rPr>
                <w:sz w:val="14"/>
                <w:szCs w:val="14"/>
                <w:color w:val="auto"/>
              </w:rPr>
            </w:pPr>
          </w:p>
        </w:tc>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$ 32,292</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$ 36,278</w:t>
            </w:r>
          </w:p>
        </w:tc>
      </w:tr>
      <w:tr>
        <w:trPr>
          <w:trHeight w:val="166"/>
        </w:trPr>
        <w:tc>
          <w:tcPr>
            <w:tcW w:w="2760" w:type="dxa"/>
            <w:vAlign w:val="bottom"/>
          </w:tcPr>
          <w:p>
            <w:pPr>
              <w:spacing w:after="0"/>
              <w:rPr>
                <w:sz w:val="14"/>
                <w:szCs w:val="14"/>
                <w:color w:val="auto"/>
              </w:rPr>
            </w:pPr>
          </w:p>
        </w:tc>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680"/>
        <w:spacing w:after="0" w:line="255" w:lineRule="auto"/>
        <w:rPr>
          <w:sz w:val="20"/>
          <w:szCs w:val="20"/>
          <w:color w:val="auto"/>
        </w:rPr>
      </w:pPr>
      <w:r>
        <w:rPr>
          <w:rFonts w:ascii="Courier New" w:cs="Courier New" w:eastAsia="Courier New" w:hAnsi="Courier New"/>
          <w:sz w:val="14"/>
          <w:szCs w:val="14"/>
          <w:color w:val="auto"/>
        </w:rPr>
        <w:t>Inventories on consignment at customer locations as of September 30, 2004 and December 31, 2003 were $4,341 and $3,046, respectively.</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4.</w:t>
        <w:tab/>
        <w:t>Net Income Per Share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3"/>
          </w:tcPr>
          <w:p>
            <w:pPr>
              <w:jc w:val="right"/>
              <w:ind w:right="68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September 30,</w:t>
            </w:r>
          </w:p>
        </w:tc>
        <w:tc>
          <w:tcPr>
            <w:tcW w:w="102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Thousands of Dollars, Except Share and Per Share</w:t>
            </w:r>
          </w:p>
        </w:tc>
        <w:tc>
          <w:tcPr>
            <w:tcW w:w="340" w:type="dxa"/>
            <w:vAlign w:val="bottom"/>
          </w:tcPr>
          <w:p>
            <w:pPr>
              <w:spacing w:after="0"/>
              <w:rPr>
                <w:sz w:val="24"/>
                <w:szCs w:val="24"/>
                <w:color w:val="auto"/>
              </w:rPr>
            </w:pP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24"/>
                <w:szCs w:val="24"/>
                <w:color w:val="auto"/>
              </w:rPr>
            </w:pPr>
          </w:p>
        </w:tc>
        <w:tc>
          <w:tcPr>
            <w:tcW w:w="1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Data</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2,152</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3,164</w:t>
            </w:r>
          </w:p>
        </w:tc>
      </w:tr>
      <w:tr>
        <w:trPr>
          <w:trHeight w:val="166"/>
        </w:trPr>
        <w:tc>
          <w:tcPr>
            <w:tcW w:w="4660" w:type="dxa"/>
            <w:vAlign w:val="bottom"/>
          </w:tcPr>
          <w:p>
            <w:pPr>
              <w:spacing w:after="0"/>
              <w:rPr>
                <w:sz w:val="14"/>
                <w:szCs w:val="14"/>
                <w:color w:val="auto"/>
              </w:rPr>
            </w:pP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Weighted average basic shares</w:t>
            </w:r>
          </w:p>
        </w:tc>
        <w:tc>
          <w:tcPr>
            <w:tcW w:w="34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16,767,092</w:t>
            </w:r>
          </w:p>
        </w:tc>
        <w:tc>
          <w:tcPr>
            <w:tcW w:w="4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16,660,350</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Effect of dilutive stock options</w:t>
            </w:r>
          </w:p>
        </w:tc>
        <w:tc>
          <w:tcPr>
            <w:tcW w:w="34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367,414</w:t>
            </w:r>
          </w:p>
        </w:tc>
        <w:tc>
          <w:tcPr>
            <w:tcW w:w="4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506,293</w:t>
            </w:r>
          </w:p>
        </w:tc>
      </w:tr>
      <w:tr>
        <w:trPr>
          <w:trHeight w:val="166"/>
        </w:trPr>
        <w:tc>
          <w:tcPr>
            <w:tcW w:w="4660" w:type="dxa"/>
            <w:vAlign w:val="bottom"/>
          </w:tcPr>
          <w:p>
            <w:pPr>
              <w:spacing w:after="0"/>
              <w:rPr>
                <w:sz w:val="14"/>
                <w:szCs w:val="14"/>
                <w:color w:val="auto"/>
              </w:rPr>
            </w:pP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Weighted average dilutive shares outstanding</w:t>
            </w:r>
          </w:p>
        </w:tc>
        <w:tc>
          <w:tcPr>
            <w:tcW w:w="34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17,134,506</w:t>
            </w:r>
          </w:p>
        </w:tc>
        <w:tc>
          <w:tcPr>
            <w:tcW w:w="4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17,166,643</w:t>
            </w:r>
          </w:p>
        </w:tc>
      </w:tr>
      <w:tr>
        <w:trPr>
          <w:trHeight w:val="166"/>
        </w:trPr>
        <w:tc>
          <w:tcPr>
            <w:tcW w:w="4660" w:type="dxa"/>
            <w:vAlign w:val="bottom"/>
          </w:tcPr>
          <w:p>
            <w:pPr>
              <w:spacing w:after="0"/>
              <w:rPr>
                <w:sz w:val="14"/>
                <w:szCs w:val="14"/>
                <w:color w:val="auto"/>
              </w:rPr>
            </w:pP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Basic net income per share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0.19</w:t>
            </w:r>
          </w:p>
        </w:tc>
      </w:tr>
      <w:tr>
        <w:trPr>
          <w:trHeight w:val="166"/>
        </w:trPr>
        <w:tc>
          <w:tcPr>
            <w:tcW w:w="4660" w:type="dxa"/>
            <w:vAlign w:val="bottom"/>
          </w:tcPr>
          <w:p>
            <w:pPr>
              <w:spacing w:after="0"/>
              <w:rPr>
                <w:sz w:val="14"/>
                <w:szCs w:val="14"/>
                <w:color w:val="auto"/>
              </w:rPr>
            </w:pP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Diluted net income per share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0.18</w:t>
            </w:r>
          </w:p>
        </w:tc>
      </w:tr>
      <w:tr>
        <w:trPr>
          <w:trHeight w:val="166"/>
        </w:trPr>
        <w:tc>
          <w:tcPr>
            <w:tcW w:w="4660" w:type="dxa"/>
            <w:vAlign w:val="bottom"/>
          </w:tcPr>
          <w:p>
            <w:pPr>
              <w:spacing w:after="0"/>
              <w:rPr>
                <w:sz w:val="14"/>
                <w:szCs w:val="14"/>
                <w:color w:val="auto"/>
              </w:rPr>
            </w:pP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680"/>
        <w:spacing w:after="0" w:line="252" w:lineRule="auto"/>
        <w:rPr>
          <w:sz w:val="20"/>
          <w:szCs w:val="20"/>
          <w:color w:val="auto"/>
        </w:rPr>
      </w:pPr>
      <w:r>
        <w:rPr>
          <w:rFonts w:ascii="Courier New" w:cs="Courier New" w:eastAsia="Courier New" w:hAnsi="Courier New"/>
          <w:sz w:val="14"/>
          <w:szCs w:val="14"/>
          <w:color w:val="auto"/>
        </w:rPr>
        <w:t>Excluded from the shares outstanding for each of the periods ended September 30, 2004 and 2003 were 438,000 and 0 antidilutive options, respectively, which had an exercise price of $12.62 as of September 30, 2004.</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5.</w:t>
        <w:tab/>
        <w:t>Segment Information</w:t>
      </w:r>
    </w:p>
    <w:p>
      <w:pPr>
        <w:spacing w:after="0" w:line="173" w:lineRule="exact"/>
        <w:rPr>
          <w:sz w:val="20"/>
          <w:szCs w:val="20"/>
          <w:color w:val="auto"/>
        </w:rPr>
      </w:pPr>
    </w:p>
    <w:p>
      <w:pPr>
        <w:jc w:val="both"/>
        <w:ind w:right="680"/>
        <w:spacing w:after="0" w:line="250" w:lineRule="auto"/>
        <w:rPr>
          <w:sz w:val="20"/>
          <w:szCs w:val="20"/>
          <w:color w:val="auto"/>
        </w:rPr>
      </w:pPr>
      <w:r>
        <w:rPr>
          <w:rFonts w:ascii="Courier New" w:cs="Courier New" w:eastAsia="Courier New" w:hAnsi="Courier New"/>
          <w:sz w:val="14"/>
          <w:szCs w:val="14"/>
          <w:color w:val="auto"/>
        </w:rPr>
        <w:t>During 2004 and 2003, the Company's reportable segments are based on differences in product lines and geographic locations and are divided among Domestic Ball and Roller, European operations ("NN Europe") and Plastic and Rubber Components. The Domestic Ball and Roller Segment is comprised of two manufacturing facilities in the eastern United States. The NN Europe Segment is comprised of precision ball manufacturing facilities located in Kilkenny, Ireland, Eltmann, Germany, Pinerolo, Italy, Kysucke Nove Mesto, Slovakia, which began production in the second quarter of 2004, and Veenendaal, The Netherlands ("Veenendaal") which is a tapered roller and metal cage manufacturing operation acquired in May 2003. See Note 6, "Acquisitions and Joint Ventures". All of the facilities in the Domestic Ball and Roller Segment are engaged in the production of precision balls and rollers used primarily in the bearing industry. All of the facilities in the NN Europe Segment are engaged in the production of precision balls used primarily in the bearing industry except for Veenendaal which is engaged in the production of tapered rollers and cages for use primarily in the bearing industry. The Plastic and Rubber Components Segment is comprised of the Industrial Molding Corporation ("IMC") business, located in Lubbock, Texas and The Delta Rubber Company ("Delta") business, located in Danielson, Connecticut. IMC is engaged in the production of plastic injection molded products for the bearing, automotive, instrumentation, fiber optic and general industrial markets. Delta is engaged principally in the production of engineered bearing seals used principally in automotive, industrial, agricultural, mining and aerospace applications.</w:t>
      </w:r>
    </w:p>
    <w:p>
      <w:pPr>
        <w:spacing w:after="0" w:line="34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September 30,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331"/>
        </w:trPr>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7,355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7,504</w:t>
            </w:r>
          </w:p>
        </w:tc>
      </w:tr>
      <w:tr>
        <w:trPr>
          <w:trHeight w:val="166"/>
        </w:trPr>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16,720,515</w:t>
            </w:r>
          </w:p>
        </w:tc>
        <w:tc>
          <w:tcPr>
            <w:tcW w:w="3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15,804,069</w:t>
            </w:r>
          </w:p>
        </w:tc>
      </w:tr>
      <w:tr>
        <w:trPr>
          <w:trHeight w:val="166"/>
        </w:trPr>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421,633</w:t>
            </w:r>
          </w:p>
        </w:tc>
        <w:tc>
          <w:tcPr>
            <w:tcW w:w="3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389,831</w:t>
            </w:r>
          </w:p>
        </w:tc>
      </w:tr>
      <w:tr>
        <w:trPr>
          <w:trHeight w:val="166"/>
        </w:trPr>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17,142,148</w:t>
            </w:r>
          </w:p>
        </w:tc>
        <w:tc>
          <w:tcPr>
            <w:tcW w:w="3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16,193,900</w:t>
            </w:r>
          </w:p>
        </w:tc>
      </w:tr>
      <w:tr>
        <w:trPr>
          <w:trHeight w:val="166"/>
        </w:trPr>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0.48</w:t>
            </w:r>
          </w:p>
        </w:tc>
      </w:tr>
      <w:tr>
        <w:trPr>
          <w:trHeight w:val="166"/>
        </w:trPr>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0.46</w:t>
            </w:r>
          </w:p>
        </w:tc>
      </w:tr>
      <w:tr>
        <w:trPr>
          <w:trHeight w:val="166"/>
        </w:trPr>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580" w:space="260"/>
            <w:col w:w="2760"/>
          </w:cols>
          <w:pgMar w:left="220" w:top="616" w:right="1079" w:bottom="1440" w:gutter="0" w:footer="0" w:header="0"/>
        </w:sectPr>
      </w:pPr>
    </w:p>
    <w:bookmarkStart w:id="8" w:name="page9"/>
    <w:bookmarkEnd w:id="8"/>
    <w:p>
      <w:pPr>
        <w:jc w:val="both"/>
        <w:ind w:right="3540"/>
        <w:spacing w:after="0" w:line="251" w:lineRule="auto"/>
        <w:rPr>
          <w:sz w:val="20"/>
          <w:szCs w:val="20"/>
          <w:color w:val="auto"/>
        </w:rPr>
      </w:pPr>
      <w:r>
        <w:rPr>
          <w:rFonts w:ascii="Courier New" w:cs="Courier New" w:eastAsia="Courier New" w:hAnsi="Courier New"/>
          <w:sz w:val="14"/>
          <w:szCs w:val="14"/>
          <w:color w:val="auto"/>
        </w:rPr>
        <w:t>The accounting policies of each segment are the same as those described in the summary of significant accounting policies in the Company's Annual Report on Form 10-K for the fiscal year ended December 31, 2003, including those policies as discussed in Note 1. We evaluate segment performance based on profit or loss from operations before income taxes and minority interest. We account for inter-segment sales and transfers at current market prices; however, we did not have any material inter-segment transactions during the three or nine month periods ended September 30, 2004 or 2003.</w:t>
      </w:r>
    </w:p>
    <w:p>
      <w:pPr>
        <w:spacing w:after="0" w:line="200" w:lineRule="exact"/>
        <w:rPr>
          <w:sz w:val="20"/>
          <w:szCs w:val="20"/>
          <w:color w:val="auto"/>
        </w:rPr>
      </w:pPr>
    </w:p>
    <w:p>
      <w:pPr>
        <w:spacing w:after="0" w:line="295" w:lineRule="exact"/>
        <w:rPr>
          <w:sz w:val="20"/>
          <w:szCs w:val="20"/>
          <w:color w:val="auto"/>
        </w:rPr>
      </w:pPr>
    </w:p>
    <w:p>
      <w:pPr>
        <w:jc w:val="center"/>
        <w:ind w:left="1320"/>
        <w:spacing w:after="0"/>
        <w:rPr>
          <w:sz w:val="20"/>
          <w:szCs w:val="20"/>
          <w:color w:val="auto"/>
        </w:rPr>
      </w:pPr>
      <w:r>
        <w:rPr>
          <w:rFonts w:ascii="Courier New" w:cs="Courier New" w:eastAsia="Courier New" w:hAnsi="Courier New"/>
          <w:sz w:val="14"/>
          <w:szCs w:val="14"/>
          <w:color w:val="auto"/>
        </w:rPr>
        <w:t>Three Months Ended September 30,</w:t>
      </w:r>
    </w:p>
    <w:p>
      <w:pPr>
        <w:spacing w:after="0" w:line="7" w:lineRule="exact"/>
        <w:rPr>
          <w:sz w:val="20"/>
          <w:szCs w:val="20"/>
          <w:color w:val="auto"/>
        </w:rPr>
      </w:pPr>
    </w:p>
    <w:p>
      <w:pPr>
        <w:ind w:left="4220"/>
        <w:spacing w:after="0"/>
        <w:tabs>
          <w:tab w:leader="none" w:pos="8180" w:val="left"/>
        </w:tabs>
        <w:rPr>
          <w:sz w:val="20"/>
          <w:szCs w:val="20"/>
          <w:color w:val="auto"/>
        </w:rPr>
      </w:pP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80"/>
        <w:spacing w:after="0"/>
        <w:tabs>
          <w:tab w:leader="none" w:pos="6620" w:val="left"/>
          <w:tab w:leader="none" w:pos="9120" w:val="left"/>
        </w:tabs>
        <w:rPr>
          <w:sz w:val="20"/>
          <w:szCs w:val="20"/>
          <w:color w:val="auto"/>
        </w:rPr>
      </w:pPr>
      <w:r>
        <w:rPr>
          <w:rFonts w:ascii="Courier New" w:cs="Courier New" w:eastAsia="Courier New" w:hAnsi="Courier New"/>
          <w:sz w:val="14"/>
          <w:szCs w:val="14"/>
          <w:color w:val="auto"/>
        </w:rPr>
        <w:t>Plastic and</w:t>
      </w:r>
      <w:r>
        <w:rPr>
          <w:sz w:val="20"/>
          <w:szCs w:val="20"/>
          <w:color w:val="auto"/>
        </w:rPr>
        <w:tab/>
      </w:r>
      <w:r>
        <w:rPr>
          <w:rFonts w:ascii="Courier New" w:cs="Courier New" w:eastAsia="Courier New" w:hAnsi="Courier New"/>
          <w:sz w:val="14"/>
          <w:szCs w:val="14"/>
          <w:color w:val="auto"/>
        </w:rPr>
        <w:t>Domestic</w:t>
      </w:r>
      <w:r>
        <w:rPr>
          <w:sz w:val="20"/>
          <w:szCs w:val="20"/>
          <w:color w:val="auto"/>
        </w:rPr>
        <w:tab/>
      </w:r>
      <w:r>
        <w:rPr>
          <w:rFonts w:ascii="Courier New" w:cs="Courier New" w:eastAsia="Courier New" w:hAnsi="Courier New"/>
          <w:sz w:val="14"/>
          <w:szCs w:val="14"/>
          <w:color w:val="auto"/>
        </w:rPr>
        <w:t>Plastic and</w:t>
      </w:r>
    </w:p>
    <w:p>
      <w:pPr>
        <w:spacing w:after="0" w:line="7" w:lineRule="exact"/>
        <w:rPr>
          <w:sz w:val="20"/>
          <w:szCs w:val="20"/>
          <w:color w:val="auto"/>
        </w:rPr>
      </w:pPr>
    </w:p>
    <w:p>
      <w:pPr>
        <w:ind w:left="2600"/>
        <w:spacing w:after="0"/>
        <w:tabs>
          <w:tab w:leader="none" w:pos="3860" w:val="left"/>
          <w:tab w:leader="none" w:pos="5420" w:val="left"/>
          <w:tab w:leader="none" w:pos="6700" w:val="left"/>
          <w:tab w:leader="none" w:pos="7820" w:val="left"/>
          <w:tab w:leader="none" w:pos="9380" w:val="left"/>
        </w:tabs>
        <w:rPr>
          <w:sz w:val="20"/>
          <w:szCs w:val="20"/>
          <w:color w:val="auto"/>
        </w:rPr>
      </w:pPr>
      <w:r>
        <w:rPr>
          <w:rFonts w:ascii="Courier New" w:cs="Courier New" w:eastAsia="Courier New" w:hAnsi="Courier New"/>
          <w:sz w:val="14"/>
          <w:szCs w:val="14"/>
          <w:color w:val="auto"/>
        </w:rPr>
        <w:t>Domestic Ball</w:t>
        <w:tab/>
        <w:t>NN Europe</w:t>
      </w:r>
      <w:r>
        <w:rPr>
          <w:sz w:val="20"/>
          <w:szCs w:val="20"/>
          <w:color w:val="auto"/>
        </w:rPr>
        <w:tab/>
      </w:r>
      <w:r>
        <w:rPr>
          <w:rFonts w:ascii="Courier New" w:cs="Courier New" w:eastAsia="Courier New" w:hAnsi="Courier New"/>
          <w:sz w:val="14"/>
          <w:szCs w:val="14"/>
          <w:color w:val="auto"/>
        </w:rPr>
        <w:t>Rubber</w:t>
      </w:r>
      <w:r>
        <w:rPr>
          <w:sz w:val="20"/>
          <w:szCs w:val="20"/>
          <w:color w:val="auto"/>
        </w:rPr>
        <w:tab/>
      </w:r>
      <w:r>
        <w:rPr>
          <w:rFonts w:ascii="Courier New" w:cs="Courier New" w:eastAsia="Courier New" w:hAnsi="Courier New"/>
          <w:sz w:val="14"/>
          <w:szCs w:val="14"/>
          <w:color w:val="auto"/>
        </w:rPr>
        <w:t>Ball &amp;</w:t>
      </w:r>
      <w:r>
        <w:rPr>
          <w:sz w:val="20"/>
          <w:szCs w:val="20"/>
          <w:color w:val="auto"/>
        </w:rPr>
        <w:tab/>
      </w:r>
      <w:r>
        <w:rPr>
          <w:rFonts w:ascii="Courier New" w:cs="Courier New" w:eastAsia="Courier New" w:hAnsi="Courier New"/>
          <w:sz w:val="14"/>
          <w:szCs w:val="14"/>
          <w:color w:val="auto"/>
        </w:rPr>
        <w:t>NN Europe</w:t>
      </w:r>
      <w:r>
        <w:rPr>
          <w:sz w:val="20"/>
          <w:szCs w:val="20"/>
          <w:color w:val="auto"/>
        </w:rPr>
        <w:tab/>
      </w:r>
      <w:r>
        <w:rPr>
          <w:rFonts w:ascii="Courier New" w:cs="Courier New" w:eastAsia="Courier New" w:hAnsi="Courier New"/>
          <w:sz w:val="14"/>
          <w:szCs w:val="14"/>
          <w:color w:val="auto"/>
        </w:rPr>
        <w:t>Rubber</w:t>
      </w:r>
    </w:p>
    <w:p>
      <w:pPr>
        <w:spacing w:after="0" w:line="7" w:lineRule="exact"/>
        <w:rPr>
          <w:sz w:val="20"/>
          <w:szCs w:val="20"/>
          <w:color w:val="auto"/>
        </w:rPr>
      </w:pPr>
    </w:p>
    <w:p>
      <w:pPr>
        <w:spacing w:after="0"/>
        <w:tabs>
          <w:tab w:leader="none" w:pos="2660" w:val="left"/>
          <w:tab w:leader="none" w:pos="3960" w:val="left"/>
          <w:tab w:leader="none" w:pos="5240" w:val="left"/>
          <w:tab w:leader="none" w:pos="6700" w:val="left"/>
          <w:tab w:leader="none" w:pos="7920" w:val="left"/>
          <w:tab w:leader="none" w:pos="9200" w:val="left"/>
        </w:tabs>
        <w:rPr>
          <w:sz w:val="20"/>
          <w:szCs w:val="20"/>
          <w:color w:val="auto"/>
        </w:rPr>
      </w:pPr>
      <w:r>
        <w:rPr>
          <w:rFonts w:ascii="Courier New" w:cs="Courier New" w:eastAsia="Courier New" w:hAnsi="Courier New"/>
          <w:sz w:val="14"/>
          <w:szCs w:val="14"/>
          <w:color w:val="auto"/>
        </w:rPr>
        <w:t>Thousands of Dollars</w:t>
      </w:r>
      <w:r>
        <w:rPr>
          <w:sz w:val="20"/>
          <w:szCs w:val="20"/>
          <w:color w:val="auto"/>
        </w:rPr>
        <w:tab/>
      </w:r>
      <w:r>
        <w:rPr>
          <w:rFonts w:ascii="Courier New" w:cs="Courier New" w:eastAsia="Courier New" w:hAnsi="Courier New"/>
          <w:sz w:val="14"/>
          <w:szCs w:val="14"/>
          <w:color w:val="auto"/>
        </w:rPr>
        <w:t>&amp; Roller</w:t>
      </w:r>
      <w:r>
        <w:rPr>
          <w:sz w:val="20"/>
          <w:szCs w:val="20"/>
          <w:color w:val="auto"/>
        </w:rPr>
        <w:tab/>
      </w:r>
      <w:r>
        <w:rPr>
          <w:rFonts w:ascii="Courier New" w:cs="Courier New" w:eastAsia="Courier New" w:hAnsi="Courier New"/>
          <w:sz w:val="14"/>
          <w:szCs w:val="14"/>
          <w:color w:val="auto"/>
        </w:rPr>
        <w:t>Segment</w:t>
      </w:r>
      <w:r>
        <w:rPr>
          <w:sz w:val="20"/>
          <w:szCs w:val="20"/>
          <w:color w:val="auto"/>
        </w:rPr>
        <w:tab/>
      </w:r>
      <w:r>
        <w:rPr>
          <w:rFonts w:ascii="Courier New" w:cs="Courier New" w:eastAsia="Courier New" w:hAnsi="Courier New"/>
          <w:sz w:val="14"/>
          <w:szCs w:val="14"/>
          <w:color w:val="auto"/>
        </w:rPr>
        <w:t>Components</w:t>
      </w:r>
      <w:r>
        <w:rPr>
          <w:sz w:val="20"/>
          <w:szCs w:val="20"/>
          <w:color w:val="auto"/>
        </w:rPr>
        <w:tab/>
      </w:r>
      <w:r>
        <w:rPr>
          <w:rFonts w:ascii="Courier New" w:cs="Courier New" w:eastAsia="Courier New" w:hAnsi="Courier New"/>
          <w:sz w:val="14"/>
          <w:szCs w:val="14"/>
          <w:color w:val="auto"/>
        </w:rPr>
        <w:t>Roller</w:t>
      </w:r>
      <w:r>
        <w:rPr>
          <w:sz w:val="20"/>
          <w:szCs w:val="20"/>
          <w:color w:val="auto"/>
        </w:rPr>
        <w:tab/>
      </w:r>
      <w:r>
        <w:rPr>
          <w:rFonts w:ascii="Courier New" w:cs="Courier New" w:eastAsia="Courier New" w:hAnsi="Courier New"/>
          <w:sz w:val="14"/>
          <w:szCs w:val="14"/>
          <w:color w:val="auto"/>
        </w:rPr>
        <w:t>Segment</w:t>
      </w:r>
      <w:r>
        <w:rPr>
          <w:sz w:val="20"/>
          <w:szCs w:val="20"/>
          <w:color w:val="auto"/>
        </w:rPr>
        <w:tab/>
      </w:r>
      <w:r>
        <w:rPr>
          <w:rFonts w:ascii="Courier New" w:cs="Courier New" w:eastAsia="Courier New" w:hAnsi="Courier New"/>
          <w:sz w:val="14"/>
          <w:szCs w:val="14"/>
          <w:color w:val="auto"/>
        </w:rPr>
        <w:t>Components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Revenues from external</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customers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$ 14,440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$ 45,485</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$ 12,992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$ 14,414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$ 37,784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$ 12,414</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Pretax profit (loss)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3,874</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823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51,818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160,594</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57,279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53,077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144,560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57,989</w:t>
            </w:r>
          </w:p>
        </w:tc>
      </w:tr>
      <w:tr>
        <w:trPr>
          <w:trHeight w:val="331"/>
        </w:trPr>
        <w:tc>
          <w:tcPr>
            <w:tcW w:w="2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Nine Months Ended September 30,</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20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80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Plastic and</w:t>
            </w:r>
          </w:p>
        </w:tc>
        <w:tc>
          <w:tcPr>
            <w:tcW w:w="1280" w:type="dxa"/>
            <w:vAlign w:val="bottom"/>
          </w:tcPr>
          <w:p>
            <w:pPr>
              <w:ind w:left="200"/>
              <w:spacing w:after="0"/>
              <w:rPr>
                <w:sz w:val="20"/>
                <w:szCs w:val="20"/>
                <w:color w:val="auto"/>
              </w:rPr>
            </w:pPr>
            <w:r>
              <w:rPr>
                <w:rFonts w:ascii="Courier New" w:cs="Courier New" w:eastAsia="Courier New" w:hAnsi="Courier New"/>
                <w:sz w:val="14"/>
                <w:szCs w:val="14"/>
                <w:color w:val="auto"/>
              </w:rPr>
              <w:t>Domestic</w:t>
            </w:r>
          </w:p>
        </w:tc>
        <w:tc>
          <w:tcPr>
            <w:tcW w:w="126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Plastic and</w:t>
            </w:r>
          </w:p>
        </w:tc>
      </w:tr>
      <w:tr>
        <w:trPr>
          <w:trHeight w:val="166"/>
        </w:trPr>
        <w:tc>
          <w:tcPr>
            <w:tcW w:w="2240" w:type="dxa"/>
            <w:vAlign w:val="bottom"/>
          </w:tcPr>
          <w:p>
            <w:pPr>
              <w:spacing w:after="0"/>
              <w:rPr>
                <w:sz w:val="14"/>
                <w:szCs w:val="14"/>
                <w:color w:val="auto"/>
              </w:rPr>
            </w:pP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Domestic Ball</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NN Europe</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Rubber</w:t>
            </w:r>
          </w:p>
        </w:tc>
        <w:tc>
          <w:tcPr>
            <w:tcW w:w="1280" w:type="dxa"/>
            <w:vAlign w:val="bottom"/>
          </w:tcPr>
          <w:p>
            <w:pPr>
              <w:ind w:left="200"/>
              <w:spacing w:after="0"/>
              <w:rPr>
                <w:sz w:val="20"/>
                <w:szCs w:val="20"/>
                <w:color w:val="auto"/>
              </w:rPr>
            </w:pPr>
            <w:r>
              <w:rPr>
                <w:rFonts w:ascii="Courier New" w:cs="Courier New" w:eastAsia="Courier New" w:hAnsi="Courier New"/>
                <w:sz w:val="14"/>
                <w:szCs w:val="14"/>
                <w:color w:val="auto"/>
              </w:rPr>
              <w:t>Ball &amp;</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NN Europe</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Rubber</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Thousands of Dollars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&amp; Roller</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Segment</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Components</w:t>
            </w:r>
          </w:p>
        </w:tc>
        <w:tc>
          <w:tcPr>
            <w:tcW w:w="1280" w:type="dxa"/>
            <w:vAlign w:val="bottom"/>
          </w:tcPr>
          <w:p>
            <w:pPr>
              <w:ind w:left="200"/>
              <w:spacing w:after="0"/>
              <w:rPr>
                <w:sz w:val="20"/>
                <w:szCs w:val="20"/>
                <w:color w:val="auto"/>
              </w:rPr>
            </w:pPr>
            <w:r>
              <w:rPr>
                <w:rFonts w:ascii="Courier New" w:cs="Courier New" w:eastAsia="Courier New" w:hAnsi="Courier New"/>
                <w:sz w:val="14"/>
                <w:szCs w:val="14"/>
                <w:color w:val="auto"/>
              </w:rPr>
              <w:t>Roller</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Segment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Components</w:t>
            </w:r>
          </w:p>
        </w:tc>
      </w:tr>
    </w:tbl>
    <w:p>
      <w:pPr>
        <w:spacing w:after="0" w:line="4"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Revenues from external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customers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$ 43,417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$143,926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$ 38,472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$ 42,588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$104,829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$ 38,998</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Pretax profit (loss)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862</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10,752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3,469</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(531)</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51,818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160,594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57,279</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53,077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144,560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57,989</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6.</w:t>
        <w:tab/>
        <w:t>Acquisitions and Joint Ventures</w:t>
      </w:r>
    </w:p>
    <w:p>
      <w:pPr>
        <w:spacing w:after="0" w:line="17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On May 2, 2003 we acquired the 23 percent interest in NN Europe, ApS ("NN Europe") (formerly known as NN Euroball ApS) held by SKF. On March 12, 2004 we changed the name of our primary European entity from NN Euroball, ApS to NN Europe ApS. To avoid confusion between the entity and the segment, we will refer to the segment as the NN Europe Segment and the entity as NN Europe. We paid approximately 13.8 million Euros ($15.6 million) for SKF's interest in Euroball. Upon consummation of this transaction, we became the sole owner of NN Europe.</w:t>
      </w:r>
    </w:p>
    <w:p>
      <w:pPr>
        <w:spacing w:after="0" w:line="164"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On May 2, 2003 we acquired 100 percent of the tapered roller and metal cage manufacturing operations of SKF in Veenendaal, The Netherlands. The results of Veenendaal's operations have been included in the consolidated financial statements since that date. We paid consideration of approximately 23.0 million Euros ($25.7 million) and incurred other costs of approximately $1.0 million, for the Veenendaal net assets acquired from SKF. The Veenendaal operation manufactures rollers for tapered roller bearings and metal cages for both tapered roller and spherical roller bearings allowing us to expand our bearing component offering. The results of the Veenendaal operation are included in the NN Europe Segment.</w:t>
      </w:r>
    </w:p>
    <w:p>
      <w:pPr>
        <w:spacing w:after="0" w:line="329"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In connection with the acquisition of SKF's Veenendaal, The Netherlands operations, SKF purchased from us 700,000 shares of our common stock for an aggregate fair value of approximately $6.9 million which was applied to the purchase of SKF's Veenendaal, The Netherlands operations. For purposes of valuing the 700,000 common shares issued in our Consolidated Financial Statements, the value was determined based on the average market price of NN, Inc.'s common shares over the two-day period before, the day of, and the two-day period after the terms of the acquisition were agreed to, April 14, 2003.</w:t>
      </w:r>
    </w:p>
    <w:p>
      <w:pPr>
        <w:spacing w:after="0" w:line="164"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The following unaudited pro-forma summary presents the financial information for the nine month period ended September 30, 2003 as if our Veenendaal acquisition had occurred as of the beginning of the period presented. These pro forma results have been prepared for comparative purposes and do not purport to be indicative of what would have occurred had the acquisition been made as of the beginning of each of the periods presented, nor are they indicative of future results.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440"/>
          </w:cols>
          <w:pgMar w:left="220" w:top="782" w:right="1239" w:bottom="1440" w:gutter="0" w:footer="0" w:header="0"/>
        </w:sectPr>
      </w:pPr>
    </w:p>
    <w:bookmarkStart w:id="9" w:name="page10"/>
    <w:bookmarkEnd w:id="9"/>
    <w:tbl>
      <w:tblPr>
        <w:tblLayout w:type="fixed"/>
        <w:tblInd w:w="70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460" w:type="dxa"/>
            <w:vAlign w:val="bottom"/>
          </w:tcPr>
          <w:p>
            <w:pPr>
              <w:ind w:left="820"/>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3740" w:type="dxa"/>
            <w:vAlign w:val="bottom"/>
          </w:tcPr>
          <w:p>
            <w:pPr>
              <w:spacing w:after="0"/>
              <w:rPr>
                <w:sz w:val="14"/>
                <w:szCs w:val="14"/>
                <w:color w:val="auto"/>
              </w:rPr>
            </w:pPr>
          </w:p>
        </w:tc>
        <w:tc>
          <w:tcPr>
            <w:tcW w:w="2460" w:type="dxa"/>
            <w:vAlign w:val="bottom"/>
          </w:tcPr>
          <w:p>
            <w:pPr>
              <w:ind w:left="820"/>
              <w:spacing w:after="0"/>
              <w:rPr>
                <w:sz w:val="20"/>
                <w:szCs w:val="20"/>
                <w:color w:val="auto"/>
              </w:rPr>
            </w:pPr>
            <w:r>
              <w:rPr>
                <w:rFonts w:ascii="Courier New" w:cs="Courier New" w:eastAsia="Courier New" w:hAnsi="Courier New"/>
                <w:sz w:val="14"/>
                <w:szCs w:val="14"/>
                <w:color w:val="auto"/>
              </w:rPr>
              <w:t>September 30, 2003</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2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$197,209</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8,168</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2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0.52</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2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0.50</w:t>
            </w:r>
          </w:p>
        </w:tc>
      </w:tr>
    </w:tbl>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7.</w:t>
        <w:tab/>
        <w:t>New Accounting Pronouncements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March 31, 2004, the FASB issued an Exposure Draft, "Share-Based Payment", that addresses the accounting for share-based payment transactions in which an enterprise receives employee services in exchange for (a) equity instruments of the enterprise or (b) liabilities that are based on the fair value of the enterprise's equity instruments or that may be settled by the issuance of such equity instruments. The proposed Statement would eliminate the ability to account for share-based compensation transactions using APB Opinion No. 25, "Accounting for Stock Issued to Employees", and generally would require instead that such transactions be accounted for using a fair-value method. On October 13, 2004, the FASB announced the final Statement for public companies would be effective for any interim or annual period beginning after June 15, 2005. We are currently evaluating the impacts of this Exposure Draft on the Company's consolidated financial statements.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May 19, 2004, the Financial Accounting Standards Board ("FASB") issued FASB Staff Position (FSP) No. 106-2, "Accounting and Disclosure Requirements Related to the Medicare Prescription Drug, Improvement and Modernization Act of 2003", which supersedes FSP No. 106-1, "Accounting and Disclosure Requirements Related to the Medicare Prescription Drug, Improvement and Modernization Act of 2003," (the Act). FSP No. 106-2 permits a sponsor of a postretirement health care plan that provides a prescription drug benefit to make a one-time election to defer accounting for the effects of the Act until authoritative guidance on accounting for subsidies provided by the Act is issued. The Act introduces a prescription drug benefit under Medicare as well as a federal subsidy to sponsors of retiree health care benefit plans. The Company does not anticipate that the Act will have an effect on the Company's Financial Statements.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December 2003, the FASB issued Financial Interpretation No. 46(R), "Consolidation of Variable Interest Entities," ("FIN 46(R)"). This interpretation addresses consolidation by business enterprises of variable interest entities with certain defined characteristics and replaces Financial Interpretation No. 46. The interpretation was effective January 1, 2004 for variable interest entities existing prior to February 2003. FIN 46(R) did not have a significant impact on the Company's consolidated financial statements.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December 2003 the FASB issued SFAS No. 132 (revised 2003), "Employers' Disclosures about Pensions and Other Postretirement Benefits". SFAS No. 132R revises employers' disclosures about pension plans and other postretirement benefit plans. It does not change the measurement or recognition of those plans required by FASB Statements No. 87, "Employers' Accounting for Pensions", No. 88, "Employers' Accounting for Settlements and Curtailments of Defined Benefit Pensions Plans and for Termination Benefits, and No. 106, "Employers' Accounting for Postretirement Benefits Other Than Pensions". SFAS No. 132R requires additional disclosures to those in the original Statement 132 about the assets, obligations, cash flows, and net periodic benefit cost of defined benefit pension plans and other defined benefit postretirement plans. With certain exceptions, principally related to disclosure requirements of foreign plans, SFAS No. 132R is effective for financial statements with fiscal years ending after December 15, 2003.We have complied with the disclosure requirements of SFAS No. 132R.</w:t>
      </w:r>
    </w:p>
    <w:p>
      <w:pPr>
        <w:spacing w:after="0" w:line="32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have a defined benefit pension plan covering the employees at our Eltmann, Germany facility. The benefits are based on the expected years of service including the rate of compensation increase. The plan is unfunded.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2" w:right="1440" w:bottom="1440" w:gutter="0" w:footer="0" w:header="0"/>
        </w:sectPr>
      </w:pPr>
    </w:p>
    <w:bookmarkStart w:id="10" w:name="page11"/>
    <w:bookmarkEnd w:id="10"/>
    <w:p>
      <w:pPr>
        <w:ind w:left="1740"/>
        <w:spacing w:after="0"/>
        <w:rPr>
          <w:sz w:val="20"/>
          <w:szCs w:val="20"/>
          <w:color w:val="auto"/>
        </w:rPr>
      </w:pPr>
      <w:r>
        <w:rPr>
          <w:rFonts w:ascii="Courier New" w:cs="Courier New" w:eastAsia="Courier New" w:hAnsi="Courier New"/>
          <w:sz w:val="14"/>
          <w:szCs w:val="14"/>
          <w:color w:val="auto"/>
        </w:rPr>
        <w:t>Components of Net Periodic Pension Cost: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September 30,</w:t>
      </w:r>
    </w:p>
    <w:p>
      <w:pPr>
        <w:spacing w:after="0" w:line="7" w:lineRule="exact"/>
        <w:rPr>
          <w:sz w:val="20"/>
          <w:szCs w:val="20"/>
          <w:color w:val="auto"/>
        </w:rPr>
      </w:pPr>
    </w:p>
    <w:p>
      <w:pPr>
        <w:spacing w:after="0"/>
        <w:tabs>
          <w:tab w:leader="none" w:pos="3000" w:val="left"/>
          <w:tab w:leader="none" w:pos="4380" w:val="left"/>
        </w:tabs>
        <w:rPr>
          <w:sz w:val="20"/>
          <w:szCs w:val="20"/>
          <w:color w:val="auto"/>
        </w:rPr>
      </w:pPr>
      <w:r>
        <w:rPr>
          <w:rFonts w:ascii="Courier New" w:cs="Courier New" w:eastAsia="Courier New" w:hAnsi="Courier New"/>
          <w:sz w:val="14"/>
          <w:szCs w:val="14"/>
          <w:color w:val="auto"/>
        </w:rPr>
        <w:t>(in thousands of dollars)</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September 30,</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2004</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5260" w:space="180"/>
            <w:col w:w="1540" w:space="0"/>
            <w:col w:w="325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Service cost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 cost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Amortization of net gain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periodic pension cost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$84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$83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$ 78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174</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$ 86</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156</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5">
            <w:col w:w="2340" w:space="420"/>
            <w:col w:w="1040" w:space="340"/>
            <w:col w:w="960" w:space="420"/>
            <w:col w:w="940" w:space="360"/>
            <w:col w:w="3419"/>
          </w:cols>
          <w:pgMar w:left="220" w:top="616" w:right="1440" w:bottom="1440" w:gutter="0" w:footer="0" w:header="0"/>
          <w:type w:val="continuous"/>
        </w:sectPr>
      </w:pPr>
    </w:p>
    <w:p>
      <w:pPr>
        <w:spacing w:after="0" w:line="138" w:lineRule="exact"/>
        <w:rPr>
          <w:sz w:val="20"/>
          <w:szCs w:val="20"/>
          <w:color w:val="auto"/>
        </w:rPr>
      </w:pPr>
    </w:p>
    <w:p>
      <w:pPr>
        <w:jc w:val="both"/>
        <w:ind w:right="3339"/>
        <w:spacing w:after="0" w:line="257" w:lineRule="auto"/>
        <w:rPr>
          <w:sz w:val="20"/>
          <w:szCs w:val="20"/>
          <w:color w:val="auto"/>
        </w:rPr>
      </w:pPr>
      <w:r>
        <w:rPr>
          <w:rFonts w:ascii="Courier New" w:cs="Courier New" w:eastAsia="Courier New" w:hAnsi="Courier New"/>
          <w:sz w:val="14"/>
          <w:szCs w:val="14"/>
          <w:color w:val="auto"/>
        </w:rPr>
        <w:t>We expect to contribute approximately $0.3 million to our pension plan in 2004. As of September 30, 2004, approximately $0.3 million of contributions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Note 8. Long-Term Debt and Short-Term Debt</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On May 1, 2003 in connection with the purchase of SKF's Veenendaal component manufacturing operations and SKF's 23 percent interest in Euroball, we entered into a $90 million syndicated credit facility with AmSouth Bank ("AmSouth") as the administrative agent and Suntrust Bank as the Euro loan agent for the lenders under which we borrowed $60.4 million and 26.3 million Euros ($29.6 million) (the "$90 million credit facility"). This financing arrangement replaced our prior credit facility with AmSouth and Hypo Vereinsbank Luxembourg, S.A. The credit facility as originally entered into consisted of a $30.0 million revolver ("$30.0 million revolver") expiring on March 15, 2005, subsequently extended to March 31, 2006 bearing interest at a floating rate equal to LIBOR (2.02% at September 30, 2004) plus an applicable margin of 1.25 to 2.0, a $30.4 million term loan expiring on May 1, 2008, bearing interest at a floating rate equal to LIBOR (2.02% at September 30, 2004) plus an applicable margin of 1.25% to 2.0% and a 26.3 million Euro ($29.6 million) term loan ("26.3 million Euro term loan") expiring on May 1, 2008 which bears interest at a floating rate equal to Euro LIBOR (2.15% at September 30, 2004) plus an applicable margin of 1.25% to 2.0%. All amounts owed under the $30.4 million term loan were paid during the second quarter of 2004 with the proceeds from our $40 million notes and we no longer have borrowing capacity under that portion of the $90 million credit facility. The terms of the $30.0 million revolver and the 26.3 million Euro term loan remain unchanged.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We were in compliance with all such covenants as of September 30, 2004.</w:t>
      </w:r>
    </w:p>
    <w:p>
      <w:pPr>
        <w:spacing w:after="0" w:line="34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the acquisition of KLF's operations in Slovakia, on September 23, 2003 we entered into a $2.0 million short-term unsecured promissory note (the "$2.0 million note") with AmSouth as the lender. This note bore interest at the prime rate. All amounts owed under this note were paid during the second quarter of 2004 with the proceeds from our $40 million notes.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March 23, 2004 we entered into a $2.7 million short-term promissory note (the "$2.7 million note") with AmSouth Bank ("AmSouth") as the lender. This note bore interest at the prime rate. This agreement was entered into to fund short term operating capital requirements. All amounts owed under this note were paid during the second quarter of 2004 with the proceeds from our $40 million notes.</w:t>
      </w:r>
    </w:p>
    <w:p>
      <w:pPr>
        <w:spacing w:after="0" w:line="165"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On April 26, 2004 we issued $40.0 million aggregate principal amount of senior notes in a private placement (the "$40 million notes"). These notes bear interest at a fixed rate of 4.89% and mature on April 26, 2014. Interest is paid semi-annually. As of September 30, 2004, $40.0 million remained outstanding. Annual principal payments of approximately $5.7 million begin on April 26, 2008 and extend through the date of maturity. Proceeds from this credit facility were used to repay our existing US dollar denominated term loan, $24 million, and repay a portion, of our borrowings under our US dollar denominated revolving credit facility, $13 million, which are both components of our $90 million credit facility, and to repay borrowings remaining under our $2.0 million note and our $2.7 million note of $2 million and $1 million, respectively.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No event of default had occurred as of September 30, 2004. The notes are not collateralized except for the pledge of stock of certain foreign subsidiaries. We incurred $0.7 million of related costs as a result of issuing these notes which have been recorded as a component of other non-current assets and are being amortized over the term of the notes. In connection with the issuance of the $40 million notes, capitalized costs in the amount of approximately $0.3 million associated with structuring of the $90 million credit facility were written off during the three months ended June 30, 2004 and are included as a component of other (income) expense.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Note 9. Goodwill</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changes in the carrying amount of goodwill for the twelve and nine month periods ended December 31, 2003 and September 30, 2004, respectively,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Plastic and Rubber</w:t>
            </w: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Components Segment</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NN Europe Segment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020" w:type="dxa"/>
            <w:vAlign w:val="bottom"/>
          </w:tcPr>
          <w:p>
            <w:pPr>
              <w:spacing w:after="0"/>
              <w:rPr>
                <w:sz w:val="14"/>
                <w:szCs w:val="14"/>
                <w:color w:val="auto"/>
              </w:rPr>
            </w:pPr>
          </w:p>
        </w:tc>
        <w:tc>
          <w:tcPr>
            <w:tcW w:w="50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 ------------------- ----------------</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Balance as of January 1, 2003</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$ 26,712</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$ 12,662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$ 39,374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Goodwill acquired</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2,151</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2,151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Impairment losses</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(1,285)</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(1,285)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Currency impacts/reclassification</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328</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2,325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2,653</w:t>
            </w:r>
          </w:p>
        </w:tc>
      </w:tr>
      <w:tr>
        <w:trPr>
          <w:trHeight w:val="166"/>
        </w:trPr>
        <w:tc>
          <w:tcPr>
            <w:tcW w:w="3020" w:type="dxa"/>
            <w:vAlign w:val="bottom"/>
          </w:tcPr>
          <w:p>
            <w:pPr>
              <w:spacing w:after="0"/>
              <w:rPr>
                <w:sz w:val="14"/>
                <w:szCs w:val="14"/>
                <w:color w:val="auto"/>
              </w:rPr>
            </w:pPr>
          </w:p>
        </w:tc>
        <w:tc>
          <w:tcPr>
            <w:tcW w:w="50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 ------------------- ----------------</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Balance as of December 31, 2003</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$ 25,755</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$ 17,138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$ 42,893</w:t>
            </w:r>
          </w:p>
        </w:tc>
      </w:tr>
      <w:tr>
        <w:trPr>
          <w:trHeight w:val="166"/>
        </w:trPr>
        <w:tc>
          <w:tcPr>
            <w:tcW w:w="3020" w:type="dxa"/>
            <w:vAlign w:val="bottom"/>
          </w:tcPr>
          <w:p>
            <w:pPr>
              <w:spacing w:after="0"/>
              <w:rPr>
                <w:sz w:val="14"/>
                <w:szCs w:val="14"/>
                <w:color w:val="auto"/>
              </w:rPr>
            </w:pPr>
          </w:p>
        </w:tc>
        <w:tc>
          <w:tcPr>
            <w:tcW w:w="50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 =================== ================</w:t>
            </w:r>
          </w:p>
        </w:tc>
      </w:tr>
      <w:tr>
        <w:trPr>
          <w:trHeight w:val="331"/>
        </w:trPr>
        <w:tc>
          <w:tcPr>
            <w:tcW w:w="3020" w:type="dxa"/>
            <w:vAlign w:val="bottom"/>
          </w:tcPr>
          <w:p>
            <w:pPr>
              <w:spacing w:after="0"/>
              <w:rPr>
                <w:sz w:val="24"/>
                <w:szCs w:val="24"/>
                <w:color w:val="auto"/>
              </w:rPr>
            </w:pPr>
          </w:p>
        </w:tc>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Plastic and Rubber</w:t>
            </w:r>
          </w:p>
        </w:tc>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Components Segment</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NN Europe Segment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020" w:type="dxa"/>
            <w:vAlign w:val="bottom"/>
          </w:tcPr>
          <w:p>
            <w:pPr>
              <w:spacing w:after="0"/>
              <w:rPr>
                <w:sz w:val="14"/>
                <w:szCs w:val="14"/>
                <w:color w:val="auto"/>
              </w:rPr>
            </w:pPr>
          </w:p>
        </w:tc>
        <w:tc>
          <w:tcPr>
            <w:tcW w:w="50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 ------------------- ----------------</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Balance as of January 1, 2004</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$ 25,755</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$ 17,138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$ 42,893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Currency impacts</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(349)</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(349)</w:t>
            </w:r>
          </w:p>
        </w:tc>
      </w:tr>
      <w:tr>
        <w:trPr>
          <w:trHeight w:val="166"/>
        </w:trPr>
        <w:tc>
          <w:tcPr>
            <w:tcW w:w="3020" w:type="dxa"/>
            <w:vAlign w:val="bottom"/>
          </w:tcPr>
          <w:p>
            <w:pPr>
              <w:spacing w:after="0"/>
              <w:rPr>
                <w:sz w:val="14"/>
                <w:szCs w:val="14"/>
                <w:color w:val="auto"/>
              </w:rPr>
            </w:pPr>
          </w:p>
        </w:tc>
        <w:tc>
          <w:tcPr>
            <w:tcW w:w="50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 ------------------- ----------------</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Balance as of September 30, 2004</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$ 25,755</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$ 16,789</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$ 42,544</w:t>
            </w:r>
          </w:p>
        </w:tc>
      </w:tr>
      <w:tr>
        <w:trPr>
          <w:trHeight w:val="166"/>
        </w:trPr>
        <w:tc>
          <w:tcPr>
            <w:tcW w:w="3020" w:type="dxa"/>
            <w:vAlign w:val="bottom"/>
          </w:tcPr>
          <w:p>
            <w:pPr>
              <w:spacing w:after="0"/>
              <w:rPr>
                <w:sz w:val="14"/>
                <w:szCs w:val="14"/>
                <w:color w:val="auto"/>
              </w:rPr>
            </w:pPr>
          </w:p>
        </w:tc>
        <w:tc>
          <w:tcPr>
            <w:tcW w:w="50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 =================== ================</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Stock Compensation</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adopted the provisions of SFAS 123, which encourages but does not require a fair value based method of accounting for stock compensation plans. We have elected to continue accounting for our stock compensation plan using the intrinsic value based method under Auditing Practices Board ("APB") Opinion No. 25 and, accordingly, have not recorded compensation expense for the three and nine month periods ended September 30, 2004 and September 30, 2003, except as related to stock options accounted for under the variable method of accounting. Had compensation cost for our stock compensation plan been determined based on the fair value at the option grant dates, our net income and earnings per share would have been changed to the pro-forma amounts indicated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23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September 30,</w:t>
            </w:r>
          </w:p>
        </w:tc>
        <w:tc>
          <w:tcPr>
            <w:tcW w:w="260" w:type="dxa"/>
            <w:vAlign w:val="bottom"/>
          </w:tcPr>
          <w:p>
            <w:pPr>
              <w:spacing w:after="0"/>
              <w:rPr>
                <w:sz w:val="14"/>
                <w:szCs w:val="14"/>
                <w:color w:val="auto"/>
              </w:rPr>
            </w:pPr>
          </w:p>
        </w:tc>
        <w:tc>
          <w:tcPr>
            <w:tcW w:w="232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260" w:type="dxa"/>
            <w:vAlign w:val="bottom"/>
          </w:tcPr>
          <w:p>
            <w:pPr>
              <w:spacing w:after="0"/>
              <w:rPr>
                <w:sz w:val="14"/>
                <w:szCs w:val="14"/>
                <w:color w:val="auto"/>
              </w:rPr>
            </w:pPr>
          </w:p>
        </w:tc>
        <w:tc>
          <w:tcPr>
            <w:tcW w:w="112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260" w:type="dxa"/>
            <w:vAlign w:val="bottom"/>
          </w:tcPr>
          <w:p>
            <w:pPr>
              <w:spacing w:after="0"/>
              <w:rPr>
                <w:sz w:val="14"/>
                <w:szCs w:val="14"/>
                <w:color w:val="auto"/>
              </w:rPr>
            </w:pPr>
          </w:p>
        </w:tc>
        <w:tc>
          <w:tcPr>
            <w:tcW w:w="112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Net income - as reported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3,164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7,355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7,504</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Stock based compensation costs (income), net of</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income tax, included in net income as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reported</w:t>
            </w:r>
          </w:p>
        </w:tc>
        <w:tc>
          <w:tcPr>
            <w:tcW w:w="26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Stock based compensation costs, net of income</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tax, that would have been included in net</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income if the fair value method had been</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applied</w:t>
            </w:r>
          </w:p>
        </w:tc>
        <w:tc>
          <w:tcPr>
            <w:tcW w:w="26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(388)</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(424)</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(442)</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(494)</w:t>
            </w:r>
          </w:p>
        </w:tc>
      </w:tr>
      <w:tr>
        <w:trPr>
          <w:trHeight w:val="166"/>
        </w:trPr>
        <w:tc>
          <w:tcPr>
            <w:tcW w:w="4580" w:type="dxa"/>
            <w:vAlign w:val="bottom"/>
          </w:tcPr>
          <w:p>
            <w:pPr>
              <w:spacing w:after="0"/>
              <w:rPr>
                <w:sz w:val="14"/>
                <w:szCs w:val="14"/>
                <w:color w:val="auto"/>
              </w:rPr>
            </w:pPr>
          </w:p>
        </w:tc>
        <w:tc>
          <w:tcPr>
            <w:tcW w:w="138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Net income - pro-forma</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1,666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2,735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7,205</w:t>
            </w:r>
          </w:p>
        </w:tc>
      </w:tr>
      <w:tr>
        <w:trPr>
          <w:trHeight w:val="166"/>
        </w:trPr>
        <w:tc>
          <w:tcPr>
            <w:tcW w:w="4580" w:type="dxa"/>
            <w:vAlign w:val="bottom"/>
          </w:tcPr>
          <w:p>
            <w:pPr>
              <w:spacing w:after="0"/>
              <w:rPr>
                <w:sz w:val="14"/>
                <w:szCs w:val="14"/>
                <w:color w:val="auto"/>
              </w:rPr>
            </w:pPr>
          </w:p>
        </w:tc>
        <w:tc>
          <w:tcPr>
            <w:tcW w:w="138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Basic earnings per share - as reported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0.48</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Stock based compensation costs (income), net of</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income tax, included in net income as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reported</w:t>
            </w:r>
          </w:p>
        </w:tc>
        <w:tc>
          <w:tcPr>
            <w:tcW w:w="26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(0.01)</w:t>
            </w: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Stock based compensation costs, net of income</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tax, that would have been included in net</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income if the fair value method had been</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applied</w:t>
            </w:r>
          </w:p>
        </w:tc>
        <w:tc>
          <w:tcPr>
            <w:tcW w:w="26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(0.02)</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(0.03)</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(0.03)</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(0.03)</w:t>
            </w:r>
          </w:p>
        </w:tc>
      </w:tr>
      <w:tr>
        <w:trPr>
          <w:trHeight w:val="166"/>
        </w:trPr>
        <w:tc>
          <w:tcPr>
            <w:tcW w:w="4580" w:type="dxa"/>
            <w:vAlign w:val="bottom"/>
          </w:tcPr>
          <w:p>
            <w:pPr>
              <w:spacing w:after="0"/>
              <w:rPr>
                <w:sz w:val="14"/>
                <w:szCs w:val="14"/>
                <w:color w:val="auto"/>
              </w:rPr>
            </w:pPr>
          </w:p>
        </w:tc>
        <w:tc>
          <w:tcPr>
            <w:tcW w:w="138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Basic earnings per share - pro-forma</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0.10</w:t>
            </w: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0.46</w:t>
            </w:r>
          </w:p>
        </w:tc>
      </w:tr>
      <w:tr>
        <w:trPr>
          <w:trHeight w:val="166"/>
        </w:trPr>
        <w:tc>
          <w:tcPr>
            <w:tcW w:w="4580" w:type="dxa"/>
            <w:vAlign w:val="bottom"/>
          </w:tcPr>
          <w:p>
            <w:pPr>
              <w:spacing w:after="0"/>
              <w:rPr>
                <w:sz w:val="14"/>
                <w:szCs w:val="14"/>
                <w:color w:val="auto"/>
              </w:rPr>
            </w:pPr>
          </w:p>
        </w:tc>
        <w:tc>
          <w:tcPr>
            <w:tcW w:w="138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4580" w:type="dxa"/>
            <w:vAlign w:val="bottom"/>
          </w:tcPr>
          <w:p>
            <w:pPr>
              <w:ind w:left="3280"/>
              <w:spacing w:after="0"/>
              <w:rPr>
                <w:sz w:val="20"/>
                <w:szCs w:val="20"/>
                <w:color w:val="auto"/>
              </w:rPr>
            </w:pPr>
            <w:r>
              <w:rPr>
                <w:rFonts w:ascii="Courier New" w:cs="Courier New" w:eastAsia="Courier New" w:hAnsi="Courier New"/>
                <w:sz w:val="14"/>
                <w:szCs w:val="14"/>
                <w:color w:val="auto"/>
              </w:rPr>
              <w:t>-12-</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Earnings per share-assuming dilution - as</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0.18</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0.43</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0.46</w:t>
            </w:r>
          </w:p>
        </w:tc>
      </w:tr>
      <w:tr>
        <w:trPr>
          <w:trHeight w:val="331"/>
        </w:trPr>
        <w:tc>
          <w:tcPr>
            <w:tcW w:w="4400" w:type="dxa"/>
            <w:vAlign w:val="bottom"/>
          </w:tcPr>
          <w:p>
            <w:pPr>
              <w:ind w:left="100"/>
              <w:spacing w:after="0"/>
              <w:rPr>
                <w:sz w:val="20"/>
                <w:szCs w:val="20"/>
                <w:color w:val="auto"/>
              </w:rPr>
            </w:pPr>
            <w:r>
              <w:rPr>
                <w:rFonts w:ascii="Courier New" w:cs="Courier New" w:eastAsia="Courier New" w:hAnsi="Courier New"/>
                <w:sz w:val="14"/>
                <w:szCs w:val="14"/>
                <w:color w:val="auto"/>
              </w:rPr>
              <w:t>Stock based compensation costs (income), net of</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income tax, included in net income as</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reported</w:t>
            </w:r>
          </w:p>
        </w:tc>
        <w:tc>
          <w:tcPr>
            <w:tcW w:w="5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(0.01)</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(0.01)</w:t>
            </w:r>
          </w:p>
        </w:tc>
        <w:tc>
          <w:tcPr>
            <w:tcW w:w="4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4400" w:type="dxa"/>
            <w:vAlign w:val="bottom"/>
          </w:tcPr>
          <w:p>
            <w:pPr>
              <w:ind w:left="100"/>
              <w:spacing w:after="0"/>
              <w:rPr>
                <w:sz w:val="20"/>
                <w:szCs w:val="20"/>
                <w:color w:val="auto"/>
              </w:rPr>
            </w:pPr>
            <w:r>
              <w:rPr>
                <w:rFonts w:ascii="Courier New" w:cs="Courier New" w:eastAsia="Courier New" w:hAnsi="Courier New"/>
                <w:sz w:val="14"/>
                <w:szCs w:val="14"/>
                <w:color w:val="auto"/>
              </w:rPr>
              <w:t>Stock based compensation costs, net of income</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tax, that would have been included in net</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income if the fair value method had been</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applied</w:t>
            </w:r>
          </w:p>
        </w:tc>
        <w:tc>
          <w:tcPr>
            <w:tcW w:w="5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(0.02)</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(0.02)</w:t>
            </w:r>
          </w:p>
        </w:tc>
        <w:tc>
          <w:tcPr>
            <w:tcW w:w="4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(0.02)</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Earnings per share - assuming dilution-pro-forma</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0.10</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0.16</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0.44</w:t>
            </w:r>
          </w:p>
        </w:tc>
      </w:tr>
      <w:tr>
        <w:trPr>
          <w:trHeight w:val="166"/>
        </w:trPr>
        <w:tc>
          <w:tcPr>
            <w:tcW w:w="4400" w:type="dxa"/>
            <w:vAlign w:val="bottom"/>
          </w:tcPr>
          <w:p>
            <w:pPr>
              <w:spacing w:after="0"/>
              <w:rPr>
                <w:sz w:val="14"/>
                <w:szCs w:val="14"/>
                <w:color w:val="auto"/>
              </w:rPr>
            </w:pP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fair value of each option grant was estimated based on actual information available through September 30, 2004 and 2003 using the Black Scholes option-pricing model with the following assumptions: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Term</w:t>
            </w:r>
          </w:p>
        </w:tc>
        <w:tc>
          <w:tcPr>
            <w:tcW w:w="150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Vesting period</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Risk free interest rate</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3.50%</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respectively</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2.79%</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respectively</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Volatility</w:t>
            </w:r>
          </w:p>
        </w:tc>
        <w:tc>
          <w:tcPr>
            <w:tcW w:w="5460" w:type="dxa"/>
            <w:vAlign w:val="bottom"/>
            <w:gridSpan w:val="8"/>
          </w:tcPr>
          <w:p>
            <w:pPr>
              <w:ind w:left="120"/>
              <w:spacing w:after="0"/>
              <w:rPr>
                <w:sz w:val="20"/>
                <w:szCs w:val="20"/>
                <w:color w:val="auto"/>
              </w:rPr>
            </w:pPr>
            <w:r>
              <w:rPr>
                <w:rFonts w:ascii="Courier New" w:cs="Courier New" w:eastAsia="Courier New" w:hAnsi="Courier New"/>
                <w:sz w:val="14"/>
                <w:szCs w:val="14"/>
                <w:color w:val="auto"/>
              </w:rPr>
              <w:t>48.88% and 50.62% at September 30, 2004 and 2003, respectively</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Lease Commitment</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On June 1, 2004, our wholly owned subsidiary, NN Precision Bearing Products Company LTD, entered into a twenty year lease agreement with Kunshan Tian Li Steel Structure Co. LTD for the lease of land and building (approximately 110,000 square feet) in the Kunshan Economic and Technology Development Zone, Jiangsu, The People's Republic of China. The building will be newly constructed and we expect to begin usage of the leased property during the second quarter of 2005. The land and building remain under the control of the lessor until such time as usage of the leased property commences. The agreement satisfies the requirements of a capital lease at June 1, 2004 and we anticipate recording the lease as a capital lease in our Consolidated Financial Statements when usage of the leased property begins. Accordingly, as of September 30, 2004, no amount has been recorded related to the asset and corresponding obligation associated with the lease agreement in our Consolidated Financial Statements. We estimate the fair value of the land and building to be approximately $2.0 million and undiscounted annual lease payments of approximately $0.2 million (approximately $4.1 million aggregate non-discounted lease payments over the twenty year term). The lease terms include fair value buy-out provisions and we maintain the option to extend the lease term.</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Subsequent Event</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October 27, 2004 we completed the sale of our idle warehouse in Kilkenny, Ireland for approximately 1.6 million euro ($2.0 million), net of selling costs incurred. As a result of this transaction, we anticipate recording a loss on sale of fixed assets of approximately 0.1 million euro ($0.1 million) during the fourth quarter which will be recorded as a component of Other (income) expense, net. As of December 31, 2003 and September 30, 2004 this asset has been classified as a component of Property, plant and equipment, net. Proceeds received from the sale of this asset will be used to repay a portion of our $90 million credit facility.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947" w:right="1440" w:bottom="1440" w:gutter="0" w:footer="0" w:header="0"/>
        </w:sectPr>
      </w:pPr>
    </w:p>
    <w:bookmarkStart w:id="14" w:name="page15"/>
    <w:bookmarkEnd w:id="14"/>
    <w:p>
      <w:pPr>
        <w:ind w:left="700" w:right="3339" w:hanging="688"/>
        <w:spacing w:after="0" w:line="247" w:lineRule="auto"/>
        <w:rPr>
          <w:sz w:val="20"/>
          <w:szCs w:val="20"/>
          <w:color w:val="auto"/>
        </w:rPr>
      </w:pPr>
      <w:r>
        <w:rPr>
          <w:rFonts w:ascii="Courier New" w:cs="Courier New" w:eastAsia="Courier New" w:hAnsi="Courier New"/>
          <w:sz w:val="14"/>
          <w:szCs w:val="14"/>
          <w:color w:val="auto"/>
        </w:rPr>
        <w:t>Item 2. Management's</w:t>
      </w:r>
      <w:r>
        <w:rPr>
          <w:sz w:val="20"/>
          <w:szCs w:val="20"/>
          <w:color w:val="auto"/>
        </w:rPr>
        <w:t xml:space="preserve"> </w:t>
      </w:r>
      <w:r>
        <w:rPr>
          <w:rFonts w:ascii="Courier New" w:cs="Courier New" w:eastAsia="Courier New" w:hAnsi="Courier New"/>
          <w:sz w:val="14"/>
          <w:szCs w:val="14"/>
          <w:color w:val="auto"/>
        </w:rPr>
        <w:t>Discussion and Analysis of Financial Condition and Results Of Operations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 and Management Focus</w:t>
      </w:r>
    </w:p>
    <w:p>
      <w:pPr>
        <w:spacing w:after="0" w:line="173" w:lineRule="exact"/>
        <w:rPr>
          <w:sz w:val="20"/>
          <w:szCs w:val="20"/>
          <w:color w:val="auto"/>
        </w:rPr>
      </w:pPr>
    </w:p>
    <w:p>
      <w:pPr>
        <w:ind w:left="440" w:right="3339"/>
        <w:spacing w:after="0" w:line="255" w:lineRule="auto"/>
        <w:rPr>
          <w:sz w:val="20"/>
          <w:szCs w:val="20"/>
          <w:color w:val="auto"/>
        </w:rPr>
      </w:pPr>
      <w:r>
        <w:rPr>
          <w:rFonts w:ascii="Courier New" w:cs="Courier New" w:eastAsia="Courier New" w:hAnsi="Courier New"/>
          <w:sz w:val="14"/>
          <w:szCs w:val="14"/>
          <w:color w:val="auto"/>
        </w:rPr>
        <w:t>Our strategy and management focus is based upon the following long-term objectives:</w:t>
      </w:r>
    </w:p>
    <w:p>
      <w:pPr>
        <w:spacing w:after="0" w:line="160" w:lineRule="exact"/>
        <w:rPr>
          <w:sz w:val="20"/>
          <w:szCs w:val="20"/>
          <w:color w:val="auto"/>
        </w:rPr>
      </w:pPr>
    </w:p>
    <w:p>
      <w:pPr>
        <w:ind w:left="860" w:right="3339" w:hanging="421"/>
        <w:spacing w:after="0" w:line="255" w:lineRule="auto"/>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Captive growth, providing a competitive and attractive alternative to the operations of our global customers</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Expansion of our bearing product offering, and</w:t>
      </w:r>
    </w:p>
    <w:p>
      <w:pPr>
        <w:spacing w:after="0" w:line="172"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expansion of our manufacturing base to better address the global requirements of our customers</w:t>
      </w:r>
    </w:p>
    <w:p>
      <w:pPr>
        <w:spacing w:after="0" w:line="160" w:lineRule="exact"/>
        <w:rPr>
          <w:sz w:val="20"/>
          <w:szCs w:val="20"/>
          <w:color w:val="auto"/>
        </w:rPr>
      </w:pPr>
    </w:p>
    <w:p>
      <w:pPr>
        <w:ind w:left="440" w:right="3339"/>
        <w:spacing w:after="0" w:line="247" w:lineRule="auto"/>
        <w:rPr>
          <w:sz w:val="20"/>
          <w:szCs w:val="20"/>
          <w:color w:val="auto"/>
        </w:rPr>
      </w:pPr>
      <w:r>
        <w:rPr>
          <w:rFonts w:ascii="Courier New" w:cs="Courier New" w:eastAsia="Courier New" w:hAnsi="Courier New"/>
          <w:sz w:val="14"/>
          <w:szCs w:val="14"/>
          <w:color w:val="auto"/>
        </w:rPr>
        <w:t>Management generally focuses on these trends and relevant market indicators:</w:t>
      </w:r>
    </w:p>
    <w:p>
      <w:pPr>
        <w:spacing w:after="0" w:line="334" w:lineRule="exact"/>
        <w:rPr>
          <w:sz w:val="20"/>
          <w:szCs w:val="20"/>
          <w:color w:val="auto"/>
        </w:rPr>
      </w:pPr>
    </w:p>
    <w:p>
      <w:pPr>
        <w:ind w:left="860" w:hanging="421"/>
        <w:spacing w:after="0"/>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industrial growth and economics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automotive production rates</w:t>
      </w:r>
    </w:p>
    <w:p>
      <w:pPr>
        <w:spacing w:after="0" w:line="172"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subject to the global inflationary environment, including, but not limited to:</w:t>
      </w:r>
    </w:p>
    <w:p>
      <w:pPr>
        <w:spacing w:after="0" w:line="159"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oRaw material</w:t>
      </w:r>
    </w:p>
    <w:p>
      <w:pPr>
        <w:spacing w:after="0" w:line="173" w:lineRule="exact"/>
        <w:rPr>
          <w:sz w:val="20"/>
          <w:szCs w:val="20"/>
          <w:color w:val="auto"/>
        </w:rPr>
      </w:pPr>
    </w:p>
    <w:p>
      <w:pPr>
        <w:ind w:left="1300" w:hanging="430"/>
        <w:spacing w:after="0"/>
        <w:tabs>
          <w:tab w:leader="none" w:pos="13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Wages and benefits, including health care costs</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Energy</w:t>
      </w:r>
    </w:p>
    <w:p>
      <w:pPr>
        <w:spacing w:after="0" w:line="173" w:lineRule="exact"/>
        <w:rPr>
          <w:sz w:val="20"/>
          <w:szCs w:val="20"/>
          <w:color w:val="auto"/>
        </w:rPr>
      </w:pPr>
    </w:p>
    <w:p>
      <w:pPr>
        <w:ind w:left="860" w:right="3339" w:hanging="421"/>
        <w:spacing w:after="0" w:line="255" w:lineRule="auto"/>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Trends related to manufacturing's geographic migration of competitive manufacturing</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environment for United States public companies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Currency and exchange rate movements and trends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levels and expectations</w:t>
      </w:r>
    </w:p>
    <w:p>
      <w:pPr>
        <w:spacing w:after="0" w:line="173" w:lineRule="exact"/>
        <w:rPr>
          <w:sz w:val="20"/>
          <w:szCs w:val="20"/>
          <w:color w:val="auto"/>
        </w:rPr>
      </w:pPr>
    </w:p>
    <w:p>
      <w:pPr>
        <w:ind w:left="440" w:right="3339"/>
        <w:spacing w:after="0" w:line="255" w:lineRule="auto"/>
        <w:rPr>
          <w:sz w:val="20"/>
          <w:szCs w:val="20"/>
          <w:color w:val="auto"/>
        </w:rPr>
      </w:pPr>
      <w:r>
        <w:rPr>
          <w:rFonts w:ascii="Courier New" w:cs="Courier New" w:eastAsia="Courier New" w:hAnsi="Courier New"/>
          <w:sz w:val="14"/>
          <w:szCs w:val="14"/>
          <w:color w:val="auto"/>
        </w:rPr>
        <w:t>Management generally focuses on the following key indicators of operating performance:</w:t>
      </w:r>
    </w:p>
    <w:p>
      <w:pPr>
        <w:spacing w:after="0" w:line="160" w:lineRule="exact"/>
        <w:rPr>
          <w:sz w:val="20"/>
          <w:szCs w:val="20"/>
          <w:color w:val="auto"/>
        </w:rPr>
      </w:pPr>
    </w:p>
    <w:p>
      <w:pPr>
        <w:ind w:left="860" w:hanging="421"/>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growth</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of products sold levels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general and administrative expense levels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from operations and capital spending</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core business is the manufacture and sale of high quality, precision steel balls and rollers. In 2003, sales of balls and rollers accounted for approximately 76% of the Company's total net sales with 63% and 13% of sales from balls and rollers, respectively. Sales of metal bearing retainers accounted for 4% and sales of precision molded plastic and rubber parts accounted for the remaining 20%.</w:t>
      </w:r>
    </w:p>
    <w:p>
      <w:pPr>
        <w:spacing w:after="0" w:line="32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Since our formation in 1980 we have grown primarily through the displacement of captive ball manufacturing operations of domestic and international bearing manufacturers resulting in increased sales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48" w:right="1440" w:bottom="1440" w:gutter="0" w:footer="0" w:header="0"/>
        </w:sectPr>
      </w:pPr>
    </w:p>
    <w:bookmarkStart w:id="15" w:name="page16"/>
    <w:bookmarkEnd w:id="15"/>
    <w:p>
      <w:pPr>
        <w:jc w:val="both"/>
        <w:ind w:right="3339"/>
        <w:spacing w:after="0" w:line="251" w:lineRule="auto"/>
        <w:rPr>
          <w:sz w:val="20"/>
          <w:szCs w:val="20"/>
          <w:color w:val="auto"/>
        </w:rPr>
      </w:pPr>
      <w:r>
        <w:rPr>
          <w:rFonts w:ascii="Courier New" w:cs="Courier New" w:eastAsia="Courier New" w:hAnsi="Courier New"/>
          <w:sz w:val="14"/>
          <w:szCs w:val="14"/>
          <w:color w:val="auto"/>
        </w:rPr>
        <w:t>of high precision balls for quiet bearing applications. Management believes that our core business sales growth since our formation has been due to our ability to capitalize on opportunities in global markets and provide precision products at competitive prices, as well as our emphasis on product quality and customer service.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Three Months Ended September 30, 2004 Compared to the Three Months Ended September 30, 2003</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Net Sales. Net Sales increased by approximately $8.3 million, or 12.9%, from $64.6 million for the third quarter of 2003 to $72.9 million for the third quarter of 2004. By segment, sales increased $7.7 million and $0.6 million for the NN Europe Segment and the Plastic and Rubber Components Segment, respectively. Within the NN Europe Segment, $4.4 million of the increase is related to increases in product demand and $3.2 million is related to the impact of currency exchange rates. Within the Plastic and Rubber Components Segment, the total increase of $0.6 million is related to increases in product demand. Net Sales remained approximately unchanged for the Domestic Ball and Roller Segment.</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Cost of Products Sold. Cost of products sold increased by approximately $7.0 million, or 13.9%, from $50.3 million for the third quarter of 2003 to $57.3 million for the third quarter of 2004. By segment, cost of products sold increased $5.7 million and $1.3 million for the NN Europe Segment and the Plastic and Rubber Components Segment, respectively. Within the NN Europe Segment, $3.2 million of the increase is related to increases in product demand, increased material costs and the impact of inventory reductions and $2.5 million is related to the impact of currency exchange rates. Within the Plastic and Rubber Components Segment, the total increase of $1.3 million is related to increases in product demand and the impact of inventory reductions. Cost of products sold remained approximately unchanged for the Domestic Ball and Roller Segment. As a percentage of net sales, cost of products sold increased from 77.8% during the third quarter of 2003 to 78.5% during the third quarter of 2004.</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price of steel has risen over the last twelve to eighteen months with fourth quarter of 2004 and possibly 2005 prices expected to reflect even greater increases. The increase is principally due to general increases in global demand and, more recently, due to China's increased consumption of steel. This has had the impact of increasing scrap surcharges we pay in procuring our steel. Our contracts with key customers allow us to pass a majority of the steel price increases we incur on to those customers. However, by contract, material price changes in any given year are typically passed along with price adjustments in January of the following year. Until the current increases can be passed through to our customers, income from operations, net income and cash flow from operations will be adversely affected.</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by approximately $1.9 million, or 35.8%, from $5.2 million for the third quarter of 2003 to $7.1 million for the third quarter of 2004. By segment, selling, general and administrative expenses increased $0.9 million, $0.6 million and $0.3 million for the NN Europe Segment, Domestic Ball and Roller Segment and the Plastic and Rubber Components Segment, respectively. Within the NN Europe Segment, $0.6 million of the increase is related to the start-up of our previously announced Level 3 program which integrates the principles of Lean Enterprise, Six Sigma and Total Productive Maintenance (the "Level 3 Program"), expenses associated with our Slovakia ball production facility and severance costs, and, $0.3 million is related to the impact of currency exchange rates. Within the Domestic Ball and Roller Segment, the increase of $0.6 million is principally related to Sarbanes-Oxley compliance efforts in the area of internal controls and the Level 3 Program. Within the Plastic and Rubber Components Segment, the $0.3 million increase is principally related to employee severance. As a percentage of net sales, selling, general and administrative expenses increased from 8.1% during the third quarter of 2003 to 9.8% during the third quarter of 2004.</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Depreciation and Amortization. Depreciation and amortization expenses increased by approximately $0.4 million or 11.0% from $3.6 million for the third quarter of 2003 to $4.0 million for the third quarter of 2004. Principally all of the $0.4 million increase is attributable to the NN Europe Segment. Within the NN Europe Segment, $0.2 million of the increase is related to capital investments in machinery, equipment and processes and $0.2 million of the increase is related to the impact of foreign currency exchange rates. As a percentage of net sales, depreciation and amortization expense decreased from 5.6% during the third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8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quarter of 2003 to 5.5% during the third quarter of 2004.</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Restructuring and Impairment Costs. Restructuring and impairment costs increased by $0.2 million from ($0.2 million) in the third quarter of 2003 to $0 in the third quarter of 2004. The increase is related to gains recorded during the third quarter of 2003 associated with the disposition of certain previously impaired NN Arte assets. Restructuring and impairment charges were (0.4%) of net sales in the third quarter of 2003 and 0% of net sales in the third quarter of 2004.</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Interest Expense. Interest expense increased by approximately $0.2 million from $0.9 million in the third quarter of 2003 to $1.1 million in the third quarter of 2004. The increase is principally related to our April 26, 2004 issuance of our $40.0 million aggregate principal amount of senior notes in a private placement. These notes bear interest at a fixed rate of 4.89%. See "Liquidity and Capital Resources".</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Net Income. Net income decreased by approximately $1.0 million, or 32.0%, from $3.2 million in the third quarter of 2003 to $2.2 million in the third quarter of 2004. As a percentage of net sales, net income decreased from 4.9% during the third quarter of 2003 to 3.0% during the third quarter of 2004.</w:t>
      </w:r>
    </w:p>
    <w:p>
      <w:pPr>
        <w:spacing w:after="0" w:line="16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Nine Months Ended September 30, 2004 Compared to the Nine Months Ended September 30, 2003</w:t>
      </w:r>
    </w:p>
    <w:p>
      <w:pPr>
        <w:spacing w:after="0" w:line="160"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Net Sales. Net Sales increased by approximately $39.4 million, or 21.1%, from $186.4 million for the first nine months of 2003 to $225.8 million for the first nine months of 2004. By segment, Net Sales increased $39.1 million and $0.8 million for the NN Europe Segment and the Domestic Ball and Roller Segment, respectively. Net Sales decreased by $0.5 million for the Plastic and Rubber Components Segment. Within the NN Europe Segment, $17.2 million of the increase is related to our May 2, 2003 acquisition of Veenendaal and a full nine months of its results included in 2004 versus five months of its results included in the first nine months of 2003, $11.6 million is related to the impact of currency exchange rates and $10.3 million is related to increases in product demand. Within the Domestic Ball and Roller Segment, the increase of $0.8 million is principally related to increases in product demand. The decrease of $0.5 million in the Plastic and Rubber Components Segment is principally related increases in product demand of approximately $1.1 million offset by decreased net sales of approximately $1.6 million resulting from to the closure of our Guadalajara, Mexico injection molding facility in 2003.</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Cost of Products Sold. Cost of products sold increased by approximately $33.8 million, or 23.7%, from $142.8 million for the first nine months of 2003 to $176.6 million for the first nine months of 2004. By segment, cost of products sold increased $32.9 million, $0.6 million and $0.3 million for the NN Europe Segment, the Domestic Ball and Roller Segmet and the Plastic and Rubber Components Segment, respectively. Within the NN Europe Segment, $14.4 million of the increase is related to our May 2, 2003 acquisition of Veenendaal and a full nine months of its results included in 2004 versus five months of its results included in the first nine months of 2003, $9.2 million is related to the impact of currency exchange rates and $9.3 million is related to increases in product demand and the impact of inventory reductions. The increase of $0.3 million in the Plastic and Rubber Components Segment is principally related increases in product demand and the impact of inventory reductions of approximately $2.3 million offset by decreased cost of products sold of approximately $2.1 million resulting from the closure of our Guadalajara, Mexico injection molding facility in 2003. As a percentage of net sales, cost of products sold increased from 76.6% during the first nine months of 2003 to 78.2% during the first nine months of 2004.</w:t>
      </w:r>
    </w:p>
    <w:p>
      <w:pPr>
        <w:spacing w:after="0" w:line="33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by approximately $6.7 million, or 42.6%, from $15.6 million for the first nine months of 2003 to $22.3 million for the first nine months of 2004. By segment, selling, general and administrative expenses increased $3.8 million, $2.4 million and $0.5 million for the NN Europe Segment, Domestic Ball and Roller Segment and the Plastic and Rubber Components Segment, respectively. Within the NN Europe Segment, $1.6 million of the increase is related to our May 2, 2003 acquisition of Veenendaal and a full nine months of its results included in 2004 versus five months of its results included in the first nine months of 2003, $1.3 million is related to the start-up of our Level 3 Program, expenses associated with our Slovakia ball production facility and employee severance and $0.9 million is related to the impact of currency exchange rates. Within the Domestic Ball and Roller Segment, approximately $1.4 million is principally related to Sarbanes-Oxley compliance efforts in the area of internal controls, approximately $0.7 million is related to our Level 3 Program and approximately $0.3 million is related to the start-up of our China operation.</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7" w:name="page18"/>
    <w:bookmarkEnd w:id="17"/>
    <w:p>
      <w:pPr>
        <w:jc w:val="both"/>
        <w:ind w:right="3339"/>
        <w:spacing w:after="0" w:line="252" w:lineRule="auto"/>
        <w:rPr>
          <w:sz w:val="20"/>
          <w:szCs w:val="20"/>
          <w:color w:val="auto"/>
        </w:rPr>
      </w:pPr>
      <w:r>
        <w:rPr>
          <w:rFonts w:ascii="Courier New" w:cs="Courier New" w:eastAsia="Courier New" w:hAnsi="Courier New"/>
          <w:sz w:val="14"/>
          <w:szCs w:val="14"/>
          <w:color w:val="auto"/>
        </w:rPr>
        <w:t>Within the Plastic and Rubber Components Segment, $0.3 million of the increase is related to employee severance. As a percentage of net sales, selling, general and administrative expenses increased from 8.4% during the first nine months of 2003 to 9.9% during the first nine months of 2004.</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Depreciation and Amortization. Depreciation and amortization expenses increased by approximately $1.8 million or 18.0% from $10.1 million for the first nine months of 2003 to $11.9 million for the first nine months of 2004. Principally all of the $1.8 million increase is attributable to the NN Europe Segment. Within the NN Europe Segment, $1.0 million of the increase is related to our May 2, 2003 acquisition of Veenendaal and a full nine months of its results included in 2004 versus five months of its results included in the first nine months of 2003, $0.2 million of the increase is related to capital investments in machinery, equipment and processes and $0.6 million of the increase is related to the impact of foreign currency exchange rates. As a percentage of net sales, depreciation and amortization expense decreased from 5.4% during the first nine months of 2003 to 5.3% during the first nine months of 2004.</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Interest Expense. Interest expense increased by approximately $0.6 million from $2.3 million in the first nine months of 2003 to $2.9 million in the first nine months of 2004. Approximately $0.4 million of the increase is related to increased debt levels due to the May 2003 acquisition of Veenendaal and the May 2003 purchase of the 23% interest in NN Europe held by SKF. Effective with the completion of this transaction, we own 100% of NN Europe. Additionally, approximately $0.2 million of the increase is related to our April 26, 2004 issuance of $40.0 million aggregate principal amount of senior notes in a private placement. These notes bear interest at a fixed rate of 4.89%. See "Liquidity and Capital Resources".</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Net Income. Net income decreased by approximately $0.1 million, or 2.0%, from $7.5 million in the first nine months of 2003 to $7.4 million in the first nine months of 2004. As a percentage of net sales, net income decreased from 4.0% during the first nine months of 2003 to 3.3% during the first nine months of 2004.</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On May 1, 2003 in connection with the purchase of SKF's Veenendaal component manufacturing operations and SKF's 23 percent interest in NN Europe, we entered into a $90 million syndicated credit facility with AmSouth as the administrative agent and Suntrust Bank as the Euro loan agent for the lenders under which we borrowed $60.4 million and 26.3 million Euros ($29.6 million) (the "$90 million credit facility") This financing arrangement replaced our prior credit facility with AmSouth and NN Europe's credit facility with Hypo Vereinsbank Luxembourg, S.A. The credit facility, as originally entered into, consisted of a $30.0 million revolver expiring on March 15, 2005, subsequently extended to March 31, 2006, bearing interest at a floating rate equal to LIBOR (2.02% at September 30, 2004) plus an applicable margin of 1.25 to 2.0, a $30.4 million term loan expiring on May 1, 2008, bearing interest at a floating rate equal to LIBOR (2.02% at September 30, 2004) plus an applicable margin of 1.25 to 2.0 and a</w:t>
      </w:r>
    </w:p>
    <w:p>
      <w:pPr>
        <w:spacing w:after="0" w:line="6"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26.3 million Euro ($29.6 million) term loan expiring on May 1, 2008 which bears interest at a floating rate equal to Euro LIBOR (2.15% at September 30, 2004) plus an applicable margin of 1.25 to 2.0. All amounts owed under the $30.4 million term loan were paid during the second quarter of 2004 with the proceeds from our $40 million notes and we no longer have borrowing capacity under that portion of the $90 million credit facility. The terms of the $30.0 million revolver and the 26.3 million Euro term loan remain unchanged.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credit facility is not collateralized except for the pledge of stock of certain foreign subsidiaries. No event of default had occurred as of September 30, 2004.</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March 23, 2004 we entered into a $2.7 million short-term promissory note ("the $2.7 million note") with AmSouth Bank as the lender. This note bore interest at the prime rate. This agreement was entered into to fund short term operating capital requirements. All amounts owed under this note were paid during the second quarter of 2004 with the proceeds from our $40 million notes. See Note 8 of the Notes to Consolidated Financial Statements.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2" w:right="1440" w:bottom="1440" w:gutter="0" w:footer="0" w:header="0"/>
        </w:sectPr>
      </w:pPr>
    </w:p>
    <w:bookmarkStart w:id="18" w:name="page19"/>
    <w:bookmarkEnd w:id="18"/>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the acquisition of KLF's operations in Slovakia, on September 23, 2003 we entered into a $2.0 million short-term promissory note ("the $2.0 million note") with AmSouth as the lender. This note bore interest at the prime rate. All amounts owed under this note were paid during the second quarter 2004 with the proceeds from our $40 million notes. See Note 8 of the Notes to Consolidated Financial Statements.</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On April 26, 2004 we issued $40.0 million aggregate principal amount of senior notes in a private placement (the "$40 million notes"). These notes bear interest at a fixed rate of 4.89% and mature on April 26, 2014. Interest is paid semi-annually. As of September 30, 2004, $40.0 million remained outstanding. Annual principal payments of approximately $5.7 million begin on April 26, 2008 and extend through the date of maturity. Proceeds from this credit facility were used to repay our existing US dollar denominated term loan, $24 million, and repay a portion of our borrowings under our US dollar denominated revolving credit facility, $13 million, which are both components of our $90 million credit facility, and to repay borrowings remaining under our $2.0 million note and our $2.7 million note of $2 million and $1 million, respectively.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No event of default had occurred as of September 30, 2004. The notes are not collateralized except for the pledge of stock of certain foreign subsidiaries. We incurred $0.7 million of related costs as a result of issuing these notes which have been recorded as a component of other non-current assets and are being amortized over the term of the notes. In connection with the issuance of the $40 million notes, capitalized costs in the amount of approximately $0.3 million associated with structuring of the $90 million credit facility were written off during the three months ended June 30, 2004 and are included as a component of other (income) expense. See Note 8 of the Notes to Consolidated Financial Statements.</w:t>
      </w:r>
    </w:p>
    <w:p>
      <w:pPr>
        <w:spacing w:after="0" w:line="17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arrangements with our domestic customers typically provide that payments are due within 30 days following the date of shipment of goods by us, while arrangements with certain export customers (other than export customers that have entered into an inventory management program with the Company) generally provide that payments are due within either 90 or 120 days following the date of shipment. Our net sales have historically been of a seasonal nature due to our relative percentage of European business coupled with slower European production during the month of August.</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bill and receive payment from some of our customers in Euros as well as other currencies. To date, we have not been materially adversely affected by currency fluctuations. Nonetheless, as a result of these sales, our foreign exchange transaction and translation risk has increased. Various strategies to manage this risk are available to management including producing and selling in local currencies and hedging programs. As of September 30, 2004, no currency hedges were in place. In addition, a strengthening of the U.S. dollar and/or Euro against foreign currencies could impair our ability to compete with international competitors for foreign as well as domestic sales.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Working capital, which consists principally of accounts receivable and inventories, was $34.2 million at September 30, 2004 as compared to $25.7 million at December 31, 2003. The ratio of current assets to current liabilities increased from 1.41:1 at December 31, 2003 to 1.55:1 at September 30, 2004. Cash flow from operations increased to $22.0 million during the first nine months of 2004 from $8.2 million during the first nine months of 2003. Contributing to the improvement in cash flow from operations for the nine months ended September 30, 2004 was a reduction in inventory levels of approximately $3.6 million.</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During 2004, we plan to spend approximately $9.0 million on capital expenditures related primarily to equipment and process upgrades and replacements and approximately $2.5 million principally related to geographic expansion of our manufacturing base. Of these amounts approximately $8.0 million has been spent through September 30, 2004.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and projected capital expenditure requirements through September 2005.</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On October 27, 2004 we completed the sale of our idle warehouse in Kilkenny, Ireland for approximately</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2" w:right="1440" w:bottom="1440" w:gutter="0" w:footer="0" w:header="0"/>
        </w:sectPr>
      </w:pPr>
    </w:p>
    <w:bookmarkStart w:id="19" w:name="page20"/>
    <w:bookmarkEnd w:id="19"/>
    <w:p>
      <w:pPr>
        <w:jc w:val="both"/>
        <w:ind w:right="3339"/>
        <w:spacing w:after="0" w:line="251" w:lineRule="auto"/>
        <w:rPr>
          <w:sz w:val="20"/>
          <w:szCs w:val="20"/>
          <w:color w:val="auto"/>
        </w:rPr>
      </w:pPr>
      <w:r>
        <w:rPr>
          <w:rFonts w:ascii="Courier New" w:cs="Courier New" w:eastAsia="Courier New" w:hAnsi="Courier New"/>
          <w:sz w:val="14"/>
          <w:szCs w:val="14"/>
          <w:color w:val="auto"/>
        </w:rPr>
        <w:t>1.6 million euro ($2.0 million), net of selling costs incurred. As a result of this transaction, we anticipate recording a loss on sale of fixed assets of approximately 0.1 million euro ($0.1 million) during the fourth quarter which will be recorded as a component of Other (income) expense, net. As of December 31, 2003 and September 30, 2004 this asset has been classified as a component of Property, plant and equipment, net. Proceeds received from the sale of this asset will be used to repay a portion of our $90 million credit facility.</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During the fourth quarter of 2004 we anticipate selling our idled land and building assets located in Walterboro, South Carolina in an auction sale. The approximate $1.1 million carrying value of these assets is classified as a component of Property, plant and equipment, net and is based principally upon fair market value appraisals. While the net selling price of these assets is not known, amounts we ultimately recover may differ from the assets carrying value resulting in the recording of a gain or loss. No such amounts have been recorded as of September 30, 2004. Any proceeds received from the sale of these assets will be used to repay a portion of our $90 million credit facility.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March 31, 2004, the FASB issued an Exposure Draft, "Share-Based Payment", that addresses the accounting for share-based payment transactions in which an enterprise receives employee services in exchange for (a) equity instruments of the enterprise or (b) liabilities that are based on the fair value of the enterprise's equity instruments or that may be settled by the issuance of such equity instruments. The proposed Statement would eliminate the ability to account for share-based compensation transactions using APB Opinion No. 25, "Accounting for Stock Issued to Employees", and generally would require instead that such transactions be accounted for using a fair-value method. On October 13, 2004, the FASB announced the final Statement for public companies would be effective for any interim or annual period beginning after June 15, 2005. We are currently evaluating the impacts of this Exposure Draft on the Company's consolidated financial statements.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May 19, 2004, the Financial Accounting Standards Board ("FASB") issued FASB Staff Position (FSP) No. 106-2, "Accounting and Disclosure Requirements Related to the Medicare Prescription Drug, Improvement and Modernization Act of 2003", which supersedes FSP No. 106-1, "Accounting and Disclosure Requirements Related to the Medicare Prescription Drug, Improvement and Modernization Act of 2003," (the Act). FSP No. 106-2 permits a sponsor of a postretirement health care plan that provides a prescription drug benefit to make a one-time election to defer accounting for the effects of the Act until authoritative guidance on accounting for subsidies provided by the Act is issued. The Act introduces a prescription drug benefit under Medicare as well as a federal subsidy to sponsors of retiree health care benefit plans. The Company does not anticipate that the Act will have an effect on the Company's Financial Statements.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December 2003, the FASB issued Financial Interpretation No. 46(R), "Consolidation of Variable Interest Entities," ("FIN 46(R)"). This interpretation addresses consolidation by business enterprises of variable interest entities with certain defined characteristics and replaces Financial Interpretation No. 46. The interpretation was effective January 1, 2004 for variable interest entities existing prior to February 2003. FIN 46(R) did not have a significant impact on the Company's consolidated financial statements.</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 December 2003, the FASB issued SFAS No. 132 (revised 2003), "Employers' Disclosures about Pensions and Other Postretirement Benefits". SFAS No. 132R revises employers' disclosures about pension plans and other postretirement benefit plans. It does not change the measurement or recognition of those plans required by FASB Statements No. 87, "Employers' Accounting for Pensions", No. 88, "Employers' Accounting for Settlements and Curtailments of Defined Benefit Pensions Plans and for Termination Benefits, and No. 106, "Employers' Accounting for Postretirement Benefits Other Than Pensions". SFAS No. 132R requires additional disclosures to those in the original Statement 132 about the assets, obligations, cash flows, and net periodic benefit cost of defined benefit pension plans and other defined benefit postretirement plans. With certain exceptions, principally related to disclosure requirements of foreign plans, SFAS No. 132R is effective for financial statements with fiscal years ending after December 15, 2003. As of September 30, 2004, we have complied with the disclosure requirements of SFAS No. 132R.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78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The Euro</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currently have operations in Italy, Germany, Ireland, and The Netherlands, all of which are Euro participating countries, and sell product to customers in many of the participating countries. The Euro has been adopted as the functional currency at these locations.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 and Fluctuation in Quarterly Results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net sales historically have been of a seasonal nature due to a significant portion of our sales to European customers that cease or significantly slow production during the month of August.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 and Changes in Prices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While the Company's operations have not been materially affected by general inflation during recent years, prices for 52100 Steel and other steel related raw materials have increased significantly during the past twelve months. In the Company's U.S. operations our typical pricing arrangements with steel suppliers are subject to adjustment once every six months. The Company's NN Europe Segment has entered into long-term agreements with its primary steel supplier, which provide for standard terms and conditions, annual unit price adjustments, and quarterly pricing adjustments in the form of scrap surcharges. In both our U.S. and European operations, the steel price increases we have experienced are related to increasing global demand for scrap and other steel related raw materials, principally from China. While we reserve the right to increase product prices periodically in the event of increases in its raw material costs, our current contracts in effect with SKF and INA/FAG call for adjustments in selling prices for raw material inflation to occur in January of the following year. As such, the majority of the inflation we are currently experiencing in raw material pricing will not be passed through until January 2005. For other customers, we are currently in the process of adjusting pricing levels to reflect the increases in steel pricing.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significant accounting policies, including the assumptions and judgments underlying them, are disclosed in the Company's Annual Report on Form 10-K, for the fiscal year ended December 31, 2003 including those policies as discussed in Note 1. These policies, which have not significantly changed since December 31, 2003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Accounts Receivable. Substantially all of the Company's accounts receivable are due primarily from the served markets: bearing manufacturers, automotive industry, electronics, industrial, agricultural and aerospace.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when considered to be uncollectible. While management believes that adequate allowances for doubtful accounts have been provided in the Consolidated Financial Statements, it is possible that the Company could experience additional unexpected credit losses.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Inventories. Inventories are stated at the lower of cost or market. Cost is 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1" w:name="page22"/>
    <w:bookmarkEnd w:id="21"/>
    <w:p>
      <w:pPr>
        <w:jc w:val="both"/>
        <w:ind w:right="3339"/>
        <w:spacing w:after="0" w:line="251" w:lineRule="auto"/>
        <w:rPr>
          <w:sz w:val="20"/>
          <w:szCs w:val="20"/>
          <w:color w:val="auto"/>
        </w:rPr>
      </w:pPr>
      <w:r>
        <w:rPr>
          <w:rFonts w:ascii="Courier New" w:cs="Courier New" w:eastAsia="Courier New" w:hAnsi="Courier New"/>
          <w:sz w:val="14"/>
          <w:szCs w:val="14"/>
          <w:color w:val="auto"/>
        </w:rPr>
        <w:t>Acquisitions and Acquired Intangibles. For new acquisitions, the Company uses 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Impairment of Long-Lived Assets. The Company's long-lived assets include property, plant and equipment. The recoverability of the long-lived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For assets held for sale as of December 31, 2003, appraisals are relied upon to assess the fair market value of those assets. The assets held for sale of $1.8 million as of December 31, 2003 have been reclassified as held for use effective March 31, 2004. The amounts reclassified are carried at fair value which is lower than the carrying amount before the assets were classified as held for sale adjusted for depreciation expense. The reclassification of these assets did not have a material impact to our income from operations, net income or cash flow from operations for the three and nine months ended September 30, 2004. Future adverse changes in market conditions or adverse operating results of the underlying assets could result in the Company having to record additional impairment charges not previously recognized.</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Pension and Post-Retirement Obligations. The Company uses several assumptions in 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 expense and obligations based upon these assumptions and actual employee census data.</w:t>
      </w:r>
    </w:p>
    <w:p>
      <w:pPr>
        <w:spacing w:after="0" w:line="33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Cautionary Statements for Purposes of the "Safe Harbor" Provisions of the Private Securities Litigation Reform Act of 1995</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Statements regarding capital expenditures, future borrowings, and financial commitments are forward-looking statements. Readers can identify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You should carefully consider the following risks and uncertainties, and all other information contained in or incorporated by reference in this quarterly report on Form 10-Q,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demand for our products is cyclical, which could adversely impact our revenues.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2" w:name="page23"/>
    <w:bookmarkEnd w:id="22"/>
    <w:p>
      <w:pPr>
        <w:jc w:val="both"/>
        <w:ind w:right="3339"/>
        <w:spacing w:after="0" w:line="255" w:lineRule="auto"/>
        <w:rPr>
          <w:sz w:val="20"/>
          <w:szCs w:val="20"/>
          <w:color w:val="auto"/>
        </w:rPr>
      </w:pPr>
      <w:r>
        <w:rPr>
          <w:rFonts w:ascii="Courier New" w:cs="Courier New" w:eastAsia="Courier New" w:hAnsi="Courier New"/>
          <w:sz w:val="14"/>
          <w:szCs w:val="14"/>
          <w:color w:val="auto"/>
        </w:rPr>
        <w:t>We depend on a very limited number of foreign sources for our primary raw material and are subject to risks of shortages and price fluctuation.</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We depend heavily on a relatively limited number of customers, and the loss of any major customer would have a material adverse effect on our business.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Sales to various U.S. and foreign divisions of SKF, which is one of the largest bearing manufacturers in the world, accounted for approximately 42% of consolidated net sales in 2003, and sales to INA/FAG accounted for approximately 16% of consolidated net sales in 2003. During 2003, our ten largest customers accounted for approximately 77% of our consolidated net sales. None of our other customers individually accounted for more than 5% of our consolidated net sales for 2003. The loss of all or a substantial portion of sales to these customers would cause us to lose a substantial portion of our revenue and would lower our profit margin and cash flows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3" w:name="page24"/>
    <w:bookmarkEnd w:id="23"/>
    <w:p>
      <w:pPr>
        <w:jc w:val="both"/>
        <w:ind w:right="3339"/>
        <w:spacing w:after="0" w:line="255" w:lineRule="auto"/>
        <w:rPr>
          <w:sz w:val="20"/>
          <w:szCs w:val="20"/>
          <w:color w:val="auto"/>
        </w:rPr>
      </w:pPr>
      <w:r>
        <w:rPr>
          <w:rFonts w:ascii="Courier New" w:cs="Courier New" w:eastAsia="Courier New" w:hAnsi="Courier New"/>
          <w:sz w:val="14"/>
          <w:szCs w:val="14"/>
          <w:color w:val="auto"/>
        </w:rPr>
        <w:t>We operate in and sell products to customers outside the U.S. and are subject to several related risks.</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63" w:lineRule="exact"/>
        <w:rPr>
          <w:sz w:val="20"/>
          <w:szCs w:val="20"/>
          <w:color w:val="auto"/>
        </w:rPr>
      </w:pPr>
    </w:p>
    <w:p>
      <w:pPr>
        <w:ind w:left="860" w:hanging="421"/>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 foreign currency fluctuations;</w:t>
      </w:r>
    </w:p>
    <w:p>
      <w:pPr>
        <w:spacing w:after="0" w:line="172" w:lineRule="exact"/>
        <w:rPr>
          <w:rFonts w:ascii="Courier New" w:cs="Courier New" w:eastAsia="Courier New" w:hAnsi="Courier New"/>
          <w:sz w:val="14"/>
          <w:szCs w:val="14"/>
          <w:color w:val="auto"/>
        </w:rPr>
      </w:pPr>
    </w:p>
    <w:p>
      <w:pPr>
        <w:jc w:val="both"/>
        <w:ind w:left="860" w:right="3339" w:hanging="421"/>
        <w:spacing w:after="0" w:line="252"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trade, monetary and fiscal policies, laws and regulations, and other activities of governments, agencies and similar organizations;</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imposition of trade restrictions or prohibitions;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 tax rates that discourage the repatriation of funds to the U.S.;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imposition of import or other duties or taxes; and</w:t>
      </w:r>
    </w:p>
    <w:p>
      <w:pPr>
        <w:spacing w:after="0" w:line="172"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unstable governments or legal systems in countries in which our suppliers, manufacturing operations, and customers are located.</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could negatively impact our consolidated financial results, which are denominated in U.S. Dollars.</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costs and difficulties of integrating acquired business could impede our future growth.</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We may not be able to continue to make the acquisitions necessary for us to realize our growth strategy.</w:t>
      </w:r>
    </w:p>
    <w:p>
      <w:pPr>
        <w:spacing w:after="0" w:line="160"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NN Europe with our two largest bearing customers, SKF and INA/FAG, in 2000 and acquired our bearing seal operations in 2001. During 2002, we purchased INA/FAG's minority interest in NN Europe and on May 2, 2003 we acquired SKF's minority interest in NN Europe, to become the sole owner at NN Europe. On May 2, 2003 we acquired SKF's tapered roller and metal cage manufacturing operations in Veenendaal, The Netherlands. On October 9, 2003 we acquired the precision ball producing assets of KLF-Gulickaren in Kysucke Nove Mesto, Slovakia.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782" w:right="1440" w:bottom="1440" w:gutter="0" w:footer="0" w:header="0"/>
        </w:sectPr>
      </w:pPr>
    </w:p>
    <w:bookmarkStart w:id="24" w:name="page25"/>
    <w:bookmarkEnd w:id="24"/>
    <w:p>
      <w:pPr>
        <w:jc w:val="both"/>
        <w:ind w:right="3339"/>
        <w:spacing w:after="0" w:line="255" w:lineRule="auto"/>
        <w:rPr>
          <w:sz w:val="20"/>
          <w:szCs w:val="20"/>
          <w:color w:val="auto"/>
        </w:rPr>
      </w:pPr>
      <w:r>
        <w:rPr>
          <w:rFonts w:ascii="Courier New" w:cs="Courier New" w:eastAsia="Courier New" w:hAnsi="Courier New"/>
          <w:sz w:val="14"/>
          <w:szCs w:val="14"/>
          <w:color w:val="auto"/>
        </w:rPr>
        <w:t>Our growth strategy depends on outsourcing, and if the industry trend toward outsourcing does not continue, our business could be adversely affected.</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33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Our market is highly competitive and many of our competitors have significant advantages that could adversely affect our business.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production capacity we have added over the last several years has at times resulted in our having more capacity than we need, causing our operating costs to be higher than expected.</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expanded our ball and roller production facilities and capacity over the last several years. During 1997, we built an additional manufacturing plant in Kilkenny, Ireland, and we continued this expansion in 2000 through the formation of NN Europe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price of our common stock may be volatile.</w:t>
      </w:r>
    </w:p>
    <w:p>
      <w:pPr>
        <w:spacing w:after="0" w:line="173" w:lineRule="exact"/>
        <w:rPr>
          <w:sz w:val="20"/>
          <w:szCs w:val="20"/>
          <w:color w:val="auto"/>
        </w:rPr>
      </w:pPr>
    </w:p>
    <w:p>
      <w:pPr>
        <w:jc w:val="both"/>
        <w:ind w:right="3339"/>
        <w:spacing w:after="0" w:line="257" w:lineRule="auto"/>
        <w:rPr>
          <w:sz w:val="20"/>
          <w:szCs w:val="20"/>
          <w:color w:val="auto"/>
        </w:rPr>
      </w:pPr>
      <w:r>
        <w:rPr>
          <w:rFonts w:ascii="Courier New" w:cs="Courier New" w:eastAsia="Courier New" w:hAnsi="Courier New"/>
          <w:sz w:val="14"/>
          <w:szCs w:val="14"/>
          <w:color w:val="auto"/>
        </w:rPr>
        <w:t>The market price of our common stock could be subject to significant fluctuations and may decline. Among the factors that could affect our stock price are:</w:t>
      </w:r>
    </w:p>
    <w:p>
      <w:pPr>
        <w:spacing w:after="0" w:line="323" w:lineRule="exact"/>
        <w:rPr>
          <w:sz w:val="20"/>
          <w:szCs w:val="20"/>
          <w:color w:val="auto"/>
        </w:rPr>
      </w:pPr>
    </w:p>
    <w:p>
      <w:pPr>
        <w:ind w:left="860" w:hanging="421"/>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operating and financial performance and prospects;</w:t>
      </w:r>
    </w:p>
    <w:p>
      <w:pPr>
        <w:spacing w:after="0" w:line="172"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variations in the rate of growth of our financial indicators, such as earnings per share, net income and revenues;</w:t>
      </w:r>
    </w:p>
    <w:p>
      <w:pPr>
        <w:spacing w:after="0" w:line="159"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revenue or earnings estimates or publication of research reports by analysts;</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of any member of our senior management team;</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speculation in the press or investment community;</w:t>
      </w:r>
    </w:p>
    <w:p>
      <w:pPr>
        <w:spacing w:after="0" w:line="172"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actions by us or our competitors, such as acquisitions or restructurings;</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our common stock by stockholders;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market conditions; and</w:t>
      </w:r>
    </w:p>
    <w:p>
      <w:pPr>
        <w:spacing w:after="0" w:line="172"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and international economic, legal and regulatory factors unrelated to our performance.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782" w:right="1440" w:bottom="1440" w:gutter="0" w:footer="0" w:header="0"/>
        </w:sectPr>
      </w:pPr>
    </w:p>
    <w:bookmarkStart w:id="25" w:name="page26"/>
    <w:bookmarkEnd w:id="25"/>
    <w:p>
      <w:pPr>
        <w:jc w:val="both"/>
        <w:ind w:right="3339"/>
        <w:spacing w:after="0" w:line="252" w:lineRule="auto"/>
        <w:rPr>
          <w:sz w:val="20"/>
          <w:szCs w:val="20"/>
          <w:color w:val="auto"/>
        </w:rPr>
      </w:pPr>
      <w:r>
        <w:rPr>
          <w:rFonts w:ascii="Courier New" w:cs="Courier New" w:eastAsia="Courier New" w:hAnsi="Courier New"/>
          <w:sz w:val="14"/>
          <w:szCs w:val="14"/>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Provisions in our charter documents and Delaware law may inhibit a takeover, which could adversely affect the value of our common stock.</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Quantitative and Qualitative Disclosures About Market Risk</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September 30, 2004, we had $14.4 million outstanding under the domestic credit facilities, $40.0 million aggregate principal amount of senior notes outstanding and NN Europe had 18.4 million Euro ($22.8 million) outstanding under the Euro term loan. See Note 8 of the Notes to Consolidated Financial Statements. At September 30, 2004, a one-percent increase in the interest rate charged on our outstanding borrowings under our credit facilities, that are subject to variable interest rates, would result in interest expense increasing annually by approximately $0.4 million. In connection with a variable EURIBOR rate debt financing in July 2000 our majority owned subsidiary, NN Europe entered into an interest rate swap with a notional amount of Euro 12.5 million for the purpose of fixing the interest rate on a portion of their debt financing. The interest rate swap provides for us to receive variable Euribor interest payments and pay 5.51% fixed interest. The interest rate swap agreement expires in July 2006 and the notional amount amortizes in relation to principal payments on the underlying debt over the life of the swap. This original debt was repaid in May 2003, however, the swap remains pursuant to its original terms. On May 1, 2003, we entered into the $90 million credit facility. This new financing arrangement replaces our prior credit facility with AmSouth and NN Europe's credit facility with Hypo Vereinsbank Luxembourg, S.A. On April 26, 2004, we issued $40.0 million of aggregate principal amounts of senior notes in a private placement, replacing a portion of our $90 million credit facility, see "Management's Discussion and Analysis of Financial Condition and Results of Operations - Liquidity and Capital Resources". The nature and amount of our borrowings may vary as a result of future business requirements, market conditions and other factors.</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782" w:right="1440" w:bottom="1440" w:gutter="0" w:footer="0" w:header="0"/>
        </w:sectPr>
      </w:pPr>
    </w:p>
    <w:bookmarkStart w:id="26" w:name="page27"/>
    <w:bookmarkEnd w:id="26"/>
    <w:p>
      <w:pPr>
        <w:jc w:val="both"/>
        <w:ind w:right="3339"/>
        <w:spacing w:after="0" w:line="251" w:lineRule="auto"/>
        <w:rPr>
          <w:sz w:val="20"/>
          <w:szCs w:val="20"/>
          <w:color w:val="auto"/>
        </w:rPr>
      </w:pPr>
      <w:r>
        <w:rPr>
          <w:rFonts w:ascii="Courier New" w:cs="Courier New" w:eastAsia="Courier New" w:hAnsi="Courier New"/>
          <w:sz w:val="14"/>
          <w:szCs w:val="14"/>
          <w:color w:val="auto"/>
        </w:rPr>
        <w:t>Translation of our operating cash flows denominated in foreign currencies is impacted by changes in foreign exchange rates. Our NN Europe Segment, bills and receives payments from some of its foreign customers in their own currency. To date, we have not been materially adversely affected by currency fluctuations of foreign exchange restrictions. However, to help reduce exposure to foreign currency fluctuation, management has incurred debt in Euros and has periodically used foreign currency hedges. These currency hedging programs allow management to hedge currency exposures when these exposures meet certain discretionary levels. We did not hold a position in any foreign currency hedging instruments as of September 30, 2004.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Controls and Procedures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of September 30, 2004,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Exchange Act filings.</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There have been no changes in this fiscal quarter in the Company's internal control over financial reporting or in other factors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78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Part II. Other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Legal Proceedings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Change in Securities and Use of Proceeds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Defaults Upon Senior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Other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Exhibits and Reports on Form 8-K.</w:t>
      </w:r>
    </w:p>
    <w:p>
      <w:pPr>
        <w:spacing w:after="0" w:line="173" w:lineRule="exact"/>
        <w:rPr>
          <w:sz w:val="20"/>
          <w:szCs w:val="20"/>
          <w:color w:val="auto"/>
        </w:rPr>
      </w:pPr>
    </w:p>
    <w:p>
      <w:pPr>
        <w:ind w:left="860" w:hanging="421"/>
        <w:spacing w:after="0"/>
        <w:tabs>
          <w:tab w:leader="none" w:pos="8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Required by Item 601 of Regulation S-K</w:t>
      </w:r>
    </w:p>
    <w:p>
      <w:pPr>
        <w:spacing w:after="0" w:line="172" w:lineRule="exact"/>
        <w:rPr>
          <w:rFonts w:ascii="Courier New" w:cs="Courier New" w:eastAsia="Courier New" w:hAnsi="Courier New"/>
          <w:sz w:val="14"/>
          <w:szCs w:val="14"/>
          <w:color w:val="auto"/>
        </w:rPr>
      </w:pPr>
    </w:p>
    <w:p>
      <w:pPr>
        <w:ind w:left="1300" w:right="3339" w:hanging="43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31.1 Certification of Chief Executive Officer pursuant to Section 302 of Sarbanes-Oxley Act.</w:t>
      </w:r>
    </w:p>
    <w:p>
      <w:pPr>
        <w:spacing w:after="0" w:line="159" w:lineRule="exact"/>
        <w:rPr>
          <w:rFonts w:ascii="Courier New" w:cs="Courier New" w:eastAsia="Courier New" w:hAnsi="Courier New"/>
          <w:sz w:val="14"/>
          <w:szCs w:val="14"/>
          <w:color w:val="auto"/>
        </w:rPr>
      </w:pPr>
    </w:p>
    <w:p>
      <w:pPr>
        <w:ind w:left="1300" w:right="3339" w:hanging="43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31.2 Certification of Chief Financial Officer pursuant to Section 302 of Sarbanes-Oxley Act.</w:t>
      </w:r>
    </w:p>
    <w:p>
      <w:pPr>
        <w:spacing w:after="0" w:line="159" w:lineRule="exact"/>
        <w:rPr>
          <w:rFonts w:ascii="Courier New" w:cs="Courier New" w:eastAsia="Courier New" w:hAnsi="Courier New"/>
          <w:sz w:val="14"/>
          <w:szCs w:val="14"/>
          <w:color w:val="auto"/>
        </w:rPr>
      </w:pPr>
    </w:p>
    <w:p>
      <w:pPr>
        <w:ind w:left="1300" w:right="3339" w:hanging="43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32.1 Certification of Chief Executive Officer pursuant to Section 906 of Sarbanes-Oxley Act.</w:t>
      </w:r>
    </w:p>
    <w:p>
      <w:pPr>
        <w:spacing w:after="0" w:line="160" w:lineRule="exact"/>
        <w:rPr>
          <w:sz w:val="20"/>
          <w:szCs w:val="20"/>
          <w:color w:val="auto"/>
        </w:rPr>
      </w:pPr>
    </w:p>
    <w:p>
      <w:pPr>
        <w:ind w:left="1300" w:right="3339" w:hanging="430"/>
        <w:spacing w:after="0" w:line="247" w:lineRule="auto"/>
        <w:rPr>
          <w:sz w:val="20"/>
          <w:szCs w:val="20"/>
          <w:color w:val="auto"/>
        </w:rPr>
      </w:pPr>
      <w:r>
        <w:rPr>
          <w:rFonts w:ascii="Courier New" w:cs="Courier New" w:eastAsia="Courier New" w:hAnsi="Courier New"/>
          <w:sz w:val="14"/>
          <w:szCs w:val="14"/>
          <w:color w:val="auto"/>
        </w:rPr>
        <w:t>32.2 Certification of Chief Financial</w:t>
      </w:r>
      <w:r>
        <w:rPr>
          <w:sz w:val="20"/>
          <w:szCs w:val="20"/>
          <w:color w:val="auto"/>
        </w:rPr>
        <w:t xml:space="preserve"> </w:t>
      </w:r>
      <w:r>
        <w:rPr>
          <w:rFonts w:ascii="Courier New" w:cs="Courier New" w:eastAsia="Courier New" w:hAnsi="Courier New"/>
          <w:sz w:val="14"/>
          <w:szCs w:val="14"/>
          <w:color w:val="auto"/>
        </w:rPr>
        <w:t>Officer pursuant to Section 906 of Sarbanes-Oxley Act.</w:t>
      </w:r>
    </w:p>
    <w:p>
      <w:pPr>
        <w:spacing w:after="0" w:line="33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Company furnished a Form 8-K, in response to Item 5, on July 9, 2004 announcing its expected date of release of second quarter 2004 financial results and conference call, and that increased Sarbanes-Oxley compliance costs and additional inventory reduction would impact results for the second quarter and full year.</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Company furnished a Form 8-K, in response to Items 5 and 7, on July 29, 2004 announcing its financial results for the second quarter ended June 30,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799"/>
          </w:cols>
          <w:pgMar w:left="660" w:top="616" w:right="1440" w:bottom="1440" w:gutter="0" w:footer="0" w:header="0"/>
        </w:sectPr>
      </w:pPr>
    </w:p>
    <w:bookmarkStart w:id="29" w:name="page30"/>
    <w:bookmarkEnd w:id="29"/>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782"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9,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Roderick R. Baty,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Chairman, President and</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(Duly Authorized Officer)</w:t>
      </w:r>
    </w:p>
    <w:p>
      <w:pPr>
        <w:spacing w:after="0" w:line="200" w:lineRule="exact"/>
        <w:rPr>
          <w:sz w:val="20"/>
          <w:szCs w:val="20"/>
          <w:color w:val="auto"/>
        </w:rPr>
      </w:pPr>
    </w:p>
    <w:p>
      <w:pPr>
        <w:sectPr>
          <w:pgSz w:w="11900" w:h="16838" w:orient="portrait"/>
          <w:cols w:equalWidth="0" w:num="3">
            <w:col w:w="440" w:space="340"/>
            <w:col w:w="1960" w:space="720"/>
            <w:col w:w="6779"/>
          </w:cols>
          <w:pgMar w:left="220" w:top="782"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9,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David L. Dyckman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Vice President-Corporate Development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(Principal Financial Officer)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(Duly Authorized Officer)</w:t>
      </w:r>
    </w:p>
    <w:p>
      <w:pPr>
        <w:spacing w:after="0" w:line="200" w:lineRule="exact"/>
        <w:rPr>
          <w:sz w:val="20"/>
          <w:szCs w:val="20"/>
          <w:color w:val="auto"/>
        </w:rPr>
      </w:pPr>
    </w:p>
    <w:p>
      <w:pPr>
        <w:sectPr>
          <w:pgSz w:w="11900" w:h="16838" w:orient="portrait"/>
          <w:cols w:equalWidth="0" w:num="3">
            <w:col w:w="440" w:space="340"/>
            <w:col w:w="1960" w:space="720"/>
            <w:col w:w="6779"/>
          </w:cols>
          <w:pgMar w:left="220" w:top="782"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9,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William C. Kelly,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William C. Kelly, Jr.,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Treasurer, Secretary and</w:t>
      </w:r>
    </w:p>
    <w:p>
      <w:pPr>
        <w:spacing w:after="0" w:line="7" w:lineRule="exact"/>
        <w:rPr>
          <w:sz w:val="20"/>
          <w:szCs w:val="20"/>
          <w:color w:val="auto"/>
        </w:rPr>
      </w:pPr>
    </w:p>
    <w:p>
      <w:pPr>
        <w:sectPr>
          <w:pgSz w:w="11900" w:h="16838" w:orient="portrait"/>
          <w:cols w:equalWidth="0" w:num="3">
            <w:col w:w="440" w:space="340"/>
            <w:col w:w="1860" w:space="720"/>
            <w:col w:w="6879"/>
          </w:cols>
          <w:pgMar w:left="220" w:top="782"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4"/>
          <w:szCs w:val="14"/>
          <w:color w:val="auto"/>
        </w:rPr>
        <w:t>Chief Administrative Officer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(Duly Authorized Officer)</w:t>
      </w:r>
    </w:p>
    <w:p>
      <w:pPr>
        <w:sectPr>
          <w:pgSz w:w="11900" w:h="16838" w:orient="portrait"/>
          <w:cols w:equalWidth="0" w:num="1">
            <w:col w:w="10239"/>
          </w:cols>
          <w:pgMar w:left="220" w:top="782" w:right="1440" w:bottom="1440" w:gutter="0" w:footer="0" w:header="0"/>
          <w:type w:val="continuous"/>
        </w:sectPr>
      </w:pPr>
    </w:p>
    <w:bookmarkStart w:id="30" w:name="page31"/>
    <w:bookmarkEnd w:id="30"/>
    <w:p>
      <w:pPr>
        <w:jc w:val="right"/>
        <w:ind w:right="3339"/>
        <w:spacing w:after="0"/>
        <w:rPr>
          <w:sz w:val="20"/>
          <w:szCs w:val="20"/>
          <w:color w:val="auto"/>
        </w:rPr>
      </w:pPr>
      <w:r>
        <w:rPr>
          <w:rFonts w:ascii="Courier New" w:cs="Courier New" w:eastAsia="Courier New" w:hAnsi="Courier New"/>
          <w:sz w:val="14"/>
          <w:szCs w:val="14"/>
          <w:color w:val="auto"/>
        </w:rPr>
        <w:t>Exhibit 31.1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CERTIFICATIONS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Roderick R. Baty, certify that:</w:t>
      </w:r>
    </w:p>
    <w:p>
      <w:pPr>
        <w:spacing w:after="0" w:line="173" w:lineRule="exact"/>
        <w:rPr>
          <w:sz w:val="20"/>
          <w:szCs w:val="20"/>
          <w:color w:val="auto"/>
        </w:rPr>
      </w:pPr>
    </w:p>
    <w:p>
      <w:pPr>
        <w:ind w:left="440" w:hanging="432"/>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NN, Inc.;</w:t>
      </w:r>
    </w:p>
    <w:p>
      <w:pPr>
        <w:spacing w:after="0" w:line="172"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Courier New" w:cs="Courier New" w:eastAsia="Courier New" w:hAnsi="Courier New"/>
          <w:sz w:val="14"/>
          <w:szCs w:val="14"/>
          <w:color w:val="auto"/>
        </w:rPr>
      </w:pPr>
    </w:p>
    <w:p>
      <w:pPr>
        <w:jc w:val="both"/>
        <w:ind w:left="860" w:right="3339" w:hanging="421"/>
        <w:spacing w:after="0" w:line="251" w:lineRule="auto"/>
        <w:tabs>
          <w:tab w:leader="none" w:pos="86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860" w:right="3339" w:hanging="421"/>
        <w:spacing w:after="0" w:line="252" w:lineRule="auto"/>
        <w:tabs>
          <w:tab w:leader="none" w:pos="86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860" w:right="3339" w:hanging="421"/>
        <w:spacing w:after="0" w:line="251" w:lineRule="auto"/>
        <w:tabs>
          <w:tab w:leader="none" w:pos="86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860" w:right="3339" w:hanging="421"/>
        <w:spacing w:after="0" w:line="252" w:lineRule="auto"/>
        <w:tabs>
          <w:tab w:leader="none" w:pos="86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860" w:right="3339" w:hanging="421"/>
        <w:spacing w:after="0" w:line="252" w:lineRule="auto"/>
        <w:tabs>
          <w:tab w:leader="none" w:pos="86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November 9, 2004</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 Roderick R. Baty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Roderick R. Baty</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Chairman, President and</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1">
            <w:col w:w="10239"/>
          </w:cols>
          <w:pgMar w:left="220" w:top="141" w:right="1440" w:bottom="1440" w:gutter="0" w:footer="0" w:header="0"/>
        </w:sectPr>
      </w:pPr>
    </w:p>
    <w:bookmarkStart w:id="31" w:name="page32"/>
    <w:bookmarkEnd w:id="31"/>
    <w:p>
      <w:pPr>
        <w:jc w:val="right"/>
        <w:ind w:right="3339"/>
        <w:spacing w:after="0"/>
        <w:rPr>
          <w:sz w:val="20"/>
          <w:szCs w:val="20"/>
          <w:color w:val="auto"/>
        </w:rPr>
      </w:pPr>
      <w:r>
        <w:rPr>
          <w:rFonts w:ascii="Courier New" w:cs="Courier New" w:eastAsia="Courier New" w:hAnsi="Courier New"/>
          <w:sz w:val="14"/>
          <w:szCs w:val="14"/>
          <w:color w:val="auto"/>
        </w:rPr>
        <w:t>Exhibit 31.2</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CERTIFICATIONS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David L. Dyckman, certify that:</w:t>
      </w:r>
    </w:p>
    <w:p>
      <w:pPr>
        <w:spacing w:after="0" w:line="173" w:lineRule="exact"/>
        <w:rPr>
          <w:sz w:val="20"/>
          <w:szCs w:val="20"/>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NN, Inc.;</w:t>
      </w:r>
    </w:p>
    <w:p>
      <w:pPr>
        <w:spacing w:after="0" w:line="172"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Courier New" w:cs="Courier New" w:eastAsia="Courier New" w:hAnsi="Courier New"/>
          <w:sz w:val="14"/>
          <w:szCs w:val="14"/>
          <w:color w:val="auto"/>
        </w:rPr>
      </w:pPr>
    </w:p>
    <w:p>
      <w:pPr>
        <w:jc w:val="both"/>
        <w:ind w:left="860" w:right="3339" w:hanging="421"/>
        <w:spacing w:after="0" w:line="251" w:lineRule="auto"/>
        <w:tabs>
          <w:tab w:leader="none" w:pos="86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860" w:right="3339" w:hanging="421"/>
        <w:spacing w:after="0" w:line="252" w:lineRule="auto"/>
        <w:tabs>
          <w:tab w:leader="none" w:pos="86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860" w:right="3339" w:hanging="421"/>
        <w:spacing w:after="0" w:line="251" w:lineRule="auto"/>
        <w:tabs>
          <w:tab w:leader="none" w:pos="86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860" w:right="3339" w:hanging="421"/>
        <w:spacing w:after="0" w:line="252" w:lineRule="auto"/>
        <w:tabs>
          <w:tab w:leader="none" w:pos="86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860" w:right="3339" w:hanging="421"/>
        <w:spacing w:after="0" w:line="252" w:lineRule="auto"/>
        <w:tabs>
          <w:tab w:leader="none" w:pos="86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141" w:right="1440" w:bottom="1440" w:gutter="0" w:footer="0" w:header="0"/>
        </w:sectPr>
      </w:pPr>
    </w:p>
    <w:p>
      <w:pPr>
        <w:spacing w:after="0" w:line="163" w:lineRule="exact"/>
        <w:rPr>
          <w:sz w:val="20"/>
          <w:szCs w:val="20"/>
          <w:color w:val="auto"/>
        </w:rPr>
      </w:pPr>
    </w:p>
    <w:p>
      <w:pPr>
        <w:jc w:val="both"/>
        <w:ind w:left="520" w:right="840" w:hanging="519"/>
        <w:spacing w:after="0" w:line="255" w:lineRule="auto"/>
        <w:tabs>
          <w:tab w:leader="none" w:pos="500" w:val="left"/>
        </w:tabs>
        <w:rPr>
          <w:sz w:val="20"/>
          <w:szCs w:val="20"/>
          <w:color w:val="auto"/>
        </w:rPr>
      </w:pPr>
      <w:r>
        <w:rPr>
          <w:rFonts w:ascii="Courier New" w:cs="Courier New" w:eastAsia="Courier New" w:hAnsi="Courier New"/>
          <w:sz w:val="14"/>
          <w:szCs w:val="14"/>
          <w:color w:val="auto"/>
        </w:rPr>
        <w:t>Date:</w:t>
        <w:tab/>
        <w:t>November 9, 2004 ----------------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L. Dyckman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David L. Dyckman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2">
            <w:col w:w="2740" w:space="720"/>
            <w:col w:w="6779"/>
          </w:cols>
          <w:pgMar w:left="220" w:top="141" w:right="1440" w:bottom="1440" w:gutter="0" w:footer="0" w:header="0"/>
          <w:type w:val="continuous"/>
        </w:sectPr>
      </w:pPr>
    </w:p>
    <w:bookmarkStart w:id="32" w:name="page33"/>
    <w:bookmarkEnd w:id="32"/>
    <w:p>
      <w:pPr>
        <w:jc w:val="right"/>
        <w:ind w:right="3339"/>
        <w:spacing w:after="0"/>
        <w:rPr>
          <w:sz w:val="20"/>
          <w:szCs w:val="20"/>
          <w:color w:val="auto"/>
        </w:rPr>
      </w:pPr>
      <w:r>
        <w:rPr>
          <w:rFonts w:ascii="Courier New" w:cs="Courier New" w:eastAsia="Courier New" w:hAnsi="Courier New"/>
          <w:sz w:val="14"/>
          <w:szCs w:val="14"/>
          <w:color w:val="auto"/>
        </w:rPr>
        <w:t>Exhibit 32.1</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CERTIFICATION OF CHIEF EXECUTIVE OFFICER PURSUANT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TO SECTION 906 OF THE SARBANES-OXLEY ACT OF 2002</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the Quarterly Report of NN, Inc. (the "Company") on Form 10-Q for the interim period ended September 30, 2004, as filed with the Securities and Exchange Commission on the date hereof (the "Report"), the undersigned, in the capacity and date indicated below, hereby certifies pursuant to 18 U.S.C. ss.1350, as adopted pursuant to Section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141"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9,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Roderick R. Baty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Roderick R. Baty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Chairman, President and Chief</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Executive Officer</w:t>
      </w:r>
    </w:p>
    <w:p>
      <w:pPr>
        <w:spacing w:after="0" w:line="200" w:lineRule="exact"/>
        <w:rPr>
          <w:sz w:val="20"/>
          <w:szCs w:val="20"/>
          <w:color w:val="auto"/>
        </w:rPr>
      </w:pPr>
    </w:p>
    <w:p>
      <w:pPr>
        <w:sectPr>
          <w:pgSz w:w="11900" w:h="16838" w:orient="portrait"/>
          <w:cols w:equalWidth="0" w:num="3">
            <w:col w:w="440" w:space="180"/>
            <w:col w:w="2380" w:space="720"/>
            <w:col w:w="6519"/>
          </w:cols>
          <w:pgMar w:left="220" w:top="141" w:right="1440" w:bottom="1440" w:gutter="0" w:footer="0" w:header="0"/>
          <w:type w:val="continuous"/>
        </w:sectPr>
      </w:pPr>
    </w:p>
    <w:p>
      <w:pPr>
        <w:spacing w:after="0" w:line="1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0239"/>
          </w:cols>
          <w:pgMar w:left="220" w:top="141" w:right="1440" w:bottom="1440" w:gutter="0" w:footer="0" w:header="0"/>
          <w:type w:val="continuous"/>
        </w:sectPr>
      </w:pPr>
    </w:p>
    <w:bookmarkStart w:id="33" w:name="page34"/>
    <w:bookmarkEnd w:id="33"/>
    <w:p>
      <w:pPr>
        <w:jc w:val="right"/>
        <w:ind w:right="3339"/>
        <w:spacing w:after="0"/>
        <w:rPr>
          <w:sz w:val="20"/>
          <w:szCs w:val="20"/>
          <w:color w:val="auto"/>
        </w:rPr>
      </w:pPr>
      <w:r>
        <w:rPr>
          <w:rFonts w:ascii="Courier New" w:cs="Courier New" w:eastAsia="Courier New" w:hAnsi="Courier New"/>
          <w:sz w:val="14"/>
          <w:szCs w:val="14"/>
          <w:color w:val="auto"/>
        </w:rPr>
        <w:t>Exhibit 32.2</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CERTIFICATION OF CHIEF FINANCIAL OFFICER PURSUANT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TO SECTION 906 OF THE SARBANES-OXLEY ACT OF 2002</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the Quarterly Report of NN, Inc. (the "Company") on Form 10-Q for the interim period ended September 30, 2004, as filed with the Securities and Exchange Commission on the date hereof (the "Report"), the undersigned, in the capacity and date indicated below, hereby certifies pursuant to 18 U.S.C. ss.1350, as adopted pursuant to Section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141"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9,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L. Dyckman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David L. Dyckman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sectPr>
          <w:pgSz w:w="11900" w:h="16838" w:orient="portrait"/>
          <w:cols w:equalWidth="0" w:num="3">
            <w:col w:w="440" w:space="180"/>
            <w:col w:w="2200" w:space="720"/>
            <w:col w:w="6699"/>
          </w:cols>
          <w:pgMar w:left="220" w:top="141" w:right="1440" w:bottom="1440" w:gutter="0" w:footer="0" w:header="0"/>
          <w:type w:val="continuous"/>
        </w:sectPr>
      </w:pPr>
    </w:p>
    <w:p>
      <w:pPr>
        <w:jc w:val="both"/>
        <w:ind w:right="3339"/>
        <w:spacing w:after="0" w:line="252"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0239"/>
      </w:cols>
      <w:pgMar w:left="22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o"/>
      <w:numFmt w:val="bullet"/>
      <w:start w:val="1"/>
    </w:lvl>
  </w:abstractNum>
  <w:abstractNum w:abstractNumId="3">
    <w:nsid w:val="7545E146"/>
    <w:multiLevelType w:val="hybridMultilevel"/>
    <w:lvl w:ilvl="0">
      <w:lvlJc w:val="left"/>
      <w:lvlText w:val="o"/>
      <w:numFmt w:val="bullet"/>
      <w:start w:val="1"/>
    </w:lvl>
  </w:abstractNum>
  <w:abstractNum w:abstractNumId="4">
    <w:nsid w:val="515F007C"/>
    <w:multiLevelType w:val="hybridMultilevel"/>
    <w:lvl w:ilvl="0">
      <w:lvlJc w:val="left"/>
      <w:lvlText w:val="o"/>
      <w:numFmt w:val="bullet"/>
      <w:start w:val="1"/>
    </w:lvl>
  </w:abstractNum>
  <w:abstractNum w:abstractNumId="5">
    <w:nsid w:val="5BD062C2"/>
    <w:multiLevelType w:val="hybridMultilevel"/>
    <w:lvl w:ilvl="0">
      <w:lvlJc w:val="left"/>
      <w:lvlText w:val="o"/>
      <w:numFmt w:val="bullet"/>
      <w:start w:val="1"/>
    </w:lvl>
  </w:abstractNum>
  <w:abstractNum w:abstractNumId="6">
    <w:nsid w:val="12200854"/>
    <w:multiLevelType w:val="hybridMultilevel"/>
    <w:lvl w:ilvl="0">
      <w:lvlJc w:val="left"/>
      <w:lvlText w:val="o"/>
      <w:numFmt w:val="bullet"/>
      <w:start w:val="1"/>
    </w:lvl>
  </w:abstractNum>
  <w:abstractNum w:abstractNumId="7">
    <w:nsid w:val="4DB127F8"/>
    <w:multiLevelType w:val="hybridMultilevel"/>
    <w:lvl w:ilvl="0">
      <w:lvlJc w:val="left"/>
      <w:lvlText w:val="o"/>
      <w:numFmt w:val="bullet"/>
      <w:start w:val="1"/>
    </w:lvl>
  </w:abstractNum>
  <w:abstractNum w:abstractNumId="8">
    <w:nsid w:val="216231B"/>
    <w:multiLevelType w:val="hybridMultilevel"/>
    <w:lvl w:ilvl="0">
      <w:lvlJc w:val="left"/>
      <w:lvlText w:val="o"/>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2019-12-12T11:25:36Z</dcterms:created>
  <dcterms:modified xsi:type="dcterms:W3CDTF">2019-12-12T11:25:36Z</dcterms:modified>
</cp:coreProperties>
</file>