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152400</wp:posOffset>
            </wp:positionH>
            <wp:positionV relativeFrom="page">
              <wp:posOffset>406400</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Washington, DC 20549</w:t>
      </w:r>
    </w:p>
    <w:p>
      <w:pPr>
        <w:spacing w:after="0" w:line="185" w:lineRule="exact"/>
        <w:rPr>
          <w:sz w:val="24"/>
          <w:szCs w:val="24"/>
          <w:color w:val="auto"/>
        </w:rPr>
      </w:pPr>
    </w:p>
    <w:p>
      <w:pPr>
        <w:jc w:val="center"/>
        <w:ind w:right="-119"/>
        <w:spacing w:after="0"/>
        <w:rPr>
          <w:sz w:val="20"/>
          <w:szCs w:val="20"/>
          <w:color w:val="auto"/>
        </w:rPr>
      </w:pPr>
      <w:r>
        <w:rPr>
          <w:rFonts w:ascii="Arial" w:cs="Arial" w:eastAsia="Arial" w:hAnsi="Arial"/>
          <w:sz w:val="31"/>
          <w:szCs w:val="31"/>
          <w:b w:val="1"/>
          <w:bCs w:val="1"/>
          <w:color w:val="auto"/>
        </w:rPr>
        <w:t>FORM 8-K</w:t>
      </w:r>
    </w:p>
    <w:p>
      <w:pPr>
        <w:spacing w:after="0" w:line="251"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auto"/>
        </w:rPr>
        <w:t>CURRENT REPORT</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auto"/>
        </w:rPr>
        <w:t>PURSUANT TO SECTION 13 OR 15(d) OF THE SECURITIES EXCHANGE ACT OF 1934</w:t>
      </w:r>
    </w:p>
    <w:p>
      <w:pPr>
        <w:spacing w:after="0" w:line="240"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Date of Report (Date of earliest event reported): November 5,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3362325</wp:posOffset>
            </wp:positionH>
            <wp:positionV relativeFrom="paragraph">
              <wp:posOffset>158750</wp:posOffset>
            </wp:positionV>
            <wp:extent cx="541020" cy="532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1020" cy="532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79"/>
        <w:spacing w:after="0"/>
        <w:rPr>
          <w:sz w:val="20"/>
          <w:szCs w:val="20"/>
          <w:color w:val="auto"/>
        </w:rPr>
      </w:pPr>
      <w:r>
        <w:rPr>
          <w:rFonts w:ascii="Arial" w:cs="Arial" w:eastAsia="Arial" w:hAnsi="Arial"/>
          <w:sz w:val="41"/>
          <w:szCs w:val="41"/>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7268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845" cy="8255"/>
                    </a:xfrm>
                    <a:prstGeom prst="rect">
                      <a:avLst/>
                    </a:prstGeom>
                    <a:noFill/>
                  </pic:spPr>
                </pic:pic>
              </a:graphicData>
            </a:graphic>
          </wp:anchor>
        </w:drawing>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1"/>
          <w:szCs w:val="21"/>
          <w:color w:val="auto"/>
        </w:rPr>
        <w:t>(Exact name of registrant as specified in its charter)</w:t>
      </w:r>
    </w:p>
    <w:p>
      <w:pPr>
        <w:spacing w:after="0" w:line="200" w:lineRule="exact"/>
        <w:rPr>
          <w:sz w:val="24"/>
          <w:szCs w:val="24"/>
          <w:color w:val="auto"/>
        </w:rPr>
      </w:pPr>
    </w:p>
    <w:p>
      <w:pPr>
        <w:spacing w:after="0" w:line="258" w:lineRule="exact"/>
        <w:rPr>
          <w:sz w:val="24"/>
          <w:szCs w:val="24"/>
          <w:color w:val="auto"/>
        </w:rPr>
      </w:pPr>
    </w:p>
    <w:tbl>
      <w:tblPr>
        <w:tblLayout w:type="fixed"/>
        <w:tblInd w:w="400" w:type="dxa"/>
        <w:tblCellMar>
          <w:top w:w="0" w:type="dxa"/>
          <w:left w:w="0" w:type="dxa"/>
          <w:bottom w:w="0" w:type="dxa"/>
          <w:right w:w="0" w:type="dxa"/>
        </w:tblCellMar>
      </w:tblPr>
      <w:tr>
        <w:trPr>
          <w:trHeight w:val="212"/>
        </w:trPr>
        <w:tc>
          <w:tcPr>
            <w:tcW w:w="3700" w:type="dxa"/>
            <w:vAlign w:val="bottom"/>
          </w:tcPr>
          <w:p>
            <w:pPr>
              <w:jc w:val="center"/>
              <w:ind w:right="554"/>
              <w:spacing w:after="0"/>
              <w:rPr>
                <w:sz w:val="20"/>
                <w:szCs w:val="20"/>
                <w:color w:val="auto"/>
              </w:rPr>
            </w:pPr>
            <w:r>
              <w:rPr>
                <w:rFonts w:ascii="Arial" w:cs="Arial" w:eastAsia="Arial" w:hAnsi="Arial"/>
                <w:sz w:val="17"/>
                <w:szCs w:val="17"/>
                <w:b w:val="1"/>
                <w:bCs w:val="1"/>
                <w:color w:val="auto"/>
                <w:w w:val="93"/>
              </w:rPr>
              <w:t>Delaware</w:t>
            </w:r>
          </w:p>
        </w:tc>
        <w:tc>
          <w:tcPr>
            <w:tcW w:w="3420" w:type="dxa"/>
            <w:vAlign w:val="bottom"/>
          </w:tcPr>
          <w:p>
            <w:pPr>
              <w:jc w:val="right"/>
              <w:ind w:right="1414"/>
              <w:spacing w:after="0"/>
              <w:rPr>
                <w:sz w:val="20"/>
                <w:szCs w:val="20"/>
                <w:color w:val="auto"/>
              </w:rPr>
            </w:pPr>
            <w:r>
              <w:rPr>
                <w:rFonts w:ascii="Arial" w:cs="Arial" w:eastAsia="Arial" w:hAnsi="Arial"/>
                <w:sz w:val="17"/>
                <w:szCs w:val="17"/>
                <w:b w:val="1"/>
                <w:bCs w:val="1"/>
                <w:color w:val="auto"/>
              </w:rPr>
              <w:t>0-23486</w:t>
            </w:r>
          </w:p>
        </w:tc>
        <w:tc>
          <w:tcPr>
            <w:tcW w:w="3200" w:type="dxa"/>
            <w:vAlign w:val="bottom"/>
          </w:tcPr>
          <w:p>
            <w:pPr>
              <w:jc w:val="right"/>
              <w:ind w:right="674"/>
              <w:spacing w:after="0"/>
              <w:rPr>
                <w:sz w:val="20"/>
                <w:szCs w:val="20"/>
                <w:color w:val="auto"/>
              </w:rPr>
            </w:pPr>
            <w:r>
              <w:rPr>
                <w:rFonts w:ascii="Arial" w:cs="Arial" w:eastAsia="Arial" w:hAnsi="Arial"/>
                <w:sz w:val="17"/>
                <w:szCs w:val="17"/>
                <w:b w:val="1"/>
                <w:bCs w:val="1"/>
                <w:color w:val="auto"/>
              </w:rPr>
              <w:t>62-1096725</w:t>
            </w:r>
          </w:p>
        </w:tc>
        <w:tc>
          <w:tcPr>
            <w:tcW w:w="0" w:type="dxa"/>
            <w:vAlign w:val="bottom"/>
          </w:tcPr>
          <w:p>
            <w:pPr>
              <w:spacing w:after="0"/>
              <w:rPr>
                <w:sz w:val="1"/>
                <w:szCs w:val="1"/>
                <w:color w:val="auto"/>
              </w:rPr>
            </w:pPr>
          </w:p>
        </w:tc>
      </w:tr>
      <w:tr>
        <w:trPr>
          <w:trHeight w:val="217"/>
        </w:trPr>
        <w:tc>
          <w:tcPr>
            <w:tcW w:w="3700" w:type="dxa"/>
            <w:vAlign w:val="bottom"/>
          </w:tcPr>
          <w:p>
            <w:pPr>
              <w:jc w:val="center"/>
              <w:ind w:right="594"/>
              <w:spacing w:after="0"/>
              <w:rPr>
                <w:sz w:val="20"/>
                <w:szCs w:val="20"/>
                <w:color w:val="auto"/>
              </w:rPr>
            </w:pPr>
            <w:r>
              <w:rPr>
                <w:rFonts w:ascii="Arial" w:cs="Arial" w:eastAsia="Arial" w:hAnsi="Arial"/>
                <w:sz w:val="17"/>
                <w:szCs w:val="17"/>
                <w:color w:val="auto"/>
                <w:w w:val="93"/>
              </w:rPr>
              <w:t>(State or other jurisdiction of incorporation)</w:t>
            </w:r>
          </w:p>
        </w:tc>
        <w:tc>
          <w:tcPr>
            <w:tcW w:w="3420" w:type="dxa"/>
            <w:vAlign w:val="bottom"/>
          </w:tcPr>
          <w:p>
            <w:pPr>
              <w:jc w:val="center"/>
              <w:ind w:right="74"/>
              <w:spacing w:after="0"/>
              <w:rPr>
                <w:sz w:val="20"/>
                <w:szCs w:val="20"/>
                <w:color w:val="auto"/>
              </w:rPr>
            </w:pPr>
            <w:r>
              <w:rPr>
                <w:rFonts w:ascii="Arial" w:cs="Arial" w:eastAsia="Arial" w:hAnsi="Arial"/>
                <w:sz w:val="17"/>
                <w:szCs w:val="17"/>
                <w:color w:val="auto"/>
                <w:w w:val="93"/>
              </w:rPr>
              <w:t>(Commission File Number)</w:t>
            </w:r>
          </w:p>
        </w:tc>
        <w:tc>
          <w:tcPr>
            <w:tcW w:w="3200" w:type="dxa"/>
            <w:vAlign w:val="bottom"/>
          </w:tcPr>
          <w:p>
            <w:pPr>
              <w:jc w:val="center"/>
              <w:ind w:left="754"/>
              <w:spacing w:after="0"/>
              <w:rPr>
                <w:sz w:val="20"/>
                <w:szCs w:val="20"/>
                <w:color w:val="auto"/>
              </w:rPr>
            </w:pPr>
            <w:r>
              <w:rPr>
                <w:rFonts w:ascii="Arial" w:cs="Arial" w:eastAsia="Arial" w:hAnsi="Arial"/>
                <w:sz w:val="17"/>
                <w:szCs w:val="17"/>
                <w:color w:val="auto"/>
                <w:w w:val="95"/>
              </w:rPr>
              <w:t>(IRS Employer Identification No.)</w:t>
            </w:r>
          </w:p>
        </w:tc>
        <w:tc>
          <w:tcPr>
            <w:tcW w:w="0" w:type="dxa"/>
            <w:vAlign w:val="bottom"/>
          </w:tcPr>
          <w:p>
            <w:pPr>
              <w:spacing w:after="0"/>
              <w:rPr>
                <w:sz w:val="1"/>
                <w:szCs w:val="1"/>
                <w:color w:val="auto"/>
              </w:rPr>
            </w:pPr>
          </w:p>
        </w:tc>
      </w:tr>
      <w:tr>
        <w:trPr>
          <w:trHeight w:val="402"/>
        </w:trPr>
        <w:tc>
          <w:tcPr>
            <w:tcW w:w="3700" w:type="dxa"/>
            <w:vAlign w:val="bottom"/>
          </w:tcPr>
          <w:p>
            <w:pPr>
              <w:jc w:val="center"/>
              <w:ind w:right="554"/>
              <w:spacing w:after="0"/>
              <w:rPr>
                <w:sz w:val="20"/>
                <w:szCs w:val="20"/>
                <w:color w:val="auto"/>
              </w:rPr>
            </w:pPr>
            <w:r>
              <w:rPr>
                <w:rFonts w:ascii="Arial" w:cs="Arial" w:eastAsia="Arial" w:hAnsi="Arial"/>
                <w:sz w:val="17"/>
                <w:szCs w:val="17"/>
                <w:b w:val="1"/>
                <w:bCs w:val="1"/>
                <w:color w:val="auto"/>
                <w:w w:val="92"/>
              </w:rPr>
              <w:t>2000 Waters Edge Drive</w:t>
            </w:r>
          </w:p>
        </w:tc>
        <w:tc>
          <w:tcPr>
            <w:tcW w:w="3420" w:type="dxa"/>
            <w:vAlign w:val="bottom"/>
          </w:tcPr>
          <w:p>
            <w:pPr>
              <w:spacing w:after="0"/>
              <w:rPr>
                <w:sz w:val="24"/>
                <w:szCs w:val="24"/>
                <w:color w:val="auto"/>
              </w:rPr>
            </w:pPr>
          </w:p>
        </w:tc>
        <w:tc>
          <w:tcPr>
            <w:tcW w:w="3200" w:type="dxa"/>
            <w:vAlign w:val="bottom"/>
            <w:vMerge w:val="restart"/>
          </w:tcPr>
          <w:p>
            <w:pPr>
              <w:jc w:val="right"/>
              <w:ind w:right="874"/>
              <w:spacing w:after="0"/>
              <w:rPr>
                <w:sz w:val="20"/>
                <w:szCs w:val="20"/>
                <w:color w:val="auto"/>
              </w:rPr>
            </w:pPr>
            <w:r>
              <w:rPr>
                <w:rFonts w:ascii="Arial" w:cs="Arial" w:eastAsia="Arial" w:hAnsi="Arial"/>
                <w:sz w:val="17"/>
                <w:szCs w:val="17"/>
                <w:b w:val="1"/>
                <w:bCs w:val="1"/>
                <w:color w:val="auto"/>
              </w:rPr>
              <w:t>37604</w:t>
            </w:r>
          </w:p>
        </w:tc>
        <w:tc>
          <w:tcPr>
            <w:tcW w:w="0" w:type="dxa"/>
            <w:vAlign w:val="bottom"/>
          </w:tcPr>
          <w:p>
            <w:pPr>
              <w:spacing w:after="0"/>
              <w:rPr>
                <w:sz w:val="1"/>
                <w:szCs w:val="1"/>
                <w:color w:val="auto"/>
              </w:rPr>
            </w:pPr>
          </w:p>
        </w:tc>
      </w:tr>
      <w:tr>
        <w:trPr>
          <w:trHeight w:val="207"/>
        </w:trPr>
        <w:tc>
          <w:tcPr>
            <w:tcW w:w="3700" w:type="dxa"/>
            <w:vAlign w:val="bottom"/>
          </w:tcPr>
          <w:p>
            <w:pPr>
              <w:jc w:val="center"/>
              <w:ind w:right="594"/>
              <w:spacing w:after="0"/>
              <w:rPr>
                <w:sz w:val="20"/>
                <w:szCs w:val="20"/>
                <w:color w:val="auto"/>
              </w:rPr>
            </w:pPr>
            <w:r>
              <w:rPr>
                <w:rFonts w:ascii="Arial" w:cs="Arial" w:eastAsia="Arial" w:hAnsi="Arial"/>
                <w:sz w:val="17"/>
                <w:szCs w:val="17"/>
                <w:b w:val="1"/>
                <w:bCs w:val="1"/>
                <w:color w:val="auto"/>
                <w:w w:val="84"/>
              </w:rPr>
              <w:t>Johnson City, Tennessee</w:t>
            </w:r>
          </w:p>
        </w:tc>
        <w:tc>
          <w:tcPr>
            <w:tcW w:w="3420" w:type="dxa"/>
            <w:vAlign w:val="bottom"/>
          </w:tcPr>
          <w:p>
            <w:pPr>
              <w:spacing w:after="0"/>
              <w:rPr>
                <w:sz w:val="17"/>
                <w:szCs w:val="17"/>
                <w:color w:val="auto"/>
              </w:rPr>
            </w:pPr>
          </w:p>
        </w:tc>
        <w:tc>
          <w:tcPr>
            <w:tcW w:w="3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700" w:type="dxa"/>
            <w:vAlign w:val="bottom"/>
          </w:tcPr>
          <w:p>
            <w:pPr>
              <w:jc w:val="center"/>
              <w:ind w:right="554"/>
              <w:spacing w:after="0"/>
              <w:rPr>
                <w:sz w:val="20"/>
                <w:szCs w:val="20"/>
                <w:color w:val="auto"/>
              </w:rPr>
            </w:pPr>
            <w:r>
              <w:rPr>
                <w:rFonts w:ascii="Arial" w:cs="Arial" w:eastAsia="Arial" w:hAnsi="Arial"/>
                <w:sz w:val="17"/>
                <w:szCs w:val="17"/>
                <w:color w:val="auto"/>
                <w:w w:val="94"/>
              </w:rPr>
              <w:t>(Address of principal executive offices)</w:t>
            </w:r>
          </w:p>
        </w:tc>
        <w:tc>
          <w:tcPr>
            <w:tcW w:w="3420" w:type="dxa"/>
            <w:vAlign w:val="bottom"/>
          </w:tcPr>
          <w:p>
            <w:pPr>
              <w:spacing w:after="0"/>
              <w:rPr>
                <w:sz w:val="18"/>
                <w:szCs w:val="18"/>
                <w:color w:val="auto"/>
              </w:rPr>
            </w:pPr>
          </w:p>
        </w:tc>
        <w:tc>
          <w:tcPr>
            <w:tcW w:w="3200" w:type="dxa"/>
            <w:vAlign w:val="bottom"/>
          </w:tcPr>
          <w:p>
            <w:pPr>
              <w:jc w:val="center"/>
              <w:ind w:left="754"/>
              <w:spacing w:after="0"/>
              <w:rPr>
                <w:sz w:val="20"/>
                <w:szCs w:val="20"/>
                <w:color w:val="auto"/>
              </w:rPr>
            </w:pPr>
            <w:r>
              <w:rPr>
                <w:rFonts w:ascii="Arial" w:cs="Arial" w:eastAsia="Arial" w:hAnsi="Arial"/>
                <w:sz w:val="17"/>
                <w:szCs w:val="17"/>
                <w:color w:val="auto"/>
                <w:w w:val="94"/>
              </w:rPr>
              <w:t>(Zip Code)</w:t>
            </w:r>
          </w:p>
        </w:tc>
        <w:tc>
          <w:tcPr>
            <w:tcW w:w="0" w:type="dxa"/>
            <w:vAlign w:val="bottom"/>
          </w:tcPr>
          <w:p>
            <w:pPr>
              <w:spacing w:after="0"/>
              <w:rPr>
                <w:sz w:val="1"/>
                <w:szCs w:val="1"/>
                <w:color w:val="auto"/>
              </w:rPr>
            </w:pPr>
          </w:p>
        </w:tc>
      </w:tr>
    </w:tbl>
    <w:p>
      <w:pPr>
        <w:spacing w:after="0" w:line="207"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Registrant's telephone number, including area code: (423)743-9151</w:t>
      </w:r>
    </w:p>
    <w:p>
      <w:pPr>
        <w:spacing w:after="0" w:line="229" w:lineRule="exact"/>
        <w:rPr>
          <w:sz w:val="24"/>
          <w:szCs w:val="24"/>
          <w:color w:val="auto"/>
        </w:rPr>
      </w:pPr>
    </w:p>
    <w:p>
      <w:pPr>
        <w:spacing w:after="0" w:line="253" w:lineRule="auto"/>
        <w:rPr>
          <w:sz w:val="20"/>
          <w:szCs w:val="20"/>
          <w:color w:val="auto"/>
        </w:rPr>
      </w:pPr>
      <w:r>
        <w:rPr>
          <w:rFonts w:ascii="Arial" w:cs="Arial" w:eastAsia="Arial" w:hAnsi="Arial"/>
          <w:sz w:val="21"/>
          <w:szCs w:val="21"/>
          <w:color w:val="auto"/>
        </w:rPr>
        <w:t>Check the appropriate box below if the Form 8-K filing is intended to simultaneously satisfy the obligation of the registrant under any of the following provisions:</w:t>
      </w:r>
    </w:p>
    <w:p>
      <w:pPr>
        <w:spacing w:after="0" w:line="188" w:lineRule="exact"/>
        <w:rPr>
          <w:sz w:val="24"/>
          <w:szCs w:val="24"/>
          <w:color w:val="auto"/>
        </w:rPr>
      </w:pPr>
    </w:p>
    <w:p>
      <w:pPr>
        <w:ind w:left="200" w:hanging="197"/>
        <w:spacing w:after="0"/>
        <w:tabs>
          <w:tab w:leader="none" w:pos="200" w:val="left"/>
        </w:tabs>
        <w:numPr>
          <w:ilvl w:val="0"/>
          <w:numId w:val="1"/>
        </w:numPr>
        <w:rPr>
          <w:rFonts w:ascii="Arial" w:cs="Arial" w:eastAsia="Arial" w:hAnsi="Arial"/>
          <w:sz w:val="21"/>
          <w:szCs w:val="21"/>
          <w:color w:val="auto"/>
        </w:rPr>
      </w:pPr>
      <w:r>
        <w:rPr>
          <w:rFonts w:ascii="Arial" w:cs="Arial" w:eastAsia="Arial" w:hAnsi="Arial"/>
          <w:sz w:val="21"/>
          <w:szCs w:val="21"/>
          <w:color w:val="auto"/>
        </w:rPr>
        <w:t>Written communications pursuant to Rule 425 under the Securities Act (17CFT 230.425)</w:t>
      </w:r>
    </w:p>
    <w:p>
      <w:pPr>
        <w:spacing w:after="0" w:line="223" w:lineRule="exact"/>
        <w:rPr>
          <w:rFonts w:ascii="Arial" w:cs="Arial" w:eastAsia="Arial" w:hAnsi="Arial"/>
          <w:sz w:val="21"/>
          <w:szCs w:val="21"/>
          <w:color w:val="auto"/>
        </w:rPr>
      </w:pPr>
    </w:p>
    <w:p>
      <w:pPr>
        <w:ind w:left="200" w:hanging="197"/>
        <w:spacing w:after="0"/>
        <w:tabs>
          <w:tab w:leader="none" w:pos="200" w:val="left"/>
        </w:tabs>
        <w:numPr>
          <w:ilvl w:val="0"/>
          <w:numId w:val="1"/>
        </w:numPr>
        <w:rPr>
          <w:rFonts w:ascii="Arial" w:cs="Arial" w:eastAsia="Arial" w:hAnsi="Arial"/>
          <w:sz w:val="21"/>
          <w:szCs w:val="21"/>
          <w:color w:val="auto"/>
        </w:rPr>
      </w:pPr>
      <w:r>
        <w:rPr>
          <w:rFonts w:ascii="Arial" w:cs="Arial" w:eastAsia="Arial" w:hAnsi="Arial"/>
          <w:sz w:val="21"/>
          <w:szCs w:val="21"/>
          <w:color w:val="auto"/>
        </w:rPr>
        <w:t>Soliciting material pursuant to Rule 14a-12 under the Exchange Act (17CFT 240.14a-12)</w:t>
      </w:r>
    </w:p>
    <w:p>
      <w:pPr>
        <w:spacing w:after="0" w:line="223" w:lineRule="exact"/>
        <w:rPr>
          <w:rFonts w:ascii="Arial" w:cs="Arial" w:eastAsia="Arial" w:hAnsi="Arial"/>
          <w:sz w:val="21"/>
          <w:szCs w:val="21"/>
          <w:color w:val="auto"/>
        </w:rPr>
      </w:pPr>
    </w:p>
    <w:p>
      <w:pPr>
        <w:ind w:left="200" w:hanging="197"/>
        <w:spacing w:after="0"/>
        <w:tabs>
          <w:tab w:leader="none" w:pos="20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(17CFT 240.14d-2(b))</w:t>
      </w:r>
    </w:p>
    <w:p>
      <w:pPr>
        <w:spacing w:after="0" w:line="223" w:lineRule="exact"/>
        <w:rPr>
          <w:rFonts w:ascii="Arial" w:cs="Arial" w:eastAsia="Arial" w:hAnsi="Arial"/>
          <w:sz w:val="21"/>
          <w:szCs w:val="21"/>
          <w:color w:val="auto"/>
        </w:rPr>
      </w:pPr>
    </w:p>
    <w:p>
      <w:pPr>
        <w:ind w:left="200" w:hanging="197"/>
        <w:spacing w:after="0"/>
        <w:tabs>
          <w:tab w:leader="none" w:pos="20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13c-4(c) under the Exchange Act (17CFT 240.13c-4(c))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226695</wp:posOffset>
            </wp:positionV>
            <wp:extent cx="7257415"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685800</wp:posOffset>
            </wp:positionV>
            <wp:extent cx="725741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00"/>
          </w:cols>
          <w:pgMar w:left="240" w:top="759" w:right="359" w:bottom="1440" w:gutter="0" w:footer="0" w:header="0"/>
        </w:sectPr>
      </w:pPr>
    </w:p>
    <w:bookmarkStart w:id="1" w:name="page2"/>
    <w:bookmarkEnd w:id="1"/>
    <w:p>
      <w:pPr>
        <w:spacing w:after="0"/>
        <w:rPr>
          <w:sz w:val="20"/>
          <w:szCs w:val="20"/>
          <w:color w:val="auto"/>
        </w:rPr>
      </w:pPr>
      <w:r>
        <w:rPr>
          <w:rFonts w:ascii="Arial" w:cs="Arial" w:eastAsia="Arial" w:hAnsi="Arial"/>
          <w:sz w:val="21"/>
          <w:szCs w:val="21"/>
          <w:b w:val="1"/>
          <w:bCs w:val="1"/>
          <w:color w:val="auto"/>
        </w:rPr>
        <w:t>ITEM 2.02 RESULTS OF OPERATIONS AND FINANCIAL CONDITIONS</w:t>
      </w:r>
    </w:p>
    <w:p>
      <w:pPr>
        <w:spacing w:after="0" w:line="229" w:lineRule="exact"/>
        <w:rPr>
          <w:sz w:val="20"/>
          <w:szCs w:val="20"/>
          <w:color w:val="auto"/>
        </w:rPr>
      </w:pPr>
    </w:p>
    <w:p>
      <w:pPr>
        <w:ind w:right="200"/>
        <w:spacing w:after="0" w:line="228" w:lineRule="auto"/>
        <w:rPr>
          <w:sz w:val="20"/>
          <w:szCs w:val="20"/>
          <w:color w:val="auto"/>
        </w:rPr>
      </w:pPr>
      <w:r>
        <w:rPr>
          <w:rFonts w:ascii="Arial" w:cs="Arial" w:eastAsia="Arial" w:hAnsi="Arial"/>
          <w:sz w:val="21"/>
          <w:szCs w:val="21"/>
          <w:color w:val="auto"/>
        </w:rPr>
        <w:t xml:space="preserve">Published as Exhibit 99.1 is NN Inc.'s press release dated November 5, 2009 regarding the results for the third quarter ended September 30, 2009. </w:t>
      </w:r>
      <w:r>
        <w:rPr>
          <w:rFonts w:ascii="Arial" w:cs="Arial" w:eastAsia="Arial" w:hAnsi="Arial"/>
          <w:sz w:val="17"/>
          <w:szCs w:val="17"/>
          <w:color w:val="auto"/>
        </w:rPr>
        <w:t>The attached press release includes the following non-GAAP measures: Net (loss) excluding restructuring and other special charges and net income</w:t>
      </w:r>
      <w:r>
        <w:rPr>
          <w:rFonts w:ascii="Arial" w:cs="Arial" w:eastAsia="Arial" w:hAnsi="Arial"/>
          <w:sz w:val="21"/>
          <w:szCs w:val="21"/>
          <w:color w:val="auto"/>
        </w:rPr>
        <w:t xml:space="preserve"> </w:t>
      </w:r>
      <w:r>
        <w:rPr>
          <w:rFonts w:ascii="Arial" w:cs="Arial" w:eastAsia="Arial" w:hAnsi="Arial"/>
          <w:sz w:val="17"/>
          <w:szCs w:val="17"/>
          <w:color w:val="auto"/>
        </w:rPr>
        <w:t>excluding restructuring and other special charges.</w:t>
      </w:r>
    </w:p>
    <w:p>
      <w:pPr>
        <w:spacing w:after="0" w:line="224" w:lineRule="exact"/>
        <w:rPr>
          <w:sz w:val="20"/>
          <w:szCs w:val="20"/>
          <w:color w:val="auto"/>
        </w:rPr>
      </w:pPr>
    </w:p>
    <w:p>
      <w:pPr>
        <w:ind w:right="40"/>
        <w:spacing w:after="0" w:line="308" w:lineRule="auto"/>
        <w:rPr>
          <w:sz w:val="20"/>
          <w:szCs w:val="20"/>
          <w:color w:val="auto"/>
        </w:rPr>
      </w:pPr>
      <w:r>
        <w:rPr>
          <w:rFonts w:ascii="Arial" w:cs="Arial" w:eastAsia="Arial" w:hAnsi="Arial"/>
          <w:sz w:val="15"/>
          <w:szCs w:val="15"/>
          <w:color w:val="auto"/>
        </w:rPr>
        <w:t>These non-GAAP measures are not in accordance with, or an alternative for, generally accepted accounting principles and may be different from non-GAAP measures used by other companies. In addition, these non-GAAP measures are not based on any comprehensive set of accounting rules or principles. We believe that non-GAAP measures have limitations in that they do not reflect all of the amounts associated with our results of operations as determined in accordance with GAAP and that these measures should only be used to evaluate our results of operations in conjunction with the corresponding GAAP measures.</w:t>
      </w:r>
    </w:p>
    <w:p>
      <w:pPr>
        <w:spacing w:after="0" w:line="173"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Our management uses financial information that does not include (a) after- tax restructuring charges related to restructuring efforts at the Veenendaal, The Netherlands facility, (b) after-tax charges related to the closure of our Kilkenny, Ireland and Hamilton, Ohio facilities, (c) the recording of a valuation allowance on deferred taxes, (d) after-tax gain on the sale of surplus land in The Netherlands and (e) an Italian tax adjustment.</w:t>
      </w:r>
    </w:p>
    <w:p>
      <w:pPr>
        <w:spacing w:after="0" w:line="389"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We use these non-GAAP financial measures in making operating decisions because we believe the measures provide meaningful supplemental information regarding our core operational performance. We use these measures to help make budgeting and spending decisions. Further, these non-GAAP financial measures facilitate management’s internal comparisons to our historical operating results.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9.01 FINANCIAL STATEMENTS AND EXHIBITS</w:t>
      </w:r>
    </w:p>
    <w:p>
      <w:pPr>
        <w:spacing w:after="0" w:line="229" w:lineRule="exact"/>
        <w:rPr>
          <w:sz w:val="20"/>
          <w:szCs w:val="20"/>
          <w:color w:val="auto"/>
        </w:rPr>
      </w:pPr>
    </w:p>
    <w:p>
      <w:pPr>
        <w:ind w:right="480"/>
        <w:spacing w:after="0" w:line="242" w:lineRule="auto"/>
        <w:rPr>
          <w:sz w:val="20"/>
          <w:szCs w:val="20"/>
          <w:color w:val="auto"/>
        </w:rPr>
      </w:pPr>
      <w:r>
        <w:rPr>
          <w:rFonts w:ascii="Arial" w:cs="Arial" w:eastAsia="Arial" w:hAnsi="Arial"/>
          <w:sz w:val="21"/>
          <w:szCs w:val="21"/>
          <w:color w:val="auto"/>
        </w:rPr>
        <w:t>The following exhibit is furnished pursuant to Item 2.02, is not considered "filed" under the Securities Exchange Act of 1934, as amended, and shall not be incorporated by reference into any of the previous or future filings of NN, Inc. under the Securities Act of 1933, as amended, or the Exchange Act.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460" w:type="dxa"/>
            <w:vAlign w:val="bottom"/>
            <w:gridSpan w:val="2"/>
          </w:tcPr>
          <w:p>
            <w:pPr>
              <w:spacing w:after="0"/>
              <w:rPr>
                <w:sz w:val="20"/>
                <w:szCs w:val="20"/>
                <w:color w:val="auto"/>
              </w:rPr>
            </w:pPr>
            <w:r>
              <w:rPr>
                <w:rFonts w:ascii="Arial" w:cs="Arial" w:eastAsia="Arial" w:hAnsi="Arial"/>
                <w:sz w:val="21"/>
                <w:szCs w:val="21"/>
                <w:color w:val="auto"/>
              </w:rPr>
              <w:t>Exhibit:</w:t>
            </w:r>
          </w:p>
        </w:tc>
        <w:tc>
          <w:tcPr>
            <w:tcW w:w="1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7980" w:type="dxa"/>
            <w:vAlign w:val="bottom"/>
          </w:tcPr>
          <w:p>
            <w:pPr>
              <w:spacing w:after="0"/>
              <w:rPr>
                <w:sz w:val="22"/>
                <w:szCs w:val="22"/>
                <w:color w:val="auto"/>
              </w:rPr>
            </w:pPr>
          </w:p>
        </w:tc>
      </w:tr>
      <w:tr>
        <w:trPr>
          <w:trHeight w:val="416"/>
        </w:trPr>
        <w:tc>
          <w:tcPr>
            <w:tcW w:w="1340" w:type="dxa"/>
            <w:vAlign w:val="bottom"/>
          </w:tcPr>
          <w:p>
            <w:pPr>
              <w:spacing w:after="0"/>
              <w:rPr>
                <w:sz w:val="20"/>
                <w:szCs w:val="20"/>
                <w:color w:val="auto"/>
              </w:rPr>
            </w:pPr>
            <w:r>
              <w:rPr>
                <w:rFonts w:ascii="Arial" w:cs="Arial" w:eastAsia="Arial" w:hAnsi="Arial"/>
                <w:sz w:val="21"/>
                <w:szCs w:val="21"/>
                <w:color w:val="auto"/>
                <w:w w:val="91"/>
              </w:rPr>
              <w:t>Exhibit Number</w:t>
            </w:r>
          </w:p>
        </w:tc>
        <w:tc>
          <w:tcPr>
            <w:tcW w:w="120" w:type="dxa"/>
            <w:vAlign w:val="bottom"/>
          </w:tcPr>
          <w:p>
            <w:pPr>
              <w:spacing w:after="0"/>
              <w:rPr>
                <w:sz w:val="24"/>
                <w:szCs w:val="24"/>
                <w:color w:val="auto"/>
              </w:rPr>
            </w:pPr>
          </w:p>
        </w:tc>
        <w:tc>
          <w:tcPr>
            <w:tcW w:w="9960" w:type="dxa"/>
            <w:vAlign w:val="bottom"/>
            <w:gridSpan w:val="3"/>
          </w:tcPr>
          <w:p>
            <w:pPr>
              <w:ind w:left="140"/>
              <w:spacing w:after="0"/>
              <w:rPr>
                <w:sz w:val="20"/>
                <w:szCs w:val="20"/>
                <w:color w:val="auto"/>
              </w:rPr>
            </w:pPr>
            <w:r>
              <w:rPr>
                <w:rFonts w:ascii="Arial" w:cs="Arial" w:eastAsia="Arial" w:hAnsi="Arial"/>
                <w:sz w:val="21"/>
                <w:szCs w:val="21"/>
                <w:color w:val="auto"/>
              </w:rPr>
              <w:t>Description of Exhibit</w:t>
            </w:r>
          </w:p>
        </w:tc>
      </w:tr>
      <w:tr>
        <w:trPr>
          <w:trHeight w:val="20"/>
        </w:trPr>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r>
        <w:trPr>
          <w:trHeight w:val="261"/>
        </w:trPr>
        <w:tc>
          <w:tcPr>
            <w:tcW w:w="1340" w:type="dxa"/>
            <w:vAlign w:val="bottom"/>
          </w:tcPr>
          <w:p>
            <w:pPr>
              <w:spacing w:after="0"/>
              <w:rPr>
                <w:sz w:val="20"/>
                <w:szCs w:val="20"/>
                <w:color w:val="auto"/>
              </w:rPr>
            </w:pPr>
            <w:r>
              <w:rPr>
                <w:rFonts w:ascii="Arial" w:cs="Arial" w:eastAsia="Arial" w:hAnsi="Arial"/>
                <w:sz w:val="21"/>
                <w:szCs w:val="21"/>
                <w:color w:val="auto"/>
              </w:rPr>
              <w:t>99.1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20" w:type="dxa"/>
            <w:vAlign w:val="bottom"/>
            <w:gridSpan w:val="2"/>
          </w:tcPr>
          <w:p>
            <w:pPr>
              <w:ind w:left="60"/>
              <w:spacing w:after="0"/>
              <w:rPr>
                <w:sz w:val="20"/>
                <w:szCs w:val="20"/>
                <w:color w:val="auto"/>
              </w:rPr>
            </w:pPr>
            <w:r>
              <w:rPr>
                <w:rFonts w:ascii="Arial" w:cs="Arial" w:eastAsia="Arial" w:hAnsi="Arial"/>
                <w:sz w:val="21"/>
                <w:szCs w:val="21"/>
                <w:color w:val="auto"/>
              </w:rPr>
              <w:t>Press Release of NN, Inc. dated November 5, 2009.</w:t>
            </w:r>
          </w:p>
        </w:tc>
      </w:tr>
      <w:tr>
        <w:trPr>
          <w:trHeight w:val="1496"/>
        </w:trPr>
        <w:tc>
          <w:tcPr>
            <w:tcW w:w="13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7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44" w:right="2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21"/>
          <w:szCs w:val="21"/>
          <w:color w:val="auto"/>
        </w:rPr>
        <w:t>SIGNATURES</w:t>
      </w:r>
    </w:p>
    <w:p>
      <w:pPr>
        <w:spacing w:after="0" w:line="223" w:lineRule="exact"/>
        <w:rPr>
          <w:sz w:val="20"/>
          <w:szCs w:val="20"/>
          <w:color w:val="auto"/>
        </w:rPr>
      </w:pPr>
    </w:p>
    <w:p>
      <w:pPr>
        <w:spacing w:after="0" w:line="253"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NN, INC.</w:t>
      </w:r>
    </w:p>
    <w:p>
      <w:pPr>
        <w:spacing w:after="0" w:line="224"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color w:val="auto"/>
        </w:rPr>
        <w:t>Date: November 5, 2009</w:t>
      </w:r>
      <w:r>
        <w:rPr>
          <w:sz w:val="20"/>
          <w:szCs w:val="20"/>
          <w:color w:val="auto"/>
        </w:rPr>
        <w:tab/>
      </w:r>
      <w:r>
        <w:rPr>
          <w:rFonts w:ascii="Arial" w:cs="Arial" w:eastAsia="Arial" w:hAnsi="Arial"/>
          <w:sz w:val="16"/>
          <w:szCs w:val="16"/>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22860</wp:posOffset>
            </wp:positionV>
            <wp:extent cx="253238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32380" cy="1651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Name : William C. Kelly, Jr.</w:t>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Title : Vice President and Chief Administrative Officer</w:t>
      </w:r>
    </w:p>
    <w:p>
      <w:pPr>
        <w:sectPr>
          <w:pgSz w:w="11900" w:h="16838" w:orient="portrait"/>
          <w:cols w:equalWidth="0" w:num="1">
            <w:col w:w="11240"/>
          </w:cols>
          <w:pgMar w:left="240" w:top="350" w:right="4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5309235</wp:posOffset>
            </wp:positionH>
            <wp:positionV relativeFrom="page">
              <wp:posOffset>88900</wp:posOffset>
            </wp:positionV>
            <wp:extent cx="2098040" cy="5816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098040" cy="581660"/>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1113155</wp:posOffset>
            </wp:positionV>
            <wp:extent cx="1991360" cy="557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9913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9580"/>
        <w:spacing w:after="0"/>
        <w:rPr>
          <w:sz w:val="20"/>
          <w:szCs w:val="20"/>
          <w:color w:val="auto"/>
        </w:rPr>
      </w:pPr>
      <w:r>
        <w:rPr>
          <w:rFonts w:ascii="Arial" w:cs="Arial" w:eastAsia="Arial" w:hAnsi="Arial"/>
          <w:sz w:val="17"/>
          <w:szCs w:val="17"/>
          <w:color w:val="auto"/>
        </w:rPr>
        <w:t>RE: NN, Inc.</w:t>
      </w:r>
    </w:p>
    <w:p>
      <w:pPr>
        <w:spacing w:after="0" w:line="22" w:lineRule="exact"/>
        <w:rPr>
          <w:sz w:val="20"/>
          <w:szCs w:val="20"/>
          <w:color w:val="auto"/>
        </w:rPr>
      </w:pPr>
    </w:p>
    <w:p>
      <w:pPr>
        <w:ind w:left="9700"/>
        <w:spacing w:after="0"/>
        <w:rPr>
          <w:sz w:val="20"/>
          <w:szCs w:val="20"/>
          <w:color w:val="auto"/>
        </w:rPr>
      </w:pPr>
      <w:r>
        <w:rPr>
          <w:rFonts w:ascii="Arial" w:cs="Arial" w:eastAsia="Arial" w:hAnsi="Arial"/>
          <w:sz w:val="15"/>
          <w:szCs w:val="15"/>
          <w:color w:val="auto"/>
        </w:rPr>
        <w:t>2000 Waters Edge Drive</w: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Johnson City, TN 37604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80" w:type="dxa"/>
            <w:vAlign w:val="bottom"/>
            <w:gridSpan w:val="2"/>
          </w:tcPr>
          <w:p>
            <w:pPr>
              <w:spacing w:after="0"/>
              <w:rPr>
                <w:sz w:val="20"/>
                <w:szCs w:val="20"/>
                <w:color w:val="auto"/>
              </w:rPr>
            </w:pPr>
            <w:r>
              <w:rPr>
                <w:rFonts w:ascii="Arial" w:cs="Arial" w:eastAsia="Arial" w:hAnsi="Arial"/>
                <w:sz w:val="17"/>
                <w:szCs w:val="17"/>
                <w:color w:val="auto"/>
              </w:rPr>
              <w:t>FOR FURTHER INFORMATION:</w:t>
            </w:r>
          </w:p>
        </w:tc>
        <w:tc>
          <w:tcPr>
            <w:tcW w:w="22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634"/>
        </w:trPr>
        <w:tc>
          <w:tcPr>
            <w:tcW w:w="16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AT THE COMPANY</w:t>
            </w:r>
          </w:p>
        </w:tc>
        <w:tc>
          <w:tcPr>
            <w:tcW w:w="18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9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AT FINANCIAL RELATIONS BOARD</w:t>
            </w:r>
          </w:p>
        </w:tc>
      </w:tr>
      <w:tr>
        <w:trPr>
          <w:trHeight w:val="213"/>
        </w:trPr>
        <w:tc>
          <w:tcPr>
            <w:tcW w:w="3480" w:type="dxa"/>
            <w:vAlign w:val="bottom"/>
            <w:gridSpan w:val="2"/>
          </w:tcPr>
          <w:p>
            <w:pPr>
              <w:ind w:left="40"/>
              <w:spacing w:after="0"/>
              <w:rPr>
                <w:sz w:val="20"/>
                <w:szCs w:val="20"/>
                <w:color w:val="auto"/>
              </w:rPr>
            </w:pPr>
            <w:r>
              <w:rPr>
                <w:rFonts w:ascii="Arial" w:cs="Arial" w:eastAsia="Arial" w:hAnsi="Arial"/>
                <w:sz w:val="17"/>
                <w:szCs w:val="17"/>
                <w:color w:val="auto"/>
              </w:rPr>
              <w:t>Will Kelly</w:t>
            </w:r>
          </w:p>
        </w:tc>
        <w:tc>
          <w:tcPr>
            <w:tcW w:w="5240" w:type="dxa"/>
            <w:vAlign w:val="bottom"/>
            <w:gridSpan w:val="2"/>
          </w:tcPr>
          <w:p>
            <w:pPr>
              <w:ind w:left="2280"/>
              <w:spacing w:after="0"/>
              <w:rPr>
                <w:sz w:val="20"/>
                <w:szCs w:val="20"/>
                <w:color w:val="auto"/>
              </w:rPr>
            </w:pPr>
            <w:r>
              <w:rPr>
                <w:rFonts w:ascii="Arial" w:cs="Arial" w:eastAsia="Arial" w:hAnsi="Arial"/>
                <w:sz w:val="17"/>
                <w:szCs w:val="17"/>
                <w:color w:val="auto"/>
              </w:rPr>
              <w:t>Marilynn Meek</w:t>
            </w:r>
          </w:p>
        </w:tc>
      </w:tr>
      <w:tr>
        <w:trPr>
          <w:trHeight w:val="206"/>
        </w:trPr>
        <w:tc>
          <w:tcPr>
            <w:tcW w:w="3480" w:type="dxa"/>
            <w:vAlign w:val="bottom"/>
            <w:gridSpan w:val="2"/>
          </w:tcPr>
          <w:p>
            <w:pPr>
              <w:ind w:left="40"/>
              <w:spacing w:after="0"/>
              <w:rPr>
                <w:sz w:val="20"/>
                <w:szCs w:val="20"/>
                <w:color w:val="auto"/>
              </w:rPr>
            </w:pPr>
            <w:r>
              <w:rPr>
                <w:rFonts w:ascii="Arial" w:cs="Arial" w:eastAsia="Arial" w:hAnsi="Arial"/>
                <w:sz w:val="17"/>
                <w:szCs w:val="17"/>
                <w:color w:val="auto"/>
                <w:w w:val="96"/>
              </w:rPr>
              <w:t>Vice President and Chief Administrative Officer</w:t>
            </w:r>
          </w:p>
        </w:tc>
        <w:tc>
          <w:tcPr>
            <w:tcW w:w="2280" w:type="dxa"/>
            <w:vAlign w:val="bottom"/>
          </w:tcPr>
          <w:p>
            <w:pPr>
              <w:spacing w:after="0"/>
              <w:rPr>
                <w:sz w:val="17"/>
                <w:szCs w:val="17"/>
                <w:color w:val="auto"/>
              </w:rPr>
            </w:pPr>
          </w:p>
        </w:tc>
        <w:tc>
          <w:tcPr>
            <w:tcW w:w="2960" w:type="dxa"/>
            <w:vAlign w:val="bottom"/>
          </w:tcPr>
          <w:p>
            <w:pPr>
              <w:ind w:left="40"/>
              <w:spacing w:after="0"/>
              <w:rPr>
                <w:sz w:val="20"/>
                <w:szCs w:val="20"/>
                <w:color w:val="auto"/>
              </w:rPr>
            </w:pPr>
            <w:r>
              <w:rPr>
                <w:rFonts w:ascii="Arial" w:cs="Arial" w:eastAsia="Arial" w:hAnsi="Arial"/>
                <w:sz w:val="17"/>
                <w:szCs w:val="17"/>
                <w:color w:val="auto"/>
              </w:rPr>
              <w:t>(General info)</w:t>
            </w:r>
          </w:p>
        </w:tc>
      </w:tr>
      <w:tr>
        <w:trPr>
          <w:trHeight w:val="217"/>
        </w:trPr>
        <w:tc>
          <w:tcPr>
            <w:tcW w:w="1600" w:type="dxa"/>
            <w:vAlign w:val="bottom"/>
          </w:tcPr>
          <w:p>
            <w:pPr>
              <w:ind w:left="40"/>
              <w:spacing w:after="0"/>
              <w:rPr>
                <w:sz w:val="20"/>
                <w:szCs w:val="20"/>
                <w:color w:val="auto"/>
              </w:rPr>
            </w:pPr>
            <w:r>
              <w:rPr>
                <w:rFonts w:ascii="Arial" w:cs="Arial" w:eastAsia="Arial" w:hAnsi="Arial"/>
                <w:sz w:val="17"/>
                <w:szCs w:val="17"/>
                <w:color w:val="auto"/>
              </w:rPr>
              <w:t>(423) 743-9151</w:t>
            </w:r>
          </w:p>
        </w:tc>
        <w:tc>
          <w:tcPr>
            <w:tcW w:w="1880" w:type="dxa"/>
            <w:vAlign w:val="bottom"/>
          </w:tcPr>
          <w:p>
            <w:pPr>
              <w:spacing w:after="0"/>
              <w:rPr>
                <w:sz w:val="18"/>
                <w:szCs w:val="18"/>
                <w:color w:val="auto"/>
              </w:rPr>
            </w:pPr>
          </w:p>
        </w:tc>
        <w:tc>
          <w:tcPr>
            <w:tcW w:w="5240" w:type="dxa"/>
            <w:vAlign w:val="bottom"/>
            <w:gridSpan w:val="2"/>
          </w:tcPr>
          <w:p>
            <w:pPr>
              <w:ind w:left="2280"/>
              <w:spacing w:after="0"/>
              <w:rPr>
                <w:sz w:val="20"/>
                <w:szCs w:val="20"/>
                <w:color w:val="auto"/>
              </w:rPr>
            </w:pPr>
            <w:r>
              <w:rPr>
                <w:rFonts w:ascii="Arial" w:cs="Arial" w:eastAsia="Arial" w:hAnsi="Arial"/>
                <w:sz w:val="17"/>
                <w:szCs w:val="17"/>
                <w:color w:val="auto"/>
              </w:rPr>
              <w:t>212-827-3773</w:t>
            </w:r>
          </w:p>
        </w:tc>
      </w:tr>
      <w:tr>
        <w:trPr>
          <w:trHeight w:val="428"/>
        </w:trPr>
        <w:tc>
          <w:tcPr>
            <w:tcW w:w="3480" w:type="dxa"/>
            <w:vAlign w:val="bottom"/>
            <w:gridSpan w:val="2"/>
          </w:tcPr>
          <w:p>
            <w:pPr>
              <w:spacing w:after="0"/>
              <w:rPr>
                <w:sz w:val="20"/>
                <w:szCs w:val="20"/>
                <w:color w:val="auto"/>
              </w:rPr>
            </w:pPr>
            <w:r>
              <w:rPr>
                <w:rFonts w:ascii="Arial" w:cs="Arial" w:eastAsia="Arial" w:hAnsi="Arial"/>
                <w:sz w:val="17"/>
                <w:szCs w:val="17"/>
                <w:b w:val="1"/>
                <w:bCs w:val="1"/>
                <w:color w:val="auto"/>
              </w:rPr>
              <w:t>FOR IMMEDIATE RELEASE</w:t>
            </w:r>
          </w:p>
        </w:tc>
        <w:tc>
          <w:tcPr>
            <w:tcW w:w="228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17"/>
        </w:trPr>
        <w:tc>
          <w:tcPr>
            <w:tcW w:w="3480" w:type="dxa"/>
            <w:vAlign w:val="bottom"/>
            <w:gridSpan w:val="2"/>
          </w:tcPr>
          <w:p>
            <w:pPr>
              <w:spacing w:after="0"/>
              <w:rPr>
                <w:sz w:val="20"/>
                <w:szCs w:val="20"/>
                <w:color w:val="auto"/>
              </w:rPr>
            </w:pPr>
            <w:r>
              <w:rPr>
                <w:rFonts w:ascii="Arial" w:cs="Arial" w:eastAsia="Arial" w:hAnsi="Arial"/>
                <w:sz w:val="17"/>
                <w:szCs w:val="17"/>
                <w:color w:val="auto"/>
              </w:rPr>
              <w:t>November 5, 2009</w:t>
            </w:r>
          </w:p>
        </w:tc>
        <w:tc>
          <w:tcPr>
            <w:tcW w:w="22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439"/>
        </w:trPr>
        <w:tc>
          <w:tcPr>
            <w:tcW w:w="1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240" w:type="dxa"/>
            <w:vAlign w:val="bottom"/>
            <w:gridSpan w:val="2"/>
          </w:tcPr>
          <w:p>
            <w:pPr>
              <w:ind w:left="120"/>
              <w:spacing w:after="0"/>
              <w:rPr>
                <w:sz w:val="20"/>
                <w:szCs w:val="20"/>
                <w:color w:val="auto"/>
              </w:rPr>
            </w:pPr>
            <w:r>
              <w:rPr>
                <w:rFonts w:ascii="Arial" w:cs="Arial" w:eastAsia="Arial" w:hAnsi="Arial"/>
                <w:sz w:val="17"/>
                <w:szCs w:val="17"/>
                <w:b w:val="1"/>
                <w:bCs w:val="1"/>
                <w:color w:val="auto"/>
              </w:rPr>
              <w:t>NN, INC. REPORTS THIRD QUARTER 2009 RESULTS</w:t>
            </w:r>
          </w:p>
        </w:tc>
      </w:tr>
    </w:tbl>
    <w:p>
      <w:pPr>
        <w:spacing w:after="0" w:line="200" w:lineRule="exact"/>
        <w:rPr>
          <w:sz w:val="20"/>
          <w:szCs w:val="20"/>
          <w:color w:val="auto"/>
        </w:rPr>
      </w:pPr>
    </w:p>
    <w:p>
      <w:pPr>
        <w:spacing w:after="0" w:line="222" w:lineRule="exact"/>
        <w:rPr>
          <w:sz w:val="20"/>
          <w:szCs w:val="20"/>
          <w:color w:val="auto"/>
        </w:rPr>
      </w:pPr>
    </w:p>
    <w:p>
      <w:pPr>
        <w:ind w:left="1240" w:hanging="127"/>
        <w:spacing w:after="0"/>
        <w:tabs>
          <w:tab w:leader="none" w:pos="124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Excluding the Impact of Currency, Third Quarter Revenues Improve 13.1% Sequentially over Second Quarter</w:t>
      </w:r>
    </w:p>
    <w:p>
      <w:pPr>
        <w:spacing w:after="0" w:line="27" w:lineRule="exact"/>
        <w:rPr>
          <w:rFonts w:ascii="Arial" w:cs="Arial" w:eastAsia="Arial" w:hAnsi="Arial"/>
          <w:sz w:val="17"/>
          <w:szCs w:val="17"/>
          <w:b w:val="1"/>
          <w:bCs w:val="1"/>
          <w:color w:val="auto"/>
        </w:rPr>
      </w:pPr>
    </w:p>
    <w:p>
      <w:pPr>
        <w:ind w:left="1240" w:hanging="127"/>
        <w:spacing w:after="0" w:line="253" w:lineRule="auto"/>
        <w:tabs>
          <w:tab w:leader="none" w:pos="124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Third Quarter Results Include $2.9 Million in After-Tax Restructuring Charges Associated with Restructuring Efforts at Veenendaal, The Netherlands Facility</w:t>
      </w:r>
    </w:p>
    <w:p>
      <w:pPr>
        <w:ind w:left="1240" w:hanging="127"/>
        <w:spacing w:after="0"/>
        <w:tabs>
          <w:tab w:leader="none" w:pos="124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Working Capital Reductions of $23.3 Million Contribute to Positive Cash Flow For The Year</w:t>
      </w:r>
    </w:p>
    <w:p>
      <w:pPr>
        <w:spacing w:after="0" w:line="227"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b w:val="1"/>
          <w:bCs w:val="1"/>
          <w:color w:val="auto"/>
        </w:rPr>
        <w:t xml:space="preserve">Johnson City, Tenn., November 5, 2009 – NN, Inc. </w:t>
      </w:r>
      <w:r>
        <w:rPr>
          <w:rFonts w:ascii="Arial" w:cs="Arial" w:eastAsia="Arial" w:hAnsi="Arial"/>
          <w:sz w:val="17"/>
          <w:szCs w:val="17"/>
          <w:color w:val="auto"/>
        </w:rPr>
        <w:t>(Nasdaq: NNBR) today reported its financial results for the third quarter and nine months ended September 30,</w:t>
      </w:r>
      <w:r>
        <w:rPr>
          <w:rFonts w:ascii="Arial" w:cs="Arial" w:eastAsia="Arial" w:hAnsi="Arial"/>
          <w:sz w:val="17"/>
          <w:szCs w:val="17"/>
          <w:b w:val="1"/>
          <w:bCs w:val="1"/>
          <w:color w:val="auto"/>
        </w:rPr>
        <w:t xml:space="preserve"> </w:t>
      </w:r>
      <w:r>
        <w:rPr>
          <w:rFonts w:ascii="Arial" w:cs="Arial" w:eastAsia="Arial" w:hAnsi="Arial"/>
          <w:sz w:val="17"/>
          <w:szCs w:val="17"/>
          <w:color w:val="auto"/>
        </w:rPr>
        <w:t>2009. Net sales for the third quarter of 2009 were $66.1 million, a decrease of $38.8 million or 37%, compared to net sales for the third quarter of 2008 of $104.9 million. Approximately $34.6 million of the decrease was due to the continuing effects of the global recession in the automotive and industrial end markets. The negative effect of currency exchange and price/mix issues accounted for the remainder. Sequentially, third quarter net sales improved $9.0 million over second quarter net sales of which $1.5 million was related to the impact of currency. Excluding the impact of currency, revenues were up 13.1% as compared to second quarter results.</w:t>
      </w:r>
    </w:p>
    <w:p>
      <w:pPr>
        <w:spacing w:after="0" w:line="207"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Net loss for the third quarter of 2009 was $9.0 million, or $(0.55) per diluted share compared to net income of $2.9 million, or $0.18 per diluted share for the third quarter of 2008. The results of the third quarter of 2009 include the recording of approximately $2.9 million, net of taxes, or $0.18 per diluted share in restructuring charges taken at the Veenendaal, The Netherlands facility. Excluding these restructuring charges, net loss would have been $5.9 million or $(0.37) per diluted share.</w:t>
      </w:r>
    </w:p>
    <w:p>
      <w:pPr>
        <w:spacing w:after="0" w:line="166" w:lineRule="exact"/>
        <w:rPr>
          <w:sz w:val="20"/>
          <w:szCs w:val="20"/>
          <w:color w:val="auto"/>
        </w:rPr>
      </w:pPr>
    </w:p>
    <w:p>
      <w:pPr>
        <w:ind w:right="360"/>
        <w:spacing w:after="0" w:line="266" w:lineRule="auto"/>
        <w:rPr>
          <w:sz w:val="20"/>
          <w:szCs w:val="20"/>
          <w:color w:val="auto"/>
        </w:rPr>
      </w:pPr>
      <w:r>
        <w:rPr>
          <w:rFonts w:ascii="Arial" w:cs="Arial" w:eastAsia="Arial" w:hAnsi="Arial"/>
          <w:sz w:val="17"/>
          <w:szCs w:val="17"/>
          <w:color w:val="auto"/>
        </w:rPr>
        <w:t>Net sales for the first nine months of 2009 were $181.1 million, a decrease of $167.5 million, or 48% compared to net sales of $348.6 million for the first nine months of 2008. Approximately $156.8 million of the decrease was attributed to decreased demand for the Company’s products caused by the continuing global recession. The negative effect of currency exchange and price/mix issues accounted for the remainder of the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199390</wp:posOffset>
            </wp:positionV>
            <wp:extent cx="725741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ind w:right="120"/>
        <w:spacing w:after="0" w:line="260" w:lineRule="auto"/>
        <w:rPr>
          <w:sz w:val="20"/>
          <w:szCs w:val="20"/>
          <w:color w:val="auto"/>
        </w:rPr>
      </w:pPr>
      <w:r>
        <w:rPr>
          <w:rFonts w:ascii="Arial" w:cs="Arial" w:eastAsia="Arial" w:hAnsi="Arial"/>
          <w:sz w:val="17"/>
          <w:szCs w:val="17"/>
          <w:color w:val="auto"/>
        </w:rPr>
        <w:t>Net loss for the first nine months of 2009 was $32.0 million, or $(1.97) per diluted share, compared to net income for the first nine months of 2008 of $17.2 million, or $1.08 per diluted share. Included in the results for the first nine months of 2009 were the following items:</w:t>
      </w:r>
    </w:p>
    <w:p>
      <w:pPr>
        <w:ind w:left="620" w:hanging="126"/>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After-tax restructuring charges of $2.9 million or $0.18 per diluted share related to restructuring efforts at the Veenendaal, The Netherlands facility.</w:t>
      </w:r>
    </w:p>
    <w:p>
      <w:pPr>
        <w:spacing w:after="0" w:line="22" w:lineRule="exact"/>
        <w:rPr>
          <w:rFonts w:ascii="Arial" w:cs="Arial" w:eastAsia="Arial" w:hAnsi="Arial"/>
          <w:sz w:val="16"/>
          <w:szCs w:val="16"/>
          <w:color w:val="auto"/>
        </w:rPr>
      </w:pPr>
    </w:p>
    <w:p>
      <w:pPr>
        <w:ind w:left="620" w:hanging="126"/>
        <w:spacing w:after="0" w:line="253"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After-tax charge of $0.8 million or $0.05 per diluted share related to the previously announced closure of our Kilkenny, Ireland and Hamilton, Ohio facilities.</w:t>
      </w:r>
    </w:p>
    <w:p>
      <w:pPr>
        <w:ind w:left="620" w:hanging="126"/>
        <w:spacing w:after="0" w:line="253"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 of the recording of a valuation allowance on deferred taxes of $5.5 million, or $0.34 per diluted share which related to operating losses incurred by our U.S. operations.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Excluding these items, net loss for the first nine months of 2009 would have been $22.8 million or $(1.40) per diluted share.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The results for the first nine months of 2008 included the following items:</w:t>
      </w:r>
    </w:p>
    <w:p>
      <w:pPr>
        <w:spacing w:after="0" w:line="22" w:lineRule="exact"/>
        <w:rPr>
          <w:sz w:val="20"/>
          <w:szCs w:val="20"/>
          <w:color w:val="auto"/>
        </w:rPr>
      </w:pPr>
    </w:p>
    <w:p>
      <w:pPr>
        <w:ind w:left="620" w:hanging="126"/>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recording of approximately $3.0 million, or $0.19 per diluted share, in after-tax gains on the sale of surplus land in The Netherlands.</w:t>
      </w:r>
    </w:p>
    <w:p>
      <w:pPr>
        <w:spacing w:after="0" w:line="11" w:lineRule="exact"/>
        <w:rPr>
          <w:rFonts w:ascii="Arial" w:cs="Arial" w:eastAsia="Arial" w:hAnsi="Arial"/>
          <w:sz w:val="17"/>
          <w:szCs w:val="17"/>
          <w:color w:val="auto"/>
        </w:rPr>
      </w:pPr>
    </w:p>
    <w:p>
      <w:pPr>
        <w:ind w:left="620" w:hanging="126"/>
        <w:spacing w:after="0" w:line="253"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Net income included the recording of a one-time, favorable after-tax adjustment related to a change in Italian tax law of approximately $1.1 million or $0.07 per diluted share.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Excluding theses items, net income would have been $13.1 million or $0.82 per diluted share.</w:t>
      </w:r>
    </w:p>
    <w:p>
      <w:pPr>
        <w:spacing w:after="0" w:line="233" w:lineRule="exact"/>
        <w:rPr>
          <w:sz w:val="20"/>
          <w:szCs w:val="20"/>
          <w:color w:val="auto"/>
        </w:rPr>
      </w:pPr>
    </w:p>
    <w:p>
      <w:pPr>
        <w:ind w:right="600"/>
        <w:spacing w:after="0" w:line="280" w:lineRule="auto"/>
        <w:rPr>
          <w:sz w:val="20"/>
          <w:szCs w:val="20"/>
          <w:color w:val="auto"/>
        </w:rPr>
      </w:pPr>
      <w:r>
        <w:rPr>
          <w:rFonts w:ascii="Arial" w:cs="Arial" w:eastAsia="Arial" w:hAnsi="Arial"/>
          <w:sz w:val="17"/>
          <w:szCs w:val="17"/>
          <w:color w:val="auto"/>
        </w:rPr>
        <w:t>As a percentage of net sales, cost of products sold for the third quarter of 2009 was 89.2% compared to 79.9% recorded for the prior year period. The cost of products sold for the first nine months of 2009 was 93.4% compared to 79.6% for the same period last year.</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(SG&amp;A) expenses were $6.5 million, or 9.8% of net sales for the third quarter of 2009, a decrease of $3.2 million compared to</w:t>
      </w:r>
    </w:p>
    <w:p>
      <w:pPr>
        <w:spacing w:after="0" w:line="33"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$9.7 million or 9.3% of net sales for the third quarter of 2008. For the first nine months of 2009, selling, general and administrative expenses were $19.8 million, or 10.9% of net sales, a decrease of $10.2 million compared to $30.0 million, or 8.6% of net sales for the same period in 2008.</w:t>
      </w:r>
    </w:p>
    <w:p>
      <w:pPr>
        <w:spacing w:after="0" w:line="200"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James H. Dorton, Vice President and Chief Financial Officer commented, “Through the first nine months of 2009, we continued to experience the negative effects of the global economic recession. The sudden and extraordinary reductions in customer demand for our products that began in the fourth quarter of 2008 have been unprecedented. The deleveraging associated with these drastic reductions negatively affected our SG&amp;A and cost of products sold as a percentage of sales. During the third quarter, we began to see improvement in these margins and although we are far from realizing our historic profitability levels, we are encouraged by the positive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201930</wp:posOffset>
            </wp:positionV>
            <wp:extent cx="725741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 w:name="page6"/>
    <w:bookmarkEnd w:id="5"/>
    <w:p>
      <w:pPr>
        <w:ind w:right="100"/>
        <w:spacing w:after="0" w:line="297" w:lineRule="auto"/>
        <w:rPr>
          <w:sz w:val="20"/>
          <w:szCs w:val="20"/>
          <w:color w:val="auto"/>
        </w:rPr>
      </w:pPr>
      <w:r>
        <w:rPr>
          <w:rFonts w:ascii="Arial" w:cs="Arial" w:eastAsia="Arial" w:hAnsi="Arial"/>
          <w:sz w:val="15"/>
          <w:szCs w:val="15"/>
          <w:color w:val="auto"/>
        </w:rPr>
        <w:t>Mr. Dorton continued, “Since the beginning of 2009, we have reduced total company wide expenses on an annualized basis by approximately $55 million. We have been able to realize these reductions through a series of actions including employment reductions, salary reductions, plant closures, fixed overhead and SG&amp;A spending reductions. Also in the third quarter, we finalized a plan to restructure employment at our Veenendaal, The Netherlands facility. For this restructuring, we recorded a special after-tax charge of $2.9 million. The expected payback for this action is estimated to be less than one year. These cost reductions coupled with annualized cash conservation actions which total approximately $18 million have allowed us to significantly reduce our net income and cash flow break even points. Further, we have reduced working capital (net of cash and debt) by $23.3 million since the beginning of the year. This decrease in working capital was due primarily to our initiative to aggressively reduce inventory levels, which we have decreased by $20.2 million, or 38% since the beginning of the year.</w:t>
      </w:r>
    </w:p>
    <w:p>
      <w:pPr>
        <w:spacing w:after="0" w:line="184" w:lineRule="exact"/>
        <w:rPr>
          <w:sz w:val="20"/>
          <w:szCs w:val="20"/>
          <w:color w:val="auto"/>
        </w:rPr>
      </w:pPr>
    </w:p>
    <w:p>
      <w:pPr>
        <w:jc w:val="both"/>
        <w:ind w:right="80"/>
        <w:spacing w:after="0" w:line="266" w:lineRule="auto"/>
        <w:rPr>
          <w:sz w:val="20"/>
          <w:szCs w:val="20"/>
          <w:color w:val="auto"/>
        </w:rPr>
      </w:pPr>
      <w:r>
        <w:rPr>
          <w:rFonts w:ascii="Arial" w:cs="Arial" w:eastAsia="Arial" w:hAnsi="Arial"/>
          <w:sz w:val="17"/>
          <w:szCs w:val="17"/>
          <w:color w:val="auto"/>
        </w:rPr>
        <w:t>“Our beginning of the year goal for cash flow was to remain neutral for the year. At the end of the third quarter, we exceeded this goal as year-to-date cash flow was positive by $3.2 million which also included $3.3 million of non-operating cash expenditures associated with our credit facility restructuring in the first quarter. We were also able to pay down debt by $2.7 million by the end of the third quarter.”</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Mr. Dorton concluded, “As we disclosed in the prior quarter of this year, we classified all of our outstanding debt as a current liability since certain of our financial bank covenants had not yet been determined beyond March 31, 2010. In the fourth quarter of this year, we will begin the process with our bank group of determining the definitive covenant levels that will be in effect beyond the first quarter of 2010; consequently, we continued the classification of our outstanding debt as a current liability in the third quarter.”</w:t>
      </w:r>
    </w:p>
    <w:p>
      <w:pPr>
        <w:spacing w:after="0" w:line="205"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Roderick R. Baty, Chairman and Chief Executive Officer, commented, “In our second quarter earnings release, we stated that we were encouraged by recent positive economic news associated with global automotive and industrial demand. At that time, our June revenues and the most recent customer ordering patterns began to reflect incremental improvement compared to our first half results. During the third quarter, we continued to experience these positive signs of</w:t>
      </w:r>
    </w:p>
    <w:p>
      <w:pPr>
        <w:ind w:right="40"/>
        <w:spacing w:after="0" w:line="256" w:lineRule="auto"/>
        <w:rPr>
          <w:sz w:val="20"/>
          <w:szCs w:val="20"/>
          <w:color w:val="auto"/>
        </w:rPr>
      </w:pPr>
      <w:r>
        <w:rPr>
          <w:rFonts w:ascii="Arial" w:cs="Arial" w:eastAsia="Arial" w:hAnsi="Arial"/>
          <w:sz w:val="17"/>
          <w:szCs w:val="17"/>
          <w:color w:val="auto"/>
        </w:rPr>
        <w:t>recovery. Sequentially our third quarter net sales of $66.1 million were $9.0 million, or 15.8% higher than the $57.1 million in net sales recorded for the second quarter. This increase is especially noteworthy because we usually experience a significant decrease in our third quarter net sales due to seasonality factors, especially in our European operations. During the latter portion of the third quarter, we experienced a 28% increase in annualized revenue run rates as compared to the second quarter of this year. This level of improvement has continued into the fourth quarter which gives us optimism for the fourth quarter and the second half of 2009 versus the first half results we experienced.”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“While we are encouraged by our third quarter results, we remain cautious as to the rate of the economic recovery and increase in demand for our</w:t>
      </w:r>
    </w:p>
    <w:p>
      <w:pPr>
        <w:spacing w:after="0" w:line="22"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products. Specifically, the vast majority of our demand and revenue improvement has occurred in our customers’ automotive end markets in North America, Europe and Asia. A significant portion of this improvement is associated with the conclusion of supply chain destocking activities and government incentive programs in the U.S. and Europe. While our customers’ industrial end markets show no evidence of further deterioration, we have not seen evidence of improvement in industrial demand or lessening of the destocking effect for the third quarter. Given the current environment, our efforts to further reduce costs and enhance liquidly are ongoing.”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205740</wp:posOffset>
            </wp:positionV>
            <wp:extent cx="725741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 w:name="page7"/>
    <w:bookmarkEnd w:id="6"/>
    <w:p>
      <w:pPr>
        <w:ind w:right="40"/>
        <w:spacing w:after="0" w:line="266" w:lineRule="auto"/>
        <w:rPr>
          <w:sz w:val="20"/>
          <w:szCs w:val="20"/>
          <w:color w:val="auto"/>
        </w:rPr>
      </w:pPr>
      <w:r>
        <w:rPr>
          <w:rFonts w:ascii="Arial" w:cs="Arial" w:eastAsia="Arial" w:hAnsi="Arial"/>
          <w:sz w:val="17"/>
          <w:szCs w:val="17"/>
          <w:color w:val="auto"/>
        </w:rPr>
        <w:t>NN, Inc. manufacturers and supplies high precision metal bearing components, industrial plastic and rubber products and precision metal components to a variety of markets on a global basis. Headquartered in Johnson City, Tennessee, NN has 14 manufacturing plants in the United States, Western Europe, Eastern Europe and China. NN, Inc. had sales of US $425 million in 2008.</w:t>
      </w:r>
    </w:p>
    <w:p>
      <w:pPr>
        <w:spacing w:after="0" w:line="202" w:lineRule="exact"/>
        <w:rPr>
          <w:sz w:val="20"/>
          <w:szCs w:val="20"/>
          <w:color w:val="auto"/>
        </w:rPr>
      </w:pPr>
    </w:p>
    <w:p>
      <w:pPr>
        <w:spacing w:after="0" w:line="272"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Form 10-K for the fiscal year ended December 31, 2008.</w:t>
      </w: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NN,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Statements of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1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Arial" w:cs="Arial" w:eastAsia="Arial" w:hAnsi="Arial"/>
                <w:sz w:val="17"/>
                <w:szCs w:val="17"/>
                <w:b w:val="1"/>
                <w:bCs w:val="1"/>
                <w:color w:val="auto"/>
              </w:rPr>
              <w:t>&amp; #160;</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7"/>
                <w:szCs w:val="17"/>
                <w:b w:val="1"/>
                <w:bCs w:val="1"/>
                <w:color w:val="auto"/>
              </w:rPr>
              <w:t>60;</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20" w:type="dxa"/>
            <w:vAlign w:val="bottom"/>
            <w:gridSpan w:val="7"/>
          </w:tcPr>
          <w:p>
            <w:pPr>
              <w:jc w:val="right"/>
              <w:ind w:right="340"/>
              <w:spacing w:after="0"/>
              <w:rPr>
                <w:sz w:val="20"/>
                <w:szCs w:val="20"/>
                <w:color w:val="auto"/>
              </w:rPr>
            </w:pPr>
            <w:r>
              <w:rPr>
                <w:rFonts w:ascii="Arial" w:cs="Arial" w:eastAsia="Arial" w:hAnsi="Arial"/>
                <w:sz w:val="17"/>
                <w:szCs w:val="17"/>
                <w:b w:val="1"/>
                <w:bCs w:val="1"/>
                <w:color w:val="auto"/>
              </w:rPr>
              <w:t>Three Months Ended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gridSpan w:val="6"/>
          </w:tcPr>
          <w:p>
            <w:pPr>
              <w:ind w:left="100"/>
              <w:spacing w:after="0"/>
              <w:rPr>
                <w:sz w:val="20"/>
                <w:szCs w:val="20"/>
                <w:color w:val="auto"/>
              </w:rPr>
            </w:pPr>
            <w:r>
              <w:rPr>
                <w:rFonts w:ascii="Arial" w:cs="Arial" w:eastAsia="Arial" w:hAnsi="Arial"/>
                <w:sz w:val="17"/>
                <w:szCs w:val="17"/>
                <w:b w:val="1"/>
                <w:bCs w:val="1"/>
                <w:color w:val="auto"/>
              </w:rPr>
              <w:t>Nine Months Ended</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1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6"/>
          </w:tcPr>
          <w:p>
            <w:pPr>
              <w:jc w:val="right"/>
              <w:ind w:right="620"/>
              <w:spacing w:after="0"/>
              <w:rPr>
                <w:sz w:val="20"/>
                <w:szCs w:val="20"/>
                <w:color w:val="auto"/>
              </w:rPr>
            </w:pPr>
            <w:r>
              <w:rPr>
                <w:rFonts w:ascii="Arial" w:cs="Arial" w:eastAsia="Arial" w:hAnsi="Arial"/>
                <w:sz w:val="17"/>
                <w:szCs w:val="17"/>
                <w:b w:val="1"/>
                <w:bCs w:val="1"/>
                <w:color w:val="auto"/>
              </w:rPr>
              <w:t>September 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6"/>
          </w:tcPr>
          <w:p>
            <w:pPr>
              <w:ind w:left="300"/>
              <w:spacing w:after="0"/>
              <w:rPr>
                <w:sz w:val="20"/>
                <w:szCs w:val="20"/>
                <w:color w:val="auto"/>
              </w:rPr>
            </w:pPr>
            <w:r>
              <w:rPr>
                <w:rFonts w:ascii="Arial" w:cs="Arial" w:eastAsia="Arial" w:hAnsi="Arial"/>
                <w:sz w:val="17"/>
                <w:szCs w:val="17"/>
                <w:b w:val="1"/>
                <w:bCs w:val="1"/>
                <w:color w:val="auto"/>
              </w:rPr>
              <w:t>September 30,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w w:val="89"/>
              </w:rPr>
              <w:t>2009</w:t>
            </w: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7"/>
                <w:szCs w:val="17"/>
                <w:b w:val="1"/>
                <w:bCs w:val="1"/>
                <w:color w:val="auto"/>
              </w:rPr>
              <w:t>2009</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2008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vMerge w:val="restart"/>
          </w:tcPr>
          <w:p>
            <w:pPr>
              <w:spacing w:after="0"/>
              <w:rPr>
                <w:sz w:val="17"/>
                <w:szCs w:val="17"/>
                <w:color w:val="auto"/>
              </w:rPr>
            </w:pPr>
          </w:p>
        </w:tc>
        <w:tc>
          <w:tcPr>
            <w:tcW w:w="3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continue"/>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142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66,110</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104,866</w:t>
            </w:r>
          </w:p>
        </w:tc>
        <w:tc>
          <w:tcPr>
            <w:tcW w:w="1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181,119</w:t>
            </w:r>
          </w:p>
        </w:tc>
        <w:tc>
          <w:tcPr>
            <w:tcW w:w="1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348,647</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3700" w:type="dxa"/>
            <w:vAlign w:val="bottom"/>
          </w:tcPr>
          <w:p>
            <w:pPr>
              <w:spacing w:after="0" w:line="194" w:lineRule="exact"/>
              <w:rPr>
                <w:sz w:val="20"/>
                <w:szCs w:val="20"/>
                <w:color w:val="auto"/>
              </w:rPr>
            </w:pPr>
            <w:r>
              <w:rPr>
                <w:rFonts w:ascii="Arial" w:cs="Arial" w:eastAsia="Arial" w:hAnsi="Arial"/>
                <w:sz w:val="17"/>
                <w:szCs w:val="17"/>
                <w:color w:val="auto"/>
              </w:rPr>
              <w:t>Cost of products sold (exclusive of</w:t>
            </w: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Arial" w:cs="Arial" w:eastAsia="Arial" w:hAnsi="Arial"/>
                <w:sz w:val="17"/>
                <w:szCs w:val="17"/>
                <w:color w:val="auto"/>
              </w:rPr>
              <w:t>depreciation shown separately below)</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58,981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83,784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169,184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277,526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6,465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9,732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19,779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29,952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5,255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6,234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15,773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18,884</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(Gain) loss on disposal of assets</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(4,153)</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Restructuring and impairment costs</w:t>
            </w:r>
          </w:p>
        </w:tc>
        <w:tc>
          <w:tcPr>
            <w:tcW w:w="1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4,070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4,742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Income (loss) from operations</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(8,648)</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(28,318)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26,438</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restart"/>
          </w:tcPr>
          <w:p>
            <w:pPr>
              <w:spacing w:after="0"/>
              <w:rPr>
                <w:sz w:val="17"/>
                <w:szCs w:val="17"/>
                <w:color w:val="auto"/>
              </w:rPr>
            </w:pPr>
          </w:p>
        </w:tc>
        <w:tc>
          <w:tcPr>
            <w:tcW w:w="3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continue"/>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1,833</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4,068</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Reduction of unamortized debt issue cost</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604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Other income, net</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3700" w:type="dxa"/>
            <w:vAlign w:val="bottom"/>
            <w:tcBorders>
              <w:top w:val="single" w:sz="8" w:color="CCEEFF"/>
            </w:tcBorders>
          </w:tcPr>
          <w:p>
            <w:pPr>
              <w:spacing w:after="0" w:line="194" w:lineRule="exact"/>
              <w:rPr>
                <w:sz w:val="20"/>
                <w:szCs w:val="20"/>
                <w:color w:val="auto"/>
              </w:rPr>
            </w:pPr>
            <w:r>
              <w:rPr>
                <w:rFonts w:ascii="Arial" w:cs="Arial" w:eastAsia="Arial" w:hAnsi="Arial"/>
                <w:sz w:val="17"/>
                <w:szCs w:val="17"/>
                <w:color w:val="auto"/>
              </w:rPr>
              <w:t>Income (loss) before provision for income</w:t>
            </w:r>
          </w:p>
        </w:tc>
        <w:tc>
          <w:tcPr>
            <w:tcW w:w="116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Arial" w:cs="Arial" w:eastAsia="Arial" w:hAnsi="Arial"/>
                <w:sz w:val="17"/>
                <w:szCs w:val="17"/>
                <w:color w:val="auto"/>
              </w:rPr>
              <w:t>taxes</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(10,470)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4,242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(33,506)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23,180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Provision (benefit) for income taxes</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(1,487)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vMerge w:val="restart"/>
          </w:tcPr>
          <w:p>
            <w:pPr>
              <w:spacing w:after="0"/>
              <w:rPr>
                <w:sz w:val="17"/>
                <w:szCs w:val="17"/>
                <w:color w:val="auto"/>
              </w:rPr>
            </w:pPr>
          </w:p>
        </w:tc>
        <w:tc>
          <w:tcPr>
            <w:tcW w:w="370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160" w:type="dxa"/>
            <w:vAlign w:val="bottom"/>
            <w:vMerge w:val="continue"/>
          </w:tcPr>
          <w:p>
            <w:pPr>
              <w:spacing w:after="0"/>
              <w:rPr>
                <w:sz w:val="21"/>
                <w:szCs w:val="21"/>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42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(8,983)</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2,947</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(31,974)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17,220</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160" w:type="dxa"/>
            <w:vAlign w:val="bottom"/>
            <w:vMerge w:val="restart"/>
          </w:tcPr>
          <w:p>
            <w:pPr>
              <w:spacing w:after="0"/>
              <w:rPr>
                <w:sz w:val="17"/>
                <w:szCs w:val="17"/>
                <w:color w:val="auto"/>
              </w:rPr>
            </w:pPr>
          </w:p>
        </w:tc>
        <w:tc>
          <w:tcPr>
            <w:tcW w:w="370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160" w:type="dxa"/>
            <w:vAlign w:val="bottom"/>
            <w:vMerge w:val="continue"/>
          </w:tcPr>
          <w:p>
            <w:pPr>
              <w:spacing w:after="0"/>
              <w:rPr>
                <w:sz w:val="21"/>
                <w:szCs w:val="21"/>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Diluted income (loss) per common share</w:t>
            </w:r>
          </w:p>
        </w:tc>
        <w:tc>
          <w:tcPr>
            <w:tcW w:w="142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(0.55)</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160" w:type="dxa"/>
            <w:vAlign w:val="bottom"/>
            <w:vMerge w:val="restart"/>
          </w:tcPr>
          <w:p>
            <w:pPr>
              <w:spacing w:after="0"/>
              <w:rPr>
                <w:sz w:val="17"/>
                <w:szCs w:val="17"/>
                <w:color w:val="auto"/>
              </w:rPr>
            </w:pPr>
          </w:p>
        </w:tc>
        <w:tc>
          <w:tcPr>
            <w:tcW w:w="370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160" w:type="dxa"/>
            <w:vAlign w:val="bottom"/>
            <w:vMerge w:val="continue"/>
          </w:tcPr>
          <w:p>
            <w:pPr>
              <w:spacing w:after="0"/>
              <w:rPr>
                <w:sz w:val="21"/>
                <w:szCs w:val="21"/>
                <w:color w:val="auto"/>
              </w:rPr>
            </w:pPr>
          </w:p>
        </w:tc>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Weighted average diluted shares</w:t>
            </w: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16,268</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16,391</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16,268</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15,996</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53"/>
        </w:trPr>
        <w:tc>
          <w:tcPr>
            <w:tcW w:w="1160" w:type="dxa"/>
            <w:vAlign w:val="bottom"/>
            <w:tcBorders>
              <w:bottom w:val="single" w:sz="8" w:color="808080"/>
            </w:tcBorders>
          </w:tcPr>
          <w:p>
            <w:pPr>
              <w:spacing w:after="0"/>
              <w:rPr>
                <w:sz w:val="24"/>
                <w:szCs w:val="24"/>
                <w:color w:val="auto"/>
              </w:rPr>
            </w:pPr>
          </w:p>
        </w:tc>
        <w:tc>
          <w:tcPr>
            <w:tcW w:w="37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8" w:name="page9"/>
    <w:bookmarkEnd w:id="8"/>
    <w:p>
      <w:pPr>
        <w:ind w:left="5400"/>
        <w:spacing w:after="0"/>
        <w:rPr>
          <w:sz w:val="20"/>
          <w:szCs w:val="20"/>
          <w:color w:val="auto"/>
        </w:rPr>
      </w:pPr>
      <w:r>
        <w:rPr>
          <w:rFonts w:ascii="Arial" w:cs="Arial" w:eastAsia="Arial" w:hAnsi="Arial"/>
          <w:sz w:val="17"/>
          <w:szCs w:val="17"/>
          <w:b w:val="1"/>
          <w:bCs w:val="1"/>
          <w:color w:val="auto"/>
        </w:rPr>
        <w:t>NN, Inc.</w:t>
      </w:r>
    </w:p>
    <w:p>
      <w:pPr>
        <w:spacing w:after="0" w:line="28"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Condensed Balance Sheets</w:t>
      </w:r>
    </w:p>
    <w:p>
      <w:pPr>
        <w:spacing w:after="0" w:line="11"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ind w:left="538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16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b w:val="1"/>
                <w:bCs w:val="1"/>
                <w:color w:val="auto"/>
                <w:w w:val="93"/>
              </w:rPr>
              <w:t>September</w:t>
            </w:r>
          </w:p>
        </w:tc>
        <w:tc>
          <w:tcPr>
            <w:tcW w:w="180" w:type="dxa"/>
            <w:vAlign w:val="bottom"/>
          </w:tcPr>
          <w:p>
            <w:pPr>
              <w:spacing w:after="0"/>
              <w:rPr>
                <w:sz w:val="17"/>
                <w:szCs w:val="17"/>
                <w:color w:val="auto"/>
              </w:rPr>
            </w:pPr>
          </w:p>
        </w:tc>
        <w:tc>
          <w:tcPr>
            <w:tcW w:w="980" w:type="dxa"/>
            <w:vAlign w:val="bottom"/>
            <w:gridSpan w:val="3"/>
          </w:tcPr>
          <w:p>
            <w:pPr>
              <w:ind w:left="60"/>
              <w:spacing w:after="0"/>
              <w:rPr>
                <w:sz w:val="20"/>
                <w:szCs w:val="20"/>
                <w:color w:val="auto"/>
              </w:rPr>
            </w:pPr>
            <w:r>
              <w:rPr>
                <w:rFonts w:ascii="Arial" w:cs="Arial" w:eastAsia="Arial" w:hAnsi="Arial"/>
                <w:sz w:val="17"/>
                <w:szCs w:val="17"/>
                <w:b w:val="1"/>
                <w:bCs w:val="1"/>
                <w:color w:val="auto"/>
              </w:rPr>
              <w:t>December</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274"/>
              <w:spacing w:after="0"/>
              <w:rPr>
                <w:sz w:val="20"/>
                <w:szCs w:val="20"/>
                <w:color w:val="auto"/>
              </w:rPr>
            </w:pPr>
            <w:r>
              <w:rPr>
                <w:rFonts w:ascii="Arial" w:cs="Arial" w:eastAsia="Arial" w:hAnsi="Arial"/>
                <w:sz w:val="17"/>
                <w:szCs w:val="17"/>
                <w:b w:val="1"/>
                <w:bCs w:val="1"/>
                <w:color w:val="auto"/>
              </w:rPr>
              <w:t>30,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74"/>
              <w:spacing w:after="0"/>
              <w:rPr>
                <w:sz w:val="20"/>
                <w:szCs w:val="20"/>
                <w:color w:val="auto"/>
              </w:rPr>
            </w:pPr>
            <w:r>
              <w:rPr>
                <w:rFonts w:ascii="Arial" w:cs="Arial" w:eastAsia="Arial" w:hAnsi="Arial"/>
                <w:sz w:val="17"/>
                <w:szCs w:val="17"/>
                <w:b w:val="1"/>
                <w:bCs w:val="1"/>
                <w:color w:val="auto"/>
              </w:rPr>
              <w:t>31,</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116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2009</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2008</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6060" w:type="dxa"/>
            <w:vAlign w:val="bottom"/>
            <w:gridSpan w:val="2"/>
          </w:tcPr>
          <w:p>
            <w:pPr>
              <w:ind w:left="1140"/>
              <w:spacing w:after="0" w:line="194" w:lineRule="exact"/>
              <w:rPr>
                <w:sz w:val="20"/>
                <w:szCs w:val="20"/>
                <w:color w:val="auto"/>
              </w:rPr>
            </w:pPr>
            <w:r>
              <w:rPr>
                <w:rFonts w:ascii="Arial" w:cs="Arial" w:eastAsia="Arial" w:hAnsi="Arial"/>
                <w:sz w:val="17"/>
                <w:szCs w:val="17"/>
                <w:b w:val="1"/>
                <w:bCs w:val="1"/>
                <w:color w:val="auto"/>
              </w:rPr>
              <w:t>Assets</w:t>
            </w: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060" w:type="dxa"/>
            <w:vAlign w:val="bottom"/>
            <w:gridSpan w:val="2"/>
          </w:tcPr>
          <w:p>
            <w:pPr>
              <w:ind w:left="1140"/>
              <w:spacing w:after="0"/>
              <w:rPr>
                <w:sz w:val="20"/>
                <w:szCs w:val="20"/>
                <w:color w:val="auto"/>
              </w:rPr>
            </w:pPr>
            <w:r>
              <w:rPr>
                <w:rFonts w:ascii="Arial" w:cs="Arial" w:eastAsia="Arial" w:hAnsi="Arial"/>
                <w:sz w:val="17"/>
                <w:szCs w:val="17"/>
                <w:color w:val="auto"/>
              </w:rPr>
              <w:t>Current assets:</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Cash</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11,540</w:t>
            </w:r>
          </w:p>
        </w:tc>
        <w:tc>
          <w:tcPr>
            <w:tcW w:w="36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11,052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Accounts receivable, net</w:t>
            </w: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46,804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50,484</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Inventories, net</w:t>
            </w:r>
          </w:p>
        </w:tc>
        <w:tc>
          <w:tcPr>
            <w:tcW w:w="2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33,445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53,173</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Other current assets</w:t>
            </w:r>
          </w:p>
        </w:tc>
        <w:tc>
          <w:tcPr>
            <w:tcW w:w="2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9,606</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9,912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 current assets</w:t>
            </w:r>
          </w:p>
        </w:tc>
        <w:tc>
          <w:tcPr>
            <w:tcW w:w="2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101,395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124,621</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restart"/>
          </w:tcPr>
          <w:p>
            <w:pPr>
              <w:spacing w:after="0"/>
              <w:rPr>
                <w:sz w:val="17"/>
                <w:szCs w:val="17"/>
                <w:color w:val="auto"/>
              </w:rPr>
            </w:pPr>
          </w:p>
        </w:tc>
        <w:tc>
          <w:tcPr>
            <w:tcW w:w="49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continue"/>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net</w:t>
            </w:r>
          </w:p>
        </w:tc>
        <w:tc>
          <w:tcPr>
            <w:tcW w:w="2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137,728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145,690</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Goodwill and intangible assets, net</w:t>
            </w: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11,148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11,006</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assets</w:t>
            </w:r>
          </w:p>
        </w:tc>
        <w:tc>
          <w:tcPr>
            <w:tcW w:w="2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2,429</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2,723</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00" w:type="dxa"/>
            <w:vAlign w:val="bottom"/>
          </w:tcPr>
          <w:p>
            <w:pPr>
              <w:ind w:left="120"/>
              <w:spacing w:after="0"/>
              <w:rPr>
                <w:sz w:val="20"/>
                <w:szCs w:val="20"/>
                <w:color w:val="auto"/>
              </w:rPr>
            </w:pPr>
            <w:r>
              <w:rPr>
                <w:rFonts w:ascii="Arial" w:cs="Arial" w:eastAsia="Arial" w:hAnsi="Arial"/>
                <w:sz w:val="17"/>
                <w:szCs w:val="17"/>
                <w:color w:val="auto"/>
              </w:rPr>
              <w:t>Total assets</w:t>
            </w:r>
          </w:p>
        </w:tc>
        <w:tc>
          <w:tcPr>
            <w:tcW w:w="2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252,700</w:t>
            </w:r>
          </w:p>
        </w:tc>
        <w:tc>
          <w:tcPr>
            <w:tcW w:w="36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284,040</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60" w:type="dxa"/>
            <w:vAlign w:val="bottom"/>
            <w:vMerge w:val="restart"/>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continue"/>
          </w:tcPr>
          <w:p>
            <w:pPr>
              <w:spacing w:after="0"/>
              <w:rPr>
                <w:sz w:val="17"/>
                <w:szCs w:val="17"/>
                <w:color w:val="auto"/>
              </w:rPr>
            </w:pPr>
          </w:p>
        </w:tc>
        <w:tc>
          <w:tcPr>
            <w:tcW w:w="4900" w:type="dxa"/>
            <w:vAlign w:val="bottom"/>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2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Accounts payable</w:t>
            </w:r>
          </w:p>
        </w:tc>
        <w:tc>
          <w:tcPr>
            <w:tcW w:w="2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32,544</w:t>
            </w:r>
          </w:p>
        </w:tc>
        <w:tc>
          <w:tcPr>
            <w:tcW w:w="36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39,415</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Accrued salaries and wages</w:t>
            </w:r>
          </w:p>
        </w:tc>
        <w:tc>
          <w:tcPr>
            <w:tcW w:w="2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15,207</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12,745</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Current portion of long-term debt</w:t>
            </w: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94,034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6,916</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2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8,294</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4,279</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00" w:type="dxa"/>
            <w:vAlign w:val="bottom"/>
          </w:tcPr>
          <w:p>
            <w:pPr>
              <w:ind w:left="120"/>
              <w:spacing w:after="0"/>
              <w:rPr>
                <w:sz w:val="20"/>
                <w:szCs w:val="20"/>
                <w:color w:val="auto"/>
              </w:rPr>
            </w:pPr>
            <w:r>
              <w:rPr>
                <w:rFonts w:ascii="Arial" w:cs="Arial" w:eastAsia="Arial" w:hAnsi="Arial"/>
                <w:sz w:val="17"/>
                <w:szCs w:val="17"/>
                <w:color w:val="auto"/>
              </w:rPr>
              <w:t>Total current liabilities</w:t>
            </w: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150,079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63,355</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restart"/>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continue"/>
          </w:tcPr>
          <w:p>
            <w:pPr>
              <w:spacing w:after="0"/>
              <w:rPr>
                <w:sz w:val="17"/>
                <w:szCs w:val="17"/>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Deferred income taxes</w:t>
            </w: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4,374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4,939</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Long-term debt</w:t>
            </w:r>
          </w:p>
        </w:tc>
        <w:tc>
          <w:tcPr>
            <w:tcW w:w="2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90,172</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Other</w:t>
            </w:r>
          </w:p>
        </w:tc>
        <w:tc>
          <w:tcPr>
            <w:tcW w:w="2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16,341</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15,815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2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170,794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174,281</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restart"/>
          </w:tcPr>
          <w:p>
            <w:pPr>
              <w:spacing w:after="0"/>
              <w:rPr>
                <w:sz w:val="17"/>
                <w:szCs w:val="17"/>
                <w:color w:val="auto"/>
              </w:rPr>
            </w:pPr>
          </w:p>
        </w:tc>
        <w:tc>
          <w:tcPr>
            <w:tcW w:w="49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vMerge w:val="continue"/>
          </w:tcPr>
          <w:p>
            <w:pPr>
              <w:spacing w:after="0"/>
              <w:rPr>
                <w:sz w:val="18"/>
                <w:szCs w:val="18"/>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stockholders’ equity</w:t>
            </w:r>
          </w:p>
        </w:tc>
        <w:tc>
          <w:tcPr>
            <w:tcW w:w="2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81,906</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109,759</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vMerge w:val="restart"/>
          </w:tcPr>
          <w:p>
            <w:pPr>
              <w:spacing w:after="0"/>
              <w:rPr>
                <w:sz w:val="17"/>
                <w:szCs w:val="17"/>
                <w:color w:val="auto"/>
              </w:rPr>
            </w:pPr>
          </w:p>
        </w:tc>
        <w:tc>
          <w:tcPr>
            <w:tcW w:w="49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160" w:type="dxa"/>
            <w:vAlign w:val="bottom"/>
            <w:vMerge w:val="continue"/>
          </w:tcPr>
          <w:p>
            <w:pPr>
              <w:spacing w:after="0"/>
              <w:rPr>
                <w:sz w:val="21"/>
                <w:szCs w:val="21"/>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and stockholders’ equity</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252,700</w:t>
            </w:r>
          </w:p>
        </w:tc>
        <w:tc>
          <w:tcPr>
            <w:tcW w:w="36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284,040</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6"/>
        </w:trPr>
        <w:tc>
          <w:tcPr>
            <w:tcW w:w="1160" w:type="dxa"/>
            <w:vAlign w:val="bottom"/>
            <w:tcBorders>
              <w:bottom w:val="single" w:sz="8" w:color="808080"/>
            </w:tcBorders>
          </w:tcPr>
          <w:p>
            <w:pPr>
              <w:spacing w:after="0"/>
              <w:rPr>
                <w:sz w:val="24"/>
                <w:szCs w:val="24"/>
                <w:color w:val="auto"/>
              </w:rPr>
            </w:pPr>
          </w:p>
        </w:tc>
        <w:tc>
          <w:tcPr>
            <w:tcW w:w="4900" w:type="dxa"/>
            <w:vAlign w:val="bottom"/>
            <w:tcBorders>
              <w:top w:val="single" w:sz="8" w:color="CCEEFF"/>
              <w:bottom w:val="single" w:sz="8" w:color="808080"/>
            </w:tcBorders>
          </w:tcPr>
          <w:p>
            <w:pPr>
              <w:spacing w:after="0"/>
              <w:rPr>
                <w:sz w:val="24"/>
                <w:szCs w:val="24"/>
                <w:color w:val="auto"/>
              </w:rPr>
            </w:pPr>
          </w:p>
        </w:tc>
        <w:tc>
          <w:tcPr>
            <w:tcW w:w="2160" w:type="dxa"/>
            <w:vAlign w:val="bottom"/>
            <w:tcBorders>
              <w:top w:val="single" w:sz="8" w:color="CCEEFF"/>
              <w:bottom w:val="single" w:sz="8" w:color="808080"/>
            </w:tcBorders>
          </w:tcPr>
          <w:p>
            <w:pPr>
              <w:spacing w:after="0"/>
              <w:rPr>
                <w:sz w:val="24"/>
                <w:szCs w:val="24"/>
                <w:color w:val="auto"/>
              </w:rPr>
            </w:pPr>
          </w:p>
        </w:tc>
        <w:tc>
          <w:tcPr>
            <w:tcW w:w="160" w:type="dxa"/>
            <w:vAlign w:val="bottom"/>
            <w:tcBorders>
              <w:top w:val="single" w:sz="8" w:color="auto"/>
              <w:bottom w:val="single" w:sz="8" w:color="808080"/>
            </w:tcBorders>
          </w:tcPr>
          <w:p>
            <w:pPr>
              <w:spacing w:after="0"/>
              <w:rPr>
                <w:sz w:val="24"/>
                <w:szCs w:val="24"/>
                <w:color w:val="auto"/>
              </w:rPr>
            </w:pPr>
          </w:p>
        </w:tc>
        <w:tc>
          <w:tcPr>
            <w:tcW w:w="740" w:type="dxa"/>
            <w:vAlign w:val="bottom"/>
            <w:tcBorders>
              <w:top w:val="single" w:sz="8" w:color="auto"/>
              <w:bottom w:val="single" w:sz="8" w:color="808080"/>
            </w:tcBorders>
          </w:tcPr>
          <w:p>
            <w:pPr>
              <w:spacing w:after="0"/>
              <w:rPr>
                <w:sz w:val="24"/>
                <w:szCs w:val="24"/>
                <w:color w:val="auto"/>
              </w:rPr>
            </w:pPr>
          </w:p>
        </w:tc>
        <w:tc>
          <w:tcPr>
            <w:tcW w:w="180" w:type="dxa"/>
            <w:vAlign w:val="bottom"/>
            <w:tcBorders>
              <w:top w:val="single" w:sz="8" w:color="CCEEFF"/>
              <w:bottom w:val="single" w:sz="8" w:color="808080"/>
            </w:tcBorders>
          </w:tcPr>
          <w:p>
            <w:pPr>
              <w:spacing w:after="0"/>
              <w:rPr>
                <w:sz w:val="24"/>
                <w:szCs w:val="24"/>
                <w:color w:val="auto"/>
              </w:rPr>
            </w:pPr>
          </w:p>
        </w:tc>
        <w:tc>
          <w:tcPr>
            <w:tcW w:w="180" w:type="dxa"/>
            <w:vAlign w:val="bottom"/>
            <w:tcBorders>
              <w:top w:val="single" w:sz="8" w:color="auto"/>
              <w:bottom w:val="single" w:sz="8" w:color="808080"/>
            </w:tcBorders>
          </w:tcPr>
          <w:p>
            <w:pPr>
              <w:spacing w:after="0"/>
              <w:rPr>
                <w:sz w:val="24"/>
                <w:szCs w:val="24"/>
                <w:color w:val="auto"/>
              </w:rPr>
            </w:pPr>
          </w:p>
        </w:tc>
        <w:tc>
          <w:tcPr>
            <w:tcW w:w="720" w:type="dxa"/>
            <w:vAlign w:val="bottom"/>
            <w:tcBorders>
              <w:top w:val="single" w:sz="8" w:color="auto"/>
              <w:bottom w:val="single" w:sz="8" w:color="808080"/>
            </w:tcBorders>
          </w:tcPr>
          <w:p>
            <w:pPr>
              <w:spacing w:after="0"/>
              <w:rPr>
                <w:sz w:val="24"/>
                <w:szCs w:val="24"/>
                <w:color w:val="auto"/>
              </w:rPr>
            </w:pPr>
          </w:p>
        </w:tc>
        <w:tc>
          <w:tcPr>
            <w:tcW w:w="80" w:type="dxa"/>
            <w:vAlign w:val="bottom"/>
            <w:tcBorders>
              <w:top w:val="single" w:sz="8" w:color="CCEEFF"/>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9" w:name="page10"/>
    <w:bookmarkEnd w:id="9"/>
    <w:p>
      <w:pPr>
        <w:spacing w:after="0" w:line="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Reconciliation of Non-GAAP to GAAP Financial Measures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gridSpan w:val="5"/>
          </w:tcPr>
          <w:p>
            <w:pPr>
              <w:jc w:val="right"/>
              <w:ind w:right="340"/>
              <w:spacing w:after="0"/>
              <w:rPr>
                <w:sz w:val="20"/>
                <w:szCs w:val="20"/>
                <w:color w:val="auto"/>
              </w:rPr>
            </w:pPr>
            <w:r>
              <w:rPr>
                <w:rFonts w:ascii="Arial" w:cs="Arial" w:eastAsia="Arial" w:hAnsi="Arial"/>
                <w:sz w:val="17"/>
                <w:szCs w:val="17"/>
                <w:b w:val="1"/>
                <w:bCs w:val="1"/>
                <w:color w:val="auto"/>
                <w:w w:val="96"/>
              </w:rPr>
              <w:t>Three Months Ended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6"/>
          </w:tcPr>
          <w:p>
            <w:pPr>
              <w:jc w:val="right"/>
              <w:ind w:right="340"/>
              <w:spacing w:after="0"/>
              <w:rPr>
                <w:sz w:val="20"/>
                <w:szCs w:val="20"/>
                <w:color w:val="auto"/>
              </w:rPr>
            </w:pPr>
            <w:r>
              <w:rPr>
                <w:rFonts w:ascii="Arial" w:cs="Arial" w:eastAsia="Arial" w:hAnsi="Arial"/>
                <w:sz w:val="17"/>
                <w:szCs w:val="17"/>
                <w:b w:val="1"/>
                <w:bCs w:val="1"/>
                <w:color w:val="auto"/>
                <w:w w:val="97"/>
              </w:rPr>
              <w:t>Nine Months Ended</w:t>
            </w: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80" w:type="dxa"/>
            <w:vAlign w:val="bottom"/>
            <w:gridSpan w:val="5"/>
          </w:tcPr>
          <w:p>
            <w:pPr>
              <w:jc w:val="right"/>
              <w:ind w:right="400"/>
              <w:spacing w:after="0"/>
              <w:rPr>
                <w:sz w:val="20"/>
                <w:szCs w:val="20"/>
                <w:color w:val="auto"/>
              </w:rPr>
            </w:pPr>
            <w:r>
              <w:rPr>
                <w:rFonts w:ascii="Arial" w:cs="Arial" w:eastAsia="Arial" w:hAnsi="Arial"/>
                <w:sz w:val="17"/>
                <w:szCs w:val="17"/>
                <w:b w:val="1"/>
                <w:bCs w:val="1"/>
                <w:color w:val="auto"/>
                <w:w w:val="98"/>
              </w:rPr>
              <w:t>September 30, 2009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6"/>
          </w:tcPr>
          <w:p>
            <w:pPr>
              <w:jc w:val="right"/>
              <w:ind w:right="360"/>
              <w:spacing w:after="0"/>
              <w:rPr>
                <w:sz w:val="20"/>
                <w:szCs w:val="20"/>
                <w:color w:val="auto"/>
              </w:rPr>
            </w:pPr>
            <w:r>
              <w:rPr>
                <w:rFonts w:ascii="Arial" w:cs="Arial" w:eastAsia="Arial" w:hAnsi="Arial"/>
                <w:sz w:val="17"/>
                <w:szCs w:val="17"/>
                <w:b w:val="1"/>
                <w:bCs w:val="1"/>
                <w:color w:val="auto"/>
                <w:w w:val="95"/>
              </w:rPr>
              <w:t>September 30, 2009</w:t>
            </w:r>
          </w:p>
        </w:tc>
      </w:tr>
      <w:tr>
        <w:trPr>
          <w:trHeight w:val="396"/>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3"/>
              </w:rPr>
              <w:t>Diluted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7"/>
              </w:rPr>
              <w:t>Diluted</w:t>
            </w:r>
          </w:p>
        </w:tc>
      </w:tr>
      <w:tr>
        <w:trPr>
          <w:trHeight w:val="206"/>
        </w:trPr>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7"/>
                <w:szCs w:val="17"/>
                <w:b w:val="1"/>
                <w:bCs w:val="1"/>
                <w:color w:val="auto"/>
              </w:rPr>
              <w:t>In</w:t>
            </w:r>
          </w:p>
        </w:tc>
        <w:tc>
          <w:tcPr>
            <w:tcW w:w="8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0"/>
              </w:rPr>
              <w:t>Earnings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In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3"/>
              </w:rPr>
              <w:t>Earnings</w:t>
            </w:r>
          </w:p>
        </w:tc>
      </w:tr>
      <w:tr>
        <w:trPr>
          <w:trHeight w:val="231"/>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2"/>
              </w:rPr>
              <w:t>Thousands</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b w:val="1"/>
                <w:bCs w:val="1"/>
                <w:color w:val="auto"/>
                <w:w w:val="93"/>
              </w:rPr>
              <w:t>Per Share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0"/>
              </w:rPr>
              <w:t>Thousands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b w:val="1"/>
                <w:bCs w:val="1"/>
                <w:color w:val="auto"/>
                <w:w w:val="90"/>
              </w:rPr>
              <w:t>Per Share</w:t>
            </w:r>
          </w:p>
        </w:tc>
        <w:tc>
          <w:tcPr>
            <w:tcW w:w="80" w:type="dxa"/>
            <w:vAlign w:val="bottom"/>
          </w:tcPr>
          <w:p>
            <w:pPr>
              <w:spacing w:after="0"/>
              <w:rPr>
                <w:sz w:val="20"/>
                <w:szCs w:val="20"/>
                <w:color w:val="auto"/>
              </w:rPr>
            </w:pPr>
          </w:p>
        </w:tc>
      </w:tr>
      <w:tr>
        <w:trPr>
          <w:trHeight w:val="206"/>
        </w:trPr>
        <w:tc>
          <w:tcPr>
            <w:tcW w:w="20" w:type="dxa"/>
            <w:vAlign w:val="bottom"/>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(8,983)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(0.55)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(31,974)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(1.97)</w:t>
            </w:r>
          </w:p>
        </w:tc>
      </w:tr>
      <w:tr>
        <w:trPr>
          <w:trHeight w:val="206"/>
        </w:trPr>
        <w:tc>
          <w:tcPr>
            <w:tcW w:w="2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7"/>
                <w:szCs w:val="17"/>
                <w:color w:val="auto"/>
              </w:rPr>
              <w:t>After-tax restructuring costs for plant closing</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0.01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792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0.05</w:t>
            </w:r>
          </w:p>
        </w:tc>
        <w:tc>
          <w:tcPr>
            <w:tcW w:w="8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Valuation allowance on deferred taxes, net</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0.34</w:t>
            </w:r>
          </w:p>
        </w:tc>
        <w:tc>
          <w:tcPr>
            <w:tcW w:w="8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7"/>
                <w:szCs w:val="17"/>
                <w:color w:val="auto"/>
              </w:rPr>
              <w:t>After-tax restructuring charges for Veenendaal facility</w:t>
            </w:r>
          </w:p>
        </w:tc>
        <w:tc>
          <w:tcPr>
            <w:tcW w:w="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2,924</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0.18</w:t>
            </w:r>
          </w:p>
        </w:tc>
        <w:tc>
          <w:tcPr>
            <w:tcW w:w="80" w:type="dxa"/>
            <w:vAlign w:val="bottom"/>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w w:val="99"/>
              </w:rPr>
              <w:t>Net (loss) excluding restructuring and other special charges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(5,940)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(22,780)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(1.40)</w:t>
            </w: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16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gridSpan w:val="4"/>
          </w:tcPr>
          <w:p>
            <w:pPr>
              <w:jc w:val="right"/>
              <w:ind w:right="154"/>
              <w:spacing w:after="0"/>
              <w:rPr>
                <w:sz w:val="20"/>
                <w:szCs w:val="20"/>
                <w:color w:val="auto"/>
              </w:rPr>
            </w:pPr>
            <w:r>
              <w:rPr>
                <w:rFonts w:ascii="Arial" w:cs="Arial" w:eastAsia="Arial" w:hAnsi="Arial"/>
                <w:sz w:val="17"/>
                <w:szCs w:val="17"/>
                <w:b w:val="1"/>
                <w:bCs w:val="1"/>
                <w:color w:val="auto"/>
                <w:w w:val="96"/>
              </w:rPr>
              <w:t>Three Months Ended</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6"/>
          </w:tcPr>
          <w:p>
            <w:pPr>
              <w:jc w:val="right"/>
              <w:ind w:right="340"/>
              <w:spacing w:after="0"/>
              <w:rPr>
                <w:sz w:val="20"/>
                <w:szCs w:val="20"/>
                <w:color w:val="auto"/>
              </w:rPr>
            </w:pPr>
            <w:r>
              <w:rPr>
                <w:rFonts w:ascii="Arial" w:cs="Arial" w:eastAsia="Arial" w:hAnsi="Arial"/>
                <w:sz w:val="17"/>
                <w:szCs w:val="17"/>
                <w:b w:val="1"/>
                <w:bCs w:val="1"/>
                <w:color w:val="auto"/>
                <w:w w:val="97"/>
              </w:rPr>
              <w:t>Nine Months Ended</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4"/>
          </w:tcPr>
          <w:p>
            <w:pPr>
              <w:jc w:val="right"/>
              <w:ind w:right="214"/>
              <w:spacing w:after="0"/>
              <w:rPr>
                <w:sz w:val="20"/>
                <w:szCs w:val="20"/>
                <w:color w:val="auto"/>
              </w:rPr>
            </w:pPr>
            <w:r>
              <w:rPr>
                <w:rFonts w:ascii="Arial" w:cs="Arial" w:eastAsia="Arial" w:hAnsi="Arial"/>
                <w:sz w:val="17"/>
                <w:szCs w:val="17"/>
                <w:b w:val="1"/>
                <w:bCs w:val="1"/>
                <w:color w:val="auto"/>
                <w:w w:val="98"/>
              </w:rPr>
              <w:t>September 30, 2008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6"/>
          </w:tcPr>
          <w:p>
            <w:pPr>
              <w:jc w:val="right"/>
              <w:ind w:right="360"/>
              <w:spacing w:after="0"/>
              <w:rPr>
                <w:sz w:val="20"/>
                <w:szCs w:val="20"/>
                <w:color w:val="auto"/>
              </w:rPr>
            </w:pPr>
            <w:r>
              <w:rPr>
                <w:rFonts w:ascii="Arial" w:cs="Arial" w:eastAsia="Arial" w:hAnsi="Arial"/>
                <w:sz w:val="17"/>
                <w:szCs w:val="17"/>
                <w:b w:val="1"/>
                <w:bCs w:val="1"/>
                <w:color w:val="auto"/>
                <w:w w:val="95"/>
              </w:rPr>
              <w:t>September 30, 2008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11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center"/>
              <w:ind w:right="14"/>
              <w:spacing w:after="0"/>
              <w:rPr>
                <w:sz w:val="20"/>
                <w:szCs w:val="20"/>
                <w:color w:val="auto"/>
              </w:rPr>
            </w:pPr>
            <w:r>
              <w:rPr>
                <w:rFonts w:ascii="Arial" w:cs="Arial" w:eastAsia="Arial" w:hAnsi="Arial"/>
                <w:sz w:val="17"/>
                <w:szCs w:val="17"/>
                <w:b w:val="1"/>
                <w:bCs w:val="1"/>
                <w:color w:val="auto"/>
                <w:w w:val="93"/>
              </w:rPr>
              <w:t>Diluted</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7"/>
              </w:rPr>
              <w:t>Diluted</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294"/>
              <w:spacing w:after="0"/>
              <w:rPr>
                <w:sz w:val="20"/>
                <w:szCs w:val="20"/>
                <w:color w:val="auto"/>
              </w:rPr>
            </w:pPr>
            <w:r>
              <w:rPr>
                <w:rFonts w:ascii="Arial" w:cs="Arial" w:eastAsia="Arial" w:hAnsi="Arial"/>
                <w:sz w:val="17"/>
                <w:szCs w:val="17"/>
                <w:b w:val="1"/>
                <w:bCs w:val="1"/>
                <w:color w:val="auto"/>
              </w:rPr>
              <w:t>In</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center"/>
              <w:ind w:right="14"/>
              <w:spacing w:after="0"/>
              <w:rPr>
                <w:sz w:val="20"/>
                <w:szCs w:val="20"/>
                <w:color w:val="auto"/>
              </w:rPr>
            </w:pPr>
            <w:r>
              <w:rPr>
                <w:rFonts w:ascii="Arial" w:cs="Arial" w:eastAsia="Arial" w:hAnsi="Arial"/>
                <w:sz w:val="17"/>
                <w:szCs w:val="17"/>
                <w:b w:val="1"/>
                <w:bCs w:val="1"/>
                <w:color w:val="auto"/>
                <w:w w:val="90"/>
              </w:rPr>
              <w:t>Earnings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In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3"/>
              </w:rPr>
              <w:t>Earnings</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116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2"/>
              </w:rPr>
              <w:t>Thousands</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b w:val="1"/>
                <w:bCs w:val="1"/>
                <w:color w:val="auto"/>
                <w:w w:val="93"/>
              </w:rPr>
              <w:t>Per Share</w:t>
            </w:r>
          </w:p>
        </w:tc>
        <w:tc>
          <w:tcPr>
            <w:tcW w:w="18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0"/>
              </w:rPr>
              <w:t>Thousands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b w:val="1"/>
                <w:bCs w:val="1"/>
                <w:color w:val="auto"/>
                <w:w w:val="90"/>
              </w:rPr>
              <w:t>Per Share</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17,220</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After-tax gain related to sale of land</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(2,995)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(0.19)</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Italian tax adjustment, net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(1,142)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(0.07)</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60" w:type="dxa"/>
            <w:vAlign w:val="bottom"/>
            <w:vMerge w:val="restart"/>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160" w:type="dxa"/>
            <w:vAlign w:val="bottom"/>
            <w:vMerge w:val="continue"/>
          </w:tcPr>
          <w:p>
            <w:pPr>
              <w:spacing w:after="0"/>
              <w:rPr>
                <w:sz w:val="17"/>
                <w:szCs w:val="17"/>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Net income excluding restructuring and other special charges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2,947</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0.18</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13,083</w:t>
            </w:r>
          </w:p>
        </w:tc>
        <w:tc>
          <w:tcPr>
            <w:tcW w:w="1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0.82</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0"/>
        </w:trPr>
        <w:tc>
          <w:tcPr>
            <w:tcW w:w="1160" w:type="dxa"/>
            <w:vAlign w:val="bottom"/>
            <w:tcBorders>
              <w:bottom w:val="single" w:sz="8" w:color="808080"/>
            </w:tcBorders>
          </w:tcPr>
          <w:p>
            <w:pPr>
              <w:spacing w:after="0"/>
              <w:rPr>
                <w:sz w:val="24"/>
                <w:szCs w:val="24"/>
                <w:color w:val="auto"/>
              </w:rPr>
            </w:pPr>
          </w:p>
        </w:tc>
        <w:tc>
          <w:tcPr>
            <w:tcW w:w="48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2019-12-10T11:49:00Z</dcterms:created>
  <dcterms:modified xsi:type="dcterms:W3CDTF">2019-12-10T11:49:00Z</dcterms:modified>
</cp:coreProperties>
</file>