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6430" cy="430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3040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FELCHER, JR. MICHAEL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ind w:left="340" w:hanging="340"/>
        <w:spacing w:after="0"/>
        <w:tabs>
          <w:tab w:leader="none" w:pos="340" w:val="left"/>
        </w:tabs>
        <w:numPr>
          <w:ilvl w:val="0"/>
          <w:numId w:val="1"/>
        </w:numPr>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04/01/2023</w:t>
      </w:r>
    </w:p>
    <w:p>
      <w:pPr>
        <w:spacing w:after="0" w:line="20" w:lineRule="exact"/>
        <w:rPr>
          <w:sz w:val="24"/>
          <w:szCs w:val="24"/>
          <w:color w:val="auto"/>
        </w:rPr>
      </w:pPr>
      <w:r>
        <w:rPr>
          <w:sz w:val="24"/>
          <w:szCs w:val="24"/>
          <w:color w:val="auto"/>
        </w:rPr>
        <w:br w:type="column"/>
      </w:r>
    </w:p>
    <w:p>
      <w:pPr>
        <w:ind w:left="-3" w:right="700" w:firstLine="3"/>
        <w:spacing w:after="0" w:line="249" w:lineRule="auto"/>
        <w:tabs>
          <w:tab w:leader="none" w:pos="137"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7"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37"/>
        <w:spacing w:after="0"/>
        <w:rPr>
          <w:sz w:val="20"/>
          <w:szCs w:val="20"/>
          <w:color w:val="auto"/>
        </w:rPr>
      </w:pPr>
      <w:r>
        <w:rPr>
          <w:rFonts w:ascii="Times New Roman" w:cs="Times New Roman" w:eastAsia="Times New Roman" w:hAnsi="Times New Roman"/>
          <w:sz w:val="16"/>
          <w:szCs w:val="16"/>
          <w:color w:val="0000FF"/>
        </w:rPr>
        <w:t>SVP, Chief Financial Officer</w:t>
      </w:r>
    </w:p>
    <w:p>
      <w:pPr>
        <w:spacing w:after="0" w:line="308" w:lineRule="exact"/>
        <w:rPr>
          <w:sz w:val="24"/>
          <w:szCs w:val="24"/>
          <w:color w:val="auto"/>
        </w:rPr>
      </w:pPr>
    </w:p>
    <w:p>
      <w:pPr>
        <w:sectPr>
          <w:pgSz w:w="11900" w:h="16838" w:orient="portrait"/>
          <w:cols w:equalWidth="0" w:num="3">
            <w:col w:w="3180" w:space="720"/>
            <w:col w:w="3103" w:space="720"/>
            <w:col w:w="3357"/>
          </w:cols>
          <w:pgMar w:left="460" w:top="215" w:right="359" w:bottom="1440" w:gutter="0" w:footer="0" w:header="0"/>
          <w:type w:val="continuous"/>
        </w:sectPr>
      </w:pP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28277</w:t>
            </w: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04/01/2023</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6"/>
                <w:szCs w:val="16"/>
                <w:color w:val="0000FF"/>
              </w:rPr>
              <w:t>126,168</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183,484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3"/>
                <w:szCs w:val="13"/>
                <w:color w:val="0000FF"/>
              </w:rPr>
              <w:t>04/01/2023</w:t>
            </w:r>
          </w:p>
        </w:tc>
        <w:tc>
          <w:tcPr>
            <w:tcW w:w="11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252,336</w:t>
            </w:r>
          </w:p>
        </w:tc>
        <w:tc>
          <w:tcPr>
            <w:tcW w:w="28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252,336</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252,336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restricted stock and vest in three equal annual installments beginning on April 1, 2024.</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common stock of NN, Inc. (the "Issuer").</w:t>
      </w:r>
    </w:p>
    <w:p>
      <w:pPr>
        <w:spacing w:after="0" w:line="39" w:lineRule="exact"/>
        <w:rPr>
          <w:rFonts w:ascii="Times New Roman" w:cs="Times New Roman" w:eastAsia="Times New Roman" w:hAnsi="Times New Roman"/>
          <w:sz w:val="13"/>
          <w:szCs w:val="13"/>
          <w:color w:val="008000"/>
        </w:rPr>
      </w:pPr>
    </w:p>
    <w:p>
      <w:pPr>
        <w:ind w:left="40" w:right="180" w:hanging="1"/>
        <w:spacing w:after="0" w:line="236" w:lineRule="auto"/>
        <w:tabs>
          <w:tab w:leader="none" w:pos="16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rights will vest pursuant to the terms and subject to the conditions set forth in the Issuer's 2022 Omnibus Incentive Plan and the applicable Performance Share Unit Award Agreement based on the relative total shareholder return ("TSR") of the Issuer, as compared to the TSR of a custom S&amp;P "MicroCap" Capital Goods Index over the period beginning on January 1, 2023 and ending December 31, 2025. The performance rights granted represent the right to receive the target shares, and actual performance rights earned may be between 25% and 150% of the target shares.</w:t>
      </w:r>
    </w:p>
    <w:p>
      <w:pPr>
        <w:sectPr>
          <w:pgSz w:w="11900" w:h="16838" w:orient="portrait"/>
          <w:cols w:equalWidth="0" w:num="1">
            <w:col w:w="11080"/>
          </w:cols>
          <w:pgMar w:left="460" w:top="215" w:right="35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Richard F. Mattern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-3810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483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3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74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700" w:space="100"/>
            <w:col w:w="2280"/>
          </w:cols>
          <w:pgMar w:left="460" w:top="21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791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2023-04-04T17:47:13Z</dcterms:created>
  <dcterms:modified xsi:type="dcterms:W3CDTF">2023-04-04T17:47:13Z</dcterms:modified>
</cp:coreProperties>
</file>