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CURRENT REPORT PURSUANT TO</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SECTION 13 OR 15(d) OF THE</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81"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Date of Report (Date of earliest event reported): November 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169545</wp:posOffset>
            </wp:positionV>
            <wp:extent cx="62611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u w:val="single" w:color="auto"/>
          <w:color w:val="auto"/>
        </w:rPr>
        <w:t>NN, INC.</w:t>
      </w:r>
    </w:p>
    <w:p>
      <w:pPr>
        <w:spacing w:after="0" w:line="40"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2240" w:type="dxa"/>
            <w:vAlign w:val="bottom"/>
            <w:gridSpan w:val="2"/>
          </w:tcPr>
          <w:p>
            <w:pPr>
              <w:jc w:val="center"/>
              <w:ind w:right="1560"/>
              <w:spacing w:after="0"/>
              <w:rPr>
                <w:sz w:val="20"/>
                <w:szCs w:val="20"/>
                <w:color w:val="auto"/>
              </w:rPr>
            </w:pPr>
            <w:r>
              <w:rPr>
                <w:rFonts w:ascii="Arial" w:cs="Arial" w:eastAsia="Arial" w:hAnsi="Arial"/>
                <w:sz w:val="18"/>
                <w:szCs w:val="18"/>
                <w:color w:val="auto"/>
                <w:w w:val="89"/>
              </w:rPr>
              <w:t>Delaware</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0-23486</w:t>
            </w: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60" w:type="dxa"/>
            <w:vAlign w:val="bottom"/>
            <w:gridSpan w:val="5"/>
          </w:tcPr>
          <w:p>
            <w:pPr>
              <w:jc w:val="right"/>
              <w:ind w:right="880"/>
              <w:spacing w:after="0"/>
              <w:rPr>
                <w:sz w:val="20"/>
                <w:szCs w:val="20"/>
                <w:color w:val="auto"/>
              </w:rPr>
            </w:pPr>
            <w:r>
              <w:rPr>
                <w:rFonts w:ascii="Arial" w:cs="Arial" w:eastAsia="Arial" w:hAnsi="Arial"/>
                <w:sz w:val="18"/>
                <w:szCs w:val="18"/>
                <w:color w:val="auto"/>
              </w:rPr>
              <w:t>62-1096725</w:t>
            </w:r>
          </w:p>
        </w:tc>
      </w:tr>
      <w:tr>
        <w:trPr>
          <w:trHeight w:val="20"/>
        </w:trPr>
        <w:tc>
          <w:tcPr>
            <w:tcW w:w="1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6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(State or Other Jurisdiction of Incorporation)</w:t>
            </w:r>
          </w:p>
        </w:tc>
        <w:tc>
          <w:tcPr>
            <w:tcW w:w="4300" w:type="dxa"/>
            <w:vAlign w:val="bottom"/>
            <w:gridSpan w:val="5"/>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2860" w:type="dxa"/>
            <w:vAlign w:val="bottom"/>
            <w:gridSpan w:val="5"/>
          </w:tcPr>
          <w:p>
            <w:pPr>
              <w:jc w:val="center"/>
              <w:ind w:left="15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3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2000 Waters Edge Drive, Johnson City, Tennessee</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37604</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60" w:type="dxa"/>
            <w:vAlign w:val="bottom"/>
            <w:gridSpan w:val="5"/>
          </w:tcPr>
          <w:p>
            <w:pPr>
              <w:jc w:val="center"/>
              <w:spacing w:after="0"/>
              <w:rPr>
                <w:sz w:val="20"/>
                <w:szCs w:val="20"/>
                <w:color w:val="auto"/>
              </w:rPr>
            </w:pPr>
            <w:r>
              <w:rPr>
                <w:rFonts w:ascii="Arial" w:cs="Arial" w:eastAsia="Arial" w:hAnsi="Arial"/>
                <w:sz w:val="18"/>
                <w:szCs w:val="18"/>
                <w:color w:val="auto"/>
                <w:w w:val="91"/>
              </w:rPr>
              <w:t>(Zip Code)</w:t>
            </w:r>
          </w:p>
        </w:tc>
      </w:tr>
      <w:tr>
        <w:trPr>
          <w:trHeight w:val="392"/>
        </w:trPr>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(423) 743-9151</w:t>
            </w: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1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30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(Registrant's telephone number, including area code)</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02"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553" w:right="659" w:bottom="1440" w:gutter="0" w:footer="0" w:header="0"/>
        </w:sectPr>
      </w:pPr>
    </w:p>
    <w:bookmarkStart w:id="1" w:name="page2"/>
    <w:bookmarkEnd w:id="1"/>
    <w:p>
      <w:pPr>
        <w:spacing w:after="0"/>
        <w:tabs>
          <w:tab w:leader="none" w:pos="92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November 4, 2014, NN, Inc. (the “Company”) issued a press release, announcing the Company’s results of operations and financial condition for the third quarter ended September 30, 2014. The full text of the press release is furnished as Exhibit 99.1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25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November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72"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4, 2014</w:t>
      </w:r>
      <w:r>
        <w:rPr>
          <w:sz w:val="20"/>
          <w:szCs w:val="20"/>
          <w:color w:val="auto"/>
        </w:rPr>
        <w:tab/>
      </w:r>
      <w:r>
        <w:rPr>
          <w:rFonts w:ascii="Arial" w:cs="Arial" w:eastAsia="Arial" w:hAnsi="Arial"/>
          <w:sz w:val="17"/>
          <w:szCs w:val="17"/>
          <w:b w:val="1"/>
          <w:bCs w:val="1"/>
          <w:color w:val="auto"/>
        </w:rPr>
        <w:t>NN,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11493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William C. Kelly, Jr.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Vice President and Chief</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1307465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3"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20" w:type="dxa"/>
            <w:vAlign w:val="bottom"/>
          </w:tcPr>
          <w:p>
            <w:pPr>
              <w:ind w:left="262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6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020" w:type="dxa"/>
            <w:vAlign w:val="bottom"/>
          </w:tcPr>
          <w:p>
            <w:pPr>
              <w:spacing w:after="0"/>
              <w:rPr>
                <w:sz w:val="24"/>
                <w:szCs w:val="24"/>
                <w:color w:val="auto"/>
              </w:rPr>
            </w:pPr>
          </w:p>
        </w:tc>
      </w:tr>
      <w:tr>
        <w:trPr>
          <w:trHeight w:val="480"/>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Press Release of NN, Inc. dated November 4, 2014.</w:t>
            </w:r>
          </w:p>
        </w:tc>
      </w:tr>
    </w:tbl>
    <w:p>
      <w:pPr>
        <w:sectPr>
          <w:pgSz w:w="11900" w:h="16838" w:orient="portrait"/>
          <w:cols w:equalWidth="0" w:num="1">
            <w:col w:w="10219"/>
          </w:cols>
          <w:pgMar w:left="240" w:top="513" w:right="1440" w:bottom="1440" w:gutter="0" w:footer="0" w:header="0"/>
        </w:sectPr>
      </w:pPr>
    </w:p>
    <w:bookmarkStart w:id="4" w:name="page5"/>
    <w:bookmarkEnd w:id="4"/>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9"/>
          <w:szCs w:val="29"/>
          <w:color w:val="auto"/>
        </w:rPr>
        <w:t>F I N A N C I A 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Robbie Atkinson</w:t>
      </w:r>
    </w:p>
    <w:p>
      <w:pPr>
        <w:spacing w:after="0" w:line="7" w:lineRule="exact"/>
        <w:rPr>
          <w:sz w:val="20"/>
          <w:szCs w:val="20"/>
          <w:color w:val="auto"/>
        </w:rPr>
      </w:pPr>
    </w:p>
    <w:p>
      <w:pPr>
        <w:ind w:right="1320"/>
        <w:spacing w:after="0" w:line="261" w:lineRule="auto"/>
        <w:rPr>
          <w:sz w:val="20"/>
          <w:szCs w:val="20"/>
          <w:color w:val="auto"/>
        </w:rPr>
      </w:pPr>
      <w:r>
        <w:rPr>
          <w:rFonts w:ascii="Arial" w:cs="Arial" w:eastAsia="Arial" w:hAnsi="Arial"/>
          <w:sz w:val="18"/>
          <w:szCs w:val="18"/>
          <w:color w:val="auto"/>
        </w:rPr>
        <w:t>Corporate Treasurer &amp; Investor Relations (423) 743-9151</w:t>
      </w:r>
    </w:p>
    <w:p>
      <w:pPr>
        <w:spacing w:after="0" w:line="20" w:lineRule="exact"/>
        <w:rPr>
          <w:sz w:val="20"/>
          <w:szCs w:val="20"/>
          <w:color w:val="auto"/>
        </w:rPr>
      </w:pPr>
      <w:r>
        <w:rPr>
          <w:sz w:val="20"/>
          <w:szCs w:val="20"/>
          <w:color w:val="auto"/>
        </w:rPr>
        <w:br w:type="column"/>
      </w:r>
    </w:p>
    <w:p>
      <w:pPr>
        <w:ind w:left="5020"/>
        <w:spacing w:after="0"/>
        <w:rPr>
          <w:sz w:val="20"/>
          <w:szCs w:val="20"/>
          <w:color w:val="auto"/>
        </w:rPr>
      </w:pPr>
      <w:r>
        <w:rPr>
          <w:rFonts w:ascii="Arial" w:cs="Arial" w:eastAsia="Arial" w:hAnsi="Arial"/>
          <w:sz w:val="22"/>
          <w:szCs w:val="22"/>
          <w:b w:val="1"/>
          <w:bCs w:val="1"/>
          <w:color w:val="auto"/>
        </w:rPr>
        <w:t>EXHIBIT 99.1</w:t>
      </w:r>
    </w:p>
    <w:p>
      <w:pPr>
        <w:spacing w:after="0" w:line="26" w:lineRule="exact"/>
        <w:rPr>
          <w:sz w:val="20"/>
          <w:szCs w:val="20"/>
          <w:color w:val="auto"/>
        </w:rPr>
      </w:pPr>
    </w:p>
    <w:p>
      <w:pPr>
        <w:ind w:left="4100"/>
        <w:spacing w:after="0"/>
        <w:rPr>
          <w:sz w:val="20"/>
          <w:szCs w:val="20"/>
          <w:color w:val="auto"/>
        </w:rPr>
      </w:pPr>
      <w:r>
        <w:rPr>
          <w:rFonts w:ascii="Arial" w:cs="Arial" w:eastAsia="Arial" w:hAnsi="Arial"/>
          <w:sz w:val="61"/>
          <w:szCs w:val="61"/>
          <w:color w:val="auto"/>
        </w:rPr>
        <w:t>n e w s</w:t>
      </w:r>
    </w:p>
    <w:p>
      <w:pPr>
        <w:spacing w:after="0" w:line="194"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 FINANCIAL RELATIONS BOARD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Marilynn Meek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827-3773</w:t>
      </w:r>
    </w:p>
    <w:p>
      <w:pPr>
        <w:spacing w:after="0" w:line="202" w:lineRule="exact"/>
        <w:rPr>
          <w:sz w:val="20"/>
          <w:szCs w:val="20"/>
          <w:color w:val="auto"/>
        </w:rPr>
      </w:pPr>
    </w:p>
    <w:p>
      <w:pPr>
        <w:sectPr>
          <w:pgSz w:w="11900" w:h="16838" w:orient="portrait"/>
          <w:cols w:equalWidth="0" w:num="2">
            <w:col w:w="4320" w:space="720"/>
            <w:col w:w="6380"/>
          </w:cols>
          <w:pgMar w:left="240" w:top="112" w:right="239" w:bottom="1440" w:gutter="0" w:footer="0" w:header="0"/>
        </w:sect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November 4</w:t>
      </w:r>
      <w:r>
        <w:rPr>
          <w:rFonts w:ascii="Arial" w:cs="Arial" w:eastAsia="Arial" w:hAnsi="Arial"/>
          <w:sz w:val="19"/>
          <w:szCs w:val="19"/>
          <w:color w:val="auto"/>
        </w:rPr>
        <w:t>, 2014</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THIRD QUARTER AND NINE MONTHS 2014 RESULTS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·Adjusted income from operations increase of $2.8 million to $10.6 million or 36% over the prior year’s third quarter</w:t>
      </w:r>
    </w:p>
    <w:p>
      <w:pPr>
        <w:spacing w:after="0" w:line="27" w:lineRule="exact"/>
        <w:rPr>
          <w:sz w:val="20"/>
          <w:szCs w:val="20"/>
          <w:color w:val="auto"/>
        </w:rPr>
      </w:pPr>
    </w:p>
    <w:p>
      <w:pPr>
        <w:ind w:left="660" w:hanging="44"/>
        <w:spacing w:after="0" w:line="250" w:lineRule="auto"/>
        <w:rPr>
          <w:sz w:val="20"/>
          <w:szCs w:val="20"/>
          <w:color w:val="auto"/>
        </w:rPr>
      </w:pPr>
      <w:r>
        <w:rPr>
          <w:rFonts w:ascii="Arial" w:cs="Arial" w:eastAsia="Arial" w:hAnsi="Arial"/>
          <w:sz w:val="18"/>
          <w:szCs w:val="18"/>
          <w:b w:val="1"/>
          <w:bCs w:val="1"/>
          <w:color w:val="auto"/>
        </w:rPr>
        <w:t>·Adjusted net income for the third quarter $6.3 million, or $0.34 per diluted share as compared to $5.0 million, or $0.29 per diluted share for the same period in 2013</w:t>
      </w:r>
    </w:p>
    <w:p>
      <w:pPr>
        <w:spacing w:after="0" w:line="1" w:lineRule="exact"/>
        <w:rPr>
          <w:sz w:val="20"/>
          <w:szCs w:val="20"/>
          <w:color w:val="auto"/>
        </w:rPr>
      </w:pPr>
    </w:p>
    <w:p>
      <w:pPr>
        <w:ind w:left="620" w:right="3800"/>
        <w:spacing w:after="0" w:line="261" w:lineRule="auto"/>
        <w:rPr>
          <w:sz w:val="20"/>
          <w:szCs w:val="20"/>
          <w:color w:val="auto"/>
        </w:rPr>
      </w:pPr>
      <w:r>
        <w:rPr>
          <w:rFonts w:ascii="Arial" w:cs="Arial" w:eastAsia="Arial" w:hAnsi="Arial"/>
          <w:sz w:val="18"/>
          <w:szCs w:val="18"/>
          <w:b w:val="1"/>
          <w:bCs w:val="1"/>
          <w:color w:val="auto"/>
        </w:rPr>
        <w:t>·Quarterly sales rose $32.6 million to $125.6 million, or 35% over prior year’s third quarter ·2014 full year expected revenue guidance raised to $490 to $500 million</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Johnson City, Tenn, November 4, 2014 –</w:t>
      </w:r>
      <w:r>
        <w:rPr>
          <w:rFonts w:ascii="Arial" w:cs="Arial" w:eastAsia="Arial" w:hAnsi="Arial"/>
          <w:sz w:val="18"/>
          <w:szCs w:val="18"/>
          <w:color w:val="auto"/>
        </w:rPr>
        <w:t>NN, Inc., (NASDAQ: NNBR) a diversified industrial company, today reported its financial results for the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ended September 30, 2014. Adjusted income from operations for the third quarter increased $2.8 million, or 36% to $10.6 million as compared to $7.8 million for the third quarter of 2013. Adjusted net income increased to $6.3 million or $0.34 per diluted share compared to $5.0 million or $0.29 per diluted share for the same period in 2013.</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Richard Holder, President and Chief Executive Officer, commented, “We are pleased with our operating performance in the third quarter and we continue to see growth in our existing and newly acquired businesses. Beginning with this quarter, and moving forward we are focusing on adjusted income from operations as the key metric for measuring our performance. We believe adjusted income from operations is the best indicator of performance in our core businesses and removes fluctuations resulting from non-recurring activities.”</w:t>
      </w:r>
    </w:p>
    <w:p>
      <w:pPr>
        <w:spacing w:after="0" w:line="21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sales for the third quarter of 2014 increased $32.6 million, or 35% to $125.6 million, compared to net sales of $93.0 million for the third quarter of 2013. This increase included approximately $29.3 million in net sales from the acquisitions made in 2014. Volume also increased by $3.3 million in existing businesses due to continued strong demand in Asia and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5" w:name="page6"/>
    <w:bookmarkEnd w:id="5"/>
    <w:p>
      <w:pPr>
        <w:ind w:right="160"/>
        <w:spacing w:after="0" w:line="277" w:lineRule="auto"/>
        <w:rPr>
          <w:sz w:val="20"/>
          <w:szCs w:val="20"/>
          <w:color w:val="auto"/>
        </w:rPr>
      </w:pPr>
      <w:r>
        <w:rPr>
          <w:rFonts w:ascii="Arial" w:cs="Arial" w:eastAsia="Arial" w:hAnsi="Arial"/>
          <w:sz w:val="18"/>
          <w:szCs w:val="18"/>
          <w:color w:val="auto"/>
        </w:rPr>
        <w:t>As a percentage of net sales, cost of products sold in the third quarter of 2014 of 80.0% increased slightly as compared to 78.5% for last year’s third quarter due to acquisition and integration costs.</w:t>
      </w:r>
    </w:p>
    <w:p>
      <w:pPr>
        <w:spacing w:after="0" w:line="197"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Reported net loss for the third quarter of 2014 was ($3.8) million, or a loss ($0.21) per diluted share. The loss includes $10.1 million of after-tax non-operating charges related to the acquisitions, expenses related to the retirement of previous debt, and foreign exchange losses on intercompany loans. Excluding these costs, adjusted net income for the third quarter of 2014 was $6.3 million, or $0.34 per diluted share, an increase of 26% as compared to adjusted net income for the same period in the prior year of $5.0 million, or $0.29 per diluted share.</w:t>
      </w:r>
    </w:p>
    <w:p>
      <w:pPr>
        <w:spacing w:after="0" w:line="19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Adjusted income from operations for the nine months ended September 30, 2014 increased $7.1 million or 32.4% to $29.0 million compared to $21.9 million for the same period in 2013. The increase in year to date adjusted income from operations was driven largely from $17.4 million in increased sales volume, operating improvements in existing businesses and one month of operating income from Autocam.</w:t>
      </w:r>
    </w:p>
    <w:p>
      <w:pPr>
        <w:spacing w:after="0" w:line="208"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Net sales for the first nine months of 2014 increased $51.7 million, or 18.3 % to $334.8 million, compared to net sales of $283.1 million for the first nine months of 2013. This included approximately $35.4 million in net revenue from the acquisitions of Autocam, RFK, Chelsea Grinding, and V-S Industries during 2014. Continued strong demand in Europe, Asia and North America, accounted for the remainder of the increase.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for the first nine months of 2014 was $6.6 million, or $0.36 per diluted share, compared to net income of $12.7 million, or $0.74 per diluted share, for the comparable period last year. Year to date net income includes costs related to our four acquisitions, debt retirement, and foreign exchange losses related to intercompany loans. Adjusted net income for the first nine months of 2014 excluding these non-recurring costs was $17.8 million, or $0.98 per diluted share.</w:t>
      </w: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Cost of products sold for the first nine months of 2014 of 79.1% decreased slightly as compared to 78.9% for the same period last year due to acquisition and integration costs.</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Debt, net of cash, was $333.6 million at September 30, 2014, an increase of $300.2 million compared to $33.4 million at December 31, 2013. The increase was due primarily to the acquisition activity in the first nine months of 2014.</w:t>
      </w:r>
    </w:p>
    <w:p>
      <w:pPr>
        <w:spacing w:after="0" w:line="19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Richard Holder, President and Chief Executive Officer, commented, “We are pleased with our third quarter and nine month results which remained in line with our expectations. We expect our existing businesses to experience positive results in the fourth quarter while layering in additional sales and operating income from Autocam.”</w:t>
      </w:r>
    </w:p>
    <w:p>
      <w:pPr>
        <w:spacing w:after="0" w:line="208"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“Shortly after the Autocam acquisition we created an NN Integration and Transformation team led by a group of leaders from our financial and operational disciplines. I am pleased to report we are on plan with this highly important initiative, specifically with our Autocam Precision Components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6" w:name="page7"/>
    <w:bookmarkEnd w:id="6"/>
    <w:p>
      <w:pPr>
        <w:ind w:right="340"/>
        <w:spacing w:after="0" w:line="286" w:lineRule="auto"/>
        <w:rPr>
          <w:sz w:val="20"/>
          <w:szCs w:val="20"/>
          <w:color w:val="auto"/>
        </w:rPr>
      </w:pPr>
      <w:r>
        <w:rPr>
          <w:rFonts w:ascii="Arial" w:cs="Arial" w:eastAsia="Arial" w:hAnsi="Arial"/>
          <w:sz w:val="17"/>
          <w:szCs w:val="17"/>
          <w:color w:val="auto"/>
        </w:rPr>
        <w:t>Mr. Holder concluded, “2014 has already been a transformative year for NN with the acquisition and integration of four new businesses. Given our performance and the closing of the Autocam transaction, we are revising our expected revenue guidance for full year 2014 from $400-$415 million given earlier this year to $490-$500 million, including approximately $103 million in incremental revenue from our four acquired companies.”</w:t>
      </w:r>
    </w:p>
    <w:p>
      <w:pPr>
        <w:spacing w:after="0" w:line="19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NN, Inc., a diversified industrial company manufactures and supplies high precision metal bearing components, industrial plastic and rubber products and precision metal components to a variety of markets on a global basis. Headquartered in Johnson City, Tennessee, NN has 25 manufacturing plants in the United States, Western Europe, Eastern Europe, South America and China.</w:t>
      </w:r>
    </w:p>
    <w:p>
      <w:pPr>
        <w:spacing w:after="0" w:line="208"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w:t>
      </w:r>
    </w:p>
    <w:p>
      <w:pPr>
        <w:spacing w:after="0" w:line="2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2013. Except as required by law, we undertake no obligation to update or revise any forward-looking statements we make in our press releases, whether as a result of new information, future events or otherwise.</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3700" w:type="dxa"/>
            <w:vAlign w:val="bottom"/>
            <w:gridSpan w:val="5"/>
          </w:tcPr>
          <w:p>
            <w:pPr>
              <w:jc w:val="center"/>
              <w:ind w:right="1020"/>
              <w:spacing w:after="0"/>
              <w:rPr>
                <w:sz w:val="20"/>
                <w:szCs w:val="20"/>
                <w:color w:val="auto"/>
              </w:rPr>
            </w:pPr>
            <w:r>
              <w:rPr>
                <w:rFonts w:ascii="Arial" w:cs="Arial" w:eastAsia="Arial" w:hAnsi="Arial"/>
                <w:sz w:val="18"/>
                <w:szCs w:val="18"/>
                <w:b w:val="1"/>
                <w:bCs w:val="1"/>
                <w:color w:val="auto"/>
                <w:w w:val="92"/>
              </w:rPr>
              <w:t>Three Months Ended</w:t>
            </w:r>
          </w:p>
        </w:tc>
        <w:tc>
          <w:tcPr>
            <w:tcW w:w="3520" w:type="dxa"/>
            <w:vAlign w:val="bottom"/>
            <w:gridSpan w:val="4"/>
          </w:tcPr>
          <w:p>
            <w:pPr>
              <w:jc w:val="right"/>
              <w:ind w:right="11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0"/>
        </w:trPr>
        <w:tc>
          <w:tcPr>
            <w:tcW w:w="4200" w:type="dxa"/>
            <w:vAlign w:val="bottom"/>
          </w:tcPr>
          <w:p>
            <w:pPr>
              <w:spacing w:after="0"/>
              <w:rPr>
                <w:sz w:val="19"/>
                <w:szCs w:val="19"/>
                <w:color w:val="auto"/>
              </w:rPr>
            </w:pPr>
          </w:p>
        </w:tc>
        <w:tc>
          <w:tcPr>
            <w:tcW w:w="188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520" w:type="dxa"/>
            <w:vAlign w:val="bottom"/>
            <w:gridSpan w:val="4"/>
          </w:tcPr>
          <w:p>
            <w:pPr>
              <w:jc w:val="right"/>
              <w:ind w:right="13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2013</w:t>
            </w:r>
          </w:p>
        </w:tc>
        <w:tc>
          <w:tcPr>
            <w:tcW w:w="104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Net Sales</w:t>
            </w:r>
          </w:p>
        </w:tc>
        <w:tc>
          <w:tcPr>
            <w:tcW w:w="1160" w:type="dxa"/>
            <w:vAlign w:val="bottom"/>
          </w:tcPr>
          <w:p>
            <w:pPr>
              <w:jc w:val="right"/>
              <w:spacing w:after="0" w:line="201" w:lineRule="exact"/>
              <w:rPr>
                <w:sz w:val="20"/>
                <w:szCs w:val="20"/>
                <w:color w:val="auto"/>
              </w:rPr>
            </w:pPr>
            <w:r>
              <w:rPr>
                <w:rFonts w:ascii="Arial" w:cs="Arial" w:eastAsia="Arial" w:hAnsi="Arial"/>
                <w:sz w:val="18"/>
                <w:szCs w:val="18"/>
                <w:color w:val="auto"/>
              </w:rPr>
              <w:t>$ 125,632</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$ 93,023</w:t>
            </w:r>
          </w:p>
        </w:tc>
        <w:tc>
          <w:tcPr>
            <w:tcW w:w="104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$ 334,840</w:t>
            </w:r>
          </w:p>
        </w:tc>
        <w:tc>
          <w:tcPr>
            <w:tcW w:w="32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$ 283,125</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Cost of products sold (exclusive of</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depreciation shown separately below)</w:t>
            </w:r>
          </w:p>
        </w:tc>
        <w:tc>
          <w:tcPr>
            <w:tcW w:w="1160" w:type="dxa"/>
            <w:vAlign w:val="bottom"/>
          </w:tcPr>
          <w:p>
            <w:pPr>
              <w:jc w:val="right"/>
              <w:spacing w:after="0"/>
              <w:rPr>
                <w:sz w:val="20"/>
                <w:szCs w:val="20"/>
                <w:color w:val="auto"/>
              </w:rPr>
            </w:pPr>
            <w:r>
              <w:rPr>
                <w:rFonts w:ascii="Arial" w:cs="Arial" w:eastAsia="Arial" w:hAnsi="Arial"/>
                <w:sz w:val="18"/>
                <w:szCs w:val="18"/>
                <w:color w:val="auto"/>
              </w:rPr>
              <w:t>100,441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Arial" w:cs="Arial" w:eastAsia="Arial" w:hAnsi="Arial"/>
                <w:sz w:val="18"/>
                <w:szCs w:val="18"/>
                <w:color w:val="auto"/>
              </w:rPr>
              <w:t>73,020</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265,010</w:t>
            </w:r>
          </w:p>
        </w:tc>
        <w:tc>
          <w:tcPr>
            <w:tcW w:w="1140" w:type="dxa"/>
            <w:vAlign w:val="bottom"/>
          </w:tcPr>
          <w:p>
            <w:pPr>
              <w:jc w:val="right"/>
              <w:spacing w:after="0"/>
              <w:rPr>
                <w:sz w:val="20"/>
                <w:szCs w:val="20"/>
                <w:color w:val="auto"/>
              </w:rPr>
            </w:pPr>
            <w:r>
              <w:rPr>
                <w:rFonts w:ascii="Arial" w:cs="Arial" w:eastAsia="Arial" w:hAnsi="Arial"/>
                <w:sz w:val="18"/>
                <w:szCs w:val="18"/>
                <w:color w:val="auto"/>
              </w:rPr>
              <w:t>223,288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11,124</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Arial" w:cs="Arial" w:eastAsia="Arial" w:hAnsi="Arial"/>
                <w:sz w:val="18"/>
                <w:szCs w:val="18"/>
                <w:color w:val="auto"/>
              </w:rPr>
              <w:t>8,099</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29,799</w:t>
            </w:r>
          </w:p>
        </w:tc>
        <w:tc>
          <w:tcPr>
            <w:tcW w:w="2060" w:type="dxa"/>
            <w:vAlign w:val="bottom"/>
            <w:gridSpan w:val="2"/>
          </w:tcPr>
          <w:p>
            <w:pPr>
              <w:jc w:val="right"/>
              <w:ind w:right="920"/>
              <w:spacing w:after="0"/>
              <w:rPr>
                <w:sz w:val="20"/>
                <w:szCs w:val="20"/>
                <w:color w:val="auto"/>
              </w:rPr>
            </w:pPr>
            <w:r>
              <w:rPr>
                <w:rFonts w:ascii="Arial" w:cs="Arial" w:eastAsia="Arial" w:hAnsi="Arial"/>
                <w:sz w:val="18"/>
                <w:szCs w:val="18"/>
                <w:color w:val="auto"/>
              </w:rPr>
              <w:t>25,544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Acquisition related costs excluded from</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5,651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7,080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jc w:val="right"/>
              <w:spacing w:after="0"/>
              <w:rPr>
                <w:sz w:val="20"/>
                <w:szCs w:val="20"/>
                <w:color w:val="auto"/>
              </w:rPr>
            </w:pPr>
            <w:r>
              <w:rPr>
                <w:rFonts w:ascii="Arial" w:cs="Arial" w:eastAsia="Arial" w:hAnsi="Arial"/>
                <w:sz w:val="18"/>
                <w:szCs w:val="18"/>
                <w:color w:val="auto"/>
              </w:rPr>
              <w:t>5,864</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Arial" w:cs="Arial" w:eastAsia="Arial" w:hAnsi="Arial"/>
                <w:sz w:val="18"/>
                <w:szCs w:val="18"/>
                <w:color w:val="auto"/>
              </w:rPr>
              <w:t>4,110</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13,824</w:t>
            </w:r>
          </w:p>
        </w:tc>
        <w:tc>
          <w:tcPr>
            <w:tcW w:w="2060" w:type="dxa"/>
            <w:vAlign w:val="bottom"/>
            <w:gridSpan w:val="2"/>
          </w:tcPr>
          <w:p>
            <w:pPr>
              <w:jc w:val="right"/>
              <w:ind w:right="920"/>
              <w:spacing w:after="0"/>
              <w:rPr>
                <w:sz w:val="20"/>
                <w:szCs w:val="20"/>
                <w:color w:val="auto"/>
              </w:rPr>
            </w:pPr>
            <w:r>
              <w:rPr>
                <w:rFonts w:ascii="Arial" w:cs="Arial" w:eastAsia="Arial" w:hAnsi="Arial"/>
                <w:sz w:val="18"/>
                <w:szCs w:val="18"/>
                <w:color w:val="auto"/>
              </w:rPr>
              <w:t>12,935</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60" w:type="dxa"/>
            <w:vAlign w:val="bottom"/>
            <w:gridSpan w:val="2"/>
          </w:tcPr>
          <w:p>
            <w:pPr>
              <w:jc w:val="right"/>
              <w:ind w:right="9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3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7,794</w:t>
            </w:r>
          </w:p>
        </w:tc>
        <w:tc>
          <w:tcPr>
            <w:tcW w:w="104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19,127</w:t>
            </w:r>
          </w:p>
        </w:tc>
        <w:tc>
          <w:tcPr>
            <w:tcW w:w="32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21,353</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200" w:type="dxa"/>
            <w:vAlign w:val="bottom"/>
          </w:tcPr>
          <w:p>
            <w:pPr>
              <w:spacing w:after="0"/>
              <w:rPr>
                <w:sz w:val="20"/>
                <w:szCs w:val="20"/>
                <w:color w:val="auto"/>
              </w:rPr>
            </w:pPr>
            <w:r>
              <w:rPr>
                <w:rFonts w:ascii="Arial" w:cs="Arial" w:eastAsia="Arial" w:hAnsi="Arial"/>
                <w:sz w:val="18"/>
                <w:szCs w:val="18"/>
                <w:color w:val="auto"/>
              </w:rPr>
              <w:t>Interest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5,622</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gridSpan w:val="2"/>
          </w:tcPr>
          <w:p>
            <w:pPr>
              <w:jc w:val="right"/>
              <w:ind w:right="1040"/>
              <w:spacing w:after="0"/>
              <w:rPr>
                <w:sz w:val="20"/>
                <w:szCs w:val="20"/>
                <w:color w:val="auto"/>
              </w:rPr>
            </w:pPr>
            <w:r>
              <w:rPr>
                <w:rFonts w:ascii="Arial" w:cs="Arial" w:eastAsia="Arial" w:hAnsi="Arial"/>
                <w:sz w:val="18"/>
                <w:szCs w:val="18"/>
                <w:color w:val="auto"/>
              </w:rPr>
              <w:t>655</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6,737</w:t>
            </w:r>
          </w:p>
        </w:tc>
        <w:tc>
          <w:tcPr>
            <w:tcW w:w="1140" w:type="dxa"/>
            <w:vAlign w:val="bottom"/>
          </w:tcPr>
          <w:p>
            <w:pPr>
              <w:jc w:val="right"/>
              <w:spacing w:after="0"/>
              <w:rPr>
                <w:sz w:val="20"/>
                <w:szCs w:val="20"/>
                <w:color w:val="auto"/>
              </w:rPr>
            </w:pPr>
            <w:r>
              <w:rPr>
                <w:rFonts w:ascii="Arial" w:cs="Arial" w:eastAsia="Arial" w:hAnsi="Arial"/>
                <w:sz w:val="18"/>
                <w:szCs w:val="18"/>
                <w:color w:val="auto"/>
              </w:rPr>
              <w:t>2,149</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160" w:type="dxa"/>
            <w:vAlign w:val="bottom"/>
          </w:tcPr>
          <w:p>
            <w:pPr>
              <w:jc w:val="right"/>
              <w:spacing w:after="0"/>
              <w:rPr>
                <w:sz w:val="20"/>
                <w:szCs w:val="20"/>
                <w:color w:val="auto"/>
              </w:rPr>
            </w:pPr>
            <w:r>
              <w:rPr>
                <w:rFonts w:ascii="Arial" w:cs="Arial" w:eastAsia="Arial" w:hAnsi="Arial"/>
                <w:sz w:val="18"/>
                <w:szCs w:val="18"/>
                <w:color w:val="auto"/>
              </w:rPr>
              <w:t>1,557</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gridSpan w:val="2"/>
          </w:tcPr>
          <w:p>
            <w:pPr>
              <w:jc w:val="right"/>
              <w:ind w:right="1040"/>
              <w:spacing w:after="0"/>
              <w:rPr>
                <w:sz w:val="20"/>
                <w:szCs w:val="20"/>
                <w:color w:val="auto"/>
              </w:rPr>
            </w:pPr>
            <w:r>
              <w:rPr>
                <w:rFonts w:ascii="Arial" w:cs="Arial" w:eastAsia="Arial" w:hAnsi="Arial"/>
                <w:sz w:val="18"/>
                <w:szCs w:val="18"/>
                <w:color w:val="auto"/>
              </w:rPr>
              <w:t>(281)</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1,769</w:t>
            </w: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Income before provision for income taxes</w:t>
            </w: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(4,627)</w:t>
            </w:r>
          </w:p>
        </w:tc>
        <w:tc>
          <w:tcPr>
            <w:tcW w:w="3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7,420</w:t>
            </w:r>
          </w:p>
        </w:tc>
        <w:tc>
          <w:tcPr>
            <w:tcW w:w="104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10,621</w:t>
            </w:r>
          </w:p>
        </w:tc>
        <w:tc>
          <w:tcPr>
            <w:tcW w:w="3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19,120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(562)</w:t>
            </w:r>
          </w:p>
        </w:tc>
        <w:tc>
          <w:tcPr>
            <w:tcW w:w="38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Arial" w:cs="Arial" w:eastAsia="Arial" w:hAnsi="Arial"/>
                <w:sz w:val="18"/>
                <w:szCs w:val="18"/>
                <w:color w:val="auto"/>
              </w:rPr>
              <w:t>2,368</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4,247</w:t>
            </w:r>
          </w:p>
        </w:tc>
        <w:tc>
          <w:tcPr>
            <w:tcW w:w="1140" w:type="dxa"/>
            <w:vAlign w:val="bottom"/>
          </w:tcPr>
          <w:p>
            <w:pPr>
              <w:jc w:val="right"/>
              <w:spacing w:after="0"/>
              <w:rPr>
                <w:sz w:val="20"/>
                <w:szCs w:val="20"/>
                <w:color w:val="auto"/>
              </w:rPr>
            </w:pPr>
            <w:r>
              <w:rPr>
                <w:rFonts w:ascii="Arial" w:cs="Arial" w:eastAsia="Arial" w:hAnsi="Arial"/>
                <w:sz w:val="18"/>
                <w:szCs w:val="18"/>
                <w:color w:val="auto"/>
              </w:rPr>
              <w:t>6,427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Share of net income (loss) from joint</w:t>
            </w:r>
          </w:p>
        </w:tc>
        <w:tc>
          <w:tcPr>
            <w:tcW w:w="15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225</w:t>
            </w:r>
          </w:p>
        </w:tc>
        <w:tc>
          <w:tcPr>
            <w:tcW w:w="380" w:type="dxa"/>
            <w:vAlign w:val="bottom"/>
          </w:tcPr>
          <w:p>
            <w:pPr>
              <w:spacing w:after="0"/>
              <w:rPr>
                <w:sz w:val="18"/>
                <w:szCs w:val="18"/>
                <w:color w:val="auto"/>
              </w:rPr>
            </w:pPr>
          </w:p>
        </w:tc>
        <w:tc>
          <w:tcPr>
            <w:tcW w:w="1820" w:type="dxa"/>
            <w:vAlign w:val="bottom"/>
            <w:gridSpan w:val="2"/>
            <w:vMerge w:val="restart"/>
          </w:tcPr>
          <w:p>
            <w:pPr>
              <w:jc w:val="right"/>
              <w:ind w:right="1040"/>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225</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line="203" w:lineRule="exact"/>
              <w:rPr>
                <w:sz w:val="20"/>
                <w:szCs w:val="20"/>
                <w:color w:val="auto"/>
              </w:rPr>
            </w:pPr>
            <w:r>
              <w:rPr>
                <w:rFonts w:ascii="Arial" w:cs="Arial" w:eastAsia="Arial" w:hAnsi="Arial"/>
                <w:sz w:val="18"/>
                <w:szCs w:val="18"/>
                <w:color w:val="auto"/>
              </w:rPr>
              <w:t>venture</w:t>
            </w:r>
          </w:p>
        </w:tc>
        <w:tc>
          <w:tcPr>
            <w:tcW w:w="15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(3,840)</w:t>
            </w:r>
          </w:p>
        </w:tc>
        <w:tc>
          <w:tcPr>
            <w:tcW w:w="3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$ 5,052</w:t>
            </w:r>
          </w:p>
        </w:tc>
        <w:tc>
          <w:tcPr>
            <w:tcW w:w="10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$ 6,599</w:t>
            </w:r>
          </w:p>
        </w:tc>
        <w:tc>
          <w:tcPr>
            <w:tcW w:w="3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$ 12,693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200" w:type="dxa"/>
            <w:vAlign w:val="bottom"/>
          </w:tcPr>
          <w:p>
            <w:pPr>
              <w:spacing w:after="0"/>
              <w:rPr>
                <w:sz w:val="20"/>
                <w:szCs w:val="20"/>
                <w:color w:val="auto"/>
              </w:rPr>
            </w:pPr>
            <w:r>
              <w:rPr>
                <w:rFonts w:ascii="Arial" w:cs="Arial" w:eastAsia="Arial" w:hAnsi="Arial"/>
                <w:sz w:val="18"/>
                <w:szCs w:val="18"/>
                <w:color w:val="auto"/>
              </w:rPr>
              <w:t>Diluted income per common share</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 (0.21)</w:t>
            </w:r>
          </w:p>
        </w:tc>
        <w:tc>
          <w:tcPr>
            <w:tcW w:w="380" w:type="dxa"/>
            <w:vAlign w:val="bottom"/>
          </w:tcPr>
          <w:p>
            <w:pPr>
              <w:spacing w:after="0"/>
              <w:rPr>
                <w:sz w:val="24"/>
                <w:szCs w:val="24"/>
                <w:color w:val="auto"/>
              </w:rPr>
            </w:pPr>
          </w:p>
        </w:tc>
        <w:tc>
          <w:tcPr>
            <w:tcW w:w="1820" w:type="dxa"/>
            <w:vAlign w:val="bottom"/>
            <w:gridSpan w:val="2"/>
          </w:tcPr>
          <w:p>
            <w:pPr>
              <w:jc w:val="right"/>
              <w:ind w:right="1040"/>
              <w:spacing w:after="0"/>
              <w:rPr>
                <w:sz w:val="20"/>
                <w:szCs w:val="20"/>
                <w:color w:val="auto"/>
              </w:rPr>
            </w:pPr>
            <w:r>
              <w:rPr>
                <w:rFonts w:ascii="Arial" w:cs="Arial" w:eastAsia="Arial" w:hAnsi="Arial"/>
                <w:sz w:val="18"/>
                <w:szCs w:val="18"/>
                <w:color w:val="auto"/>
              </w:rPr>
              <w:t>$ 0.29</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$ 0.36</w:t>
            </w:r>
          </w:p>
        </w:tc>
        <w:tc>
          <w:tcPr>
            <w:tcW w:w="2060" w:type="dxa"/>
            <w:vAlign w:val="bottom"/>
            <w:gridSpan w:val="2"/>
          </w:tcPr>
          <w:p>
            <w:pPr>
              <w:jc w:val="right"/>
              <w:ind w:right="920"/>
              <w:spacing w:after="0"/>
              <w:rPr>
                <w:sz w:val="20"/>
                <w:szCs w:val="20"/>
                <w:color w:val="auto"/>
              </w:rPr>
            </w:pPr>
            <w:r>
              <w:rPr>
                <w:rFonts w:ascii="Arial" w:cs="Arial" w:eastAsia="Arial" w:hAnsi="Arial"/>
                <w:sz w:val="18"/>
                <w:szCs w:val="18"/>
                <w:color w:val="auto"/>
              </w:rPr>
              <w:t>$ 0.74</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200" w:type="dxa"/>
            <w:vAlign w:val="bottom"/>
          </w:tcPr>
          <w:p>
            <w:pPr>
              <w:spacing w:after="0"/>
              <w:rPr>
                <w:sz w:val="20"/>
                <w:szCs w:val="20"/>
                <w:color w:val="auto"/>
              </w:rPr>
            </w:pPr>
            <w:r>
              <w:rPr>
                <w:rFonts w:ascii="Arial" w:cs="Arial" w:eastAsia="Arial" w:hAnsi="Arial"/>
                <w:sz w:val="18"/>
                <w:szCs w:val="18"/>
                <w:color w:val="auto"/>
              </w:rPr>
              <w:t>Weighted average diluted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18,411</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gridSpan w:val="2"/>
          </w:tcPr>
          <w:p>
            <w:pPr>
              <w:jc w:val="right"/>
              <w:ind w:right="1040"/>
              <w:spacing w:after="0"/>
              <w:rPr>
                <w:sz w:val="20"/>
                <w:szCs w:val="20"/>
                <w:color w:val="auto"/>
              </w:rPr>
            </w:pPr>
            <w:r>
              <w:rPr>
                <w:rFonts w:ascii="Arial" w:cs="Arial" w:eastAsia="Arial" w:hAnsi="Arial"/>
                <w:sz w:val="18"/>
                <w:szCs w:val="18"/>
                <w:color w:val="auto"/>
              </w:rPr>
              <w:t>17,450</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18,120</w:t>
            </w:r>
          </w:p>
        </w:tc>
        <w:tc>
          <w:tcPr>
            <w:tcW w:w="2060" w:type="dxa"/>
            <w:vAlign w:val="bottom"/>
            <w:gridSpan w:val="2"/>
          </w:tcPr>
          <w:p>
            <w:pPr>
              <w:jc w:val="right"/>
              <w:ind w:right="920"/>
              <w:spacing w:after="0"/>
              <w:rPr>
                <w:sz w:val="20"/>
                <w:szCs w:val="20"/>
                <w:color w:val="auto"/>
              </w:rPr>
            </w:pPr>
            <w:r>
              <w:rPr>
                <w:rFonts w:ascii="Arial" w:cs="Arial" w:eastAsia="Arial" w:hAnsi="Arial"/>
                <w:sz w:val="18"/>
                <w:szCs w:val="18"/>
                <w:color w:val="auto"/>
              </w:rPr>
              <w:t>17,180</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5"/>
        </w:trPr>
        <w:tc>
          <w:tcPr>
            <w:tcW w:w="42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3080" w:type="dxa"/>
            <w:vAlign w:val="bottom"/>
            <w:gridSpan w:val="2"/>
          </w:tcPr>
          <w:p>
            <w:pPr>
              <w:ind w:left="420"/>
              <w:spacing w:after="0"/>
              <w:rPr>
                <w:sz w:val="20"/>
                <w:szCs w:val="20"/>
                <w:color w:val="auto"/>
              </w:rPr>
            </w:pPr>
            <w:r>
              <w:rPr>
                <w:rFonts w:ascii="Arial" w:cs="Arial" w:eastAsia="Arial" w:hAnsi="Arial"/>
                <w:sz w:val="18"/>
                <w:szCs w:val="18"/>
                <w:b w:val="1"/>
                <w:bCs w:val="1"/>
                <w:color w:val="auto"/>
              </w:rPr>
              <w:t>September 30,</w:t>
            </w:r>
          </w:p>
        </w:tc>
        <w:tc>
          <w:tcPr>
            <w:tcW w:w="2640" w:type="dxa"/>
            <w:vAlign w:val="bottom"/>
            <w:gridSpan w:val="2"/>
          </w:tcPr>
          <w:p>
            <w:pPr>
              <w:ind w:left="4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5700" w:type="dxa"/>
            <w:vAlign w:val="bottom"/>
          </w:tcPr>
          <w:p>
            <w:pPr>
              <w:spacing w:after="0"/>
              <w:rPr>
                <w:sz w:val="20"/>
                <w:szCs w:val="20"/>
                <w:color w:val="auto"/>
              </w:rPr>
            </w:pPr>
          </w:p>
        </w:tc>
        <w:tc>
          <w:tcPr>
            <w:tcW w:w="19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1140" w:type="dxa"/>
            <w:vAlign w:val="bottom"/>
          </w:tcPr>
          <w:p>
            <w:pPr>
              <w:spacing w:after="0"/>
              <w:rPr>
                <w:sz w:val="20"/>
                <w:szCs w:val="20"/>
                <w:color w:val="auto"/>
              </w:rPr>
            </w:pPr>
          </w:p>
        </w:tc>
        <w:tc>
          <w:tcPr>
            <w:tcW w:w="19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Current Assets:</w:t>
            </w:r>
          </w:p>
        </w:tc>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Cash</w:t>
            </w:r>
          </w:p>
        </w:tc>
        <w:tc>
          <w:tcPr>
            <w:tcW w:w="1940" w:type="dxa"/>
            <w:vAlign w:val="bottom"/>
          </w:tcPr>
          <w:p>
            <w:pPr>
              <w:jc w:val="right"/>
              <w:spacing w:after="0"/>
              <w:rPr>
                <w:sz w:val="20"/>
                <w:szCs w:val="20"/>
                <w:color w:val="auto"/>
              </w:rPr>
            </w:pPr>
            <w:r>
              <w:rPr>
                <w:rFonts w:ascii="Arial" w:cs="Arial" w:eastAsia="Arial" w:hAnsi="Arial"/>
                <w:sz w:val="18"/>
                <w:szCs w:val="18"/>
                <w:color w:val="auto"/>
              </w:rPr>
              <w:t>$ 26,892</w:t>
            </w:r>
          </w:p>
        </w:tc>
        <w:tc>
          <w:tcPr>
            <w:tcW w:w="1140" w:type="dxa"/>
            <w:vAlign w:val="bottom"/>
          </w:tcPr>
          <w:p>
            <w:pPr>
              <w:spacing w:after="0"/>
              <w:rPr>
                <w:sz w:val="18"/>
                <w:szCs w:val="18"/>
                <w:color w:val="auto"/>
              </w:rPr>
            </w:pPr>
          </w:p>
        </w:tc>
        <w:tc>
          <w:tcPr>
            <w:tcW w:w="2640" w:type="dxa"/>
            <w:vAlign w:val="bottom"/>
            <w:gridSpan w:val="2"/>
          </w:tcPr>
          <w:p>
            <w:pPr>
              <w:jc w:val="right"/>
              <w:ind w:right="680"/>
              <w:spacing w:after="0"/>
              <w:rPr>
                <w:sz w:val="20"/>
                <w:szCs w:val="20"/>
                <w:color w:val="auto"/>
              </w:rPr>
            </w:pPr>
            <w:r>
              <w:rPr>
                <w:rFonts w:ascii="Arial" w:cs="Arial" w:eastAsia="Arial" w:hAnsi="Arial"/>
                <w:sz w:val="18"/>
                <w:szCs w:val="18"/>
                <w:color w:val="auto"/>
              </w:rPr>
              <w:t>$ 3,039</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940" w:type="dxa"/>
            <w:vAlign w:val="bottom"/>
          </w:tcPr>
          <w:p>
            <w:pPr>
              <w:jc w:val="right"/>
              <w:spacing w:after="0"/>
              <w:rPr>
                <w:sz w:val="20"/>
                <w:szCs w:val="20"/>
                <w:color w:val="auto"/>
              </w:rPr>
            </w:pPr>
            <w:r>
              <w:rPr>
                <w:rFonts w:ascii="Arial" w:cs="Arial" w:eastAsia="Arial" w:hAnsi="Arial"/>
                <w:sz w:val="18"/>
                <w:szCs w:val="18"/>
                <w:color w:val="auto"/>
              </w:rPr>
              <w:t>112,859</w:t>
            </w:r>
          </w:p>
        </w:tc>
        <w:tc>
          <w:tcPr>
            <w:tcW w:w="1140" w:type="dxa"/>
            <w:vAlign w:val="bottom"/>
          </w:tcPr>
          <w:p>
            <w:pPr>
              <w:spacing w:after="0"/>
              <w:rPr>
                <w:sz w:val="18"/>
                <w:szCs w:val="18"/>
                <w:color w:val="auto"/>
              </w:rPr>
            </w:pPr>
          </w:p>
        </w:tc>
        <w:tc>
          <w:tcPr>
            <w:tcW w:w="2640" w:type="dxa"/>
            <w:vAlign w:val="bottom"/>
            <w:gridSpan w:val="2"/>
          </w:tcPr>
          <w:p>
            <w:pPr>
              <w:jc w:val="right"/>
              <w:ind w:right="680"/>
              <w:spacing w:after="0"/>
              <w:rPr>
                <w:sz w:val="20"/>
                <w:szCs w:val="20"/>
                <w:color w:val="auto"/>
              </w:rPr>
            </w:pPr>
            <w:r>
              <w:rPr>
                <w:rFonts w:ascii="Arial" w:cs="Arial" w:eastAsia="Arial" w:hAnsi="Arial"/>
                <w:sz w:val="18"/>
                <w:szCs w:val="18"/>
                <w:color w:val="auto"/>
              </w:rPr>
              <w:t>58,929</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Inventories</w:t>
            </w:r>
          </w:p>
        </w:tc>
        <w:tc>
          <w:tcPr>
            <w:tcW w:w="1940" w:type="dxa"/>
            <w:vAlign w:val="bottom"/>
          </w:tcPr>
          <w:p>
            <w:pPr>
              <w:jc w:val="right"/>
              <w:spacing w:after="0"/>
              <w:rPr>
                <w:sz w:val="20"/>
                <w:szCs w:val="20"/>
                <w:color w:val="auto"/>
              </w:rPr>
            </w:pPr>
            <w:r>
              <w:rPr>
                <w:rFonts w:ascii="Arial" w:cs="Arial" w:eastAsia="Arial" w:hAnsi="Arial"/>
                <w:sz w:val="18"/>
                <w:szCs w:val="18"/>
                <w:color w:val="auto"/>
              </w:rPr>
              <w:t>86,921</w:t>
            </w:r>
          </w:p>
        </w:tc>
        <w:tc>
          <w:tcPr>
            <w:tcW w:w="1140" w:type="dxa"/>
            <w:vAlign w:val="bottom"/>
          </w:tcPr>
          <w:p>
            <w:pPr>
              <w:spacing w:after="0"/>
              <w:rPr>
                <w:sz w:val="18"/>
                <w:szCs w:val="18"/>
                <w:color w:val="auto"/>
              </w:rPr>
            </w:pPr>
          </w:p>
        </w:tc>
        <w:tc>
          <w:tcPr>
            <w:tcW w:w="2640" w:type="dxa"/>
            <w:vAlign w:val="bottom"/>
            <w:gridSpan w:val="2"/>
          </w:tcPr>
          <w:p>
            <w:pPr>
              <w:jc w:val="right"/>
              <w:ind w:right="680"/>
              <w:spacing w:after="0"/>
              <w:rPr>
                <w:sz w:val="20"/>
                <w:szCs w:val="20"/>
                <w:color w:val="auto"/>
              </w:rPr>
            </w:pPr>
            <w:r>
              <w:rPr>
                <w:rFonts w:ascii="Arial" w:cs="Arial" w:eastAsia="Arial" w:hAnsi="Arial"/>
                <w:sz w:val="18"/>
                <w:szCs w:val="18"/>
                <w:color w:val="auto"/>
              </w:rPr>
              <w:t>54,530</w:t>
            </w: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Other current assets</w:t>
            </w:r>
          </w:p>
        </w:tc>
        <w:tc>
          <w:tcPr>
            <w:tcW w:w="1940" w:type="dxa"/>
            <w:vAlign w:val="bottom"/>
          </w:tcPr>
          <w:p>
            <w:pPr>
              <w:jc w:val="right"/>
              <w:spacing w:after="0"/>
              <w:rPr>
                <w:sz w:val="20"/>
                <w:szCs w:val="20"/>
                <w:color w:val="auto"/>
              </w:rPr>
            </w:pPr>
            <w:r>
              <w:rPr>
                <w:rFonts w:ascii="Arial" w:cs="Arial" w:eastAsia="Arial" w:hAnsi="Arial"/>
                <w:sz w:val="18"/>
                <w:szCs w:val="18"/>
                <w:color w:val="auto"/>
              </w:rPr>
              <w:t>20,053</w:t>
            </w:r>
          </w:p>
        </w:tc>
        <w:tc>
          <w:tcPr>
            <w:tcW w:w="1140" w:type="dxa"/>
            <w:vAlign w:val="bottom"/>
          </w:tcPr>
          <w:p>
            <w:pPr>
              <w:spacing w:after="0"/>
              <w:rPr>
                <w:sz w:val="20"/>
                <w:szCs w:val="20"/>
                <w:color w:val="auto"/>
              </w:rPr>
            </w:pPr>
          </w:p>
        </w:tc>
        <w:tc>
          <w:tcPr>
            <w:tcW w:w="2640" w:type="dxa"/>
            <w:vAlign w:val="bottom"/>
            <w:gridSpan w:val="2"/>
          </w:tcPr>
          <w:p>
            <w:pPr>
              <w:jc w:val="right"/>
              <w:ind w:right="680"/>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Total current assets</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246,725</w:t>
            </w:r>
          </w:p>
        </w:tc>
        <w:tc>
          <w:tcPr>
            <w:tcW w:w="1140" w:type="dxa"/>
            <w:vAlign w:val="bottom"/>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125,674</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57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940" w:type="dxa"/>
            <w:vAlign w:val="bottom"/>
          </w:tcPr>
          <w:p>
            <w:pPr>
              <w:jc w:val="right"/>
              <w:spacing w:after="0"/>
              <w:rPr>
                <w:sz w:val="20"/>
                <w:szCs w:val="20"/>
                <w:color w:val="auto"/>
              </w:rPr>
            </w:pPr>
            <w:r>
              <w:rPr>
                <w:rFonts w:ascii="Arial" w:cs="Arial" w:eastAsia="Arial" w:hAnsi="Arial"/>
                <w:sz w:val="18"/>
                <w:szCs w:val="18"/>
                <w:color w:val="auto"/>
              </w:rPr>
              <w:t>274,600</w:t>
            </w:r>
          </w:p>
        </w:tc>
        <w:tc>
          <w:tcPr>
            <w:tcW w:w="1140" w:type="dxa"/>
            <w:vAlign w:val="bottom"/>
          </w:tcPr>
          <w:p>
            <w:pPr>
              <w:spacing w:after="0"/>
              <w:rPr>
                <w:sz w:val="24"/>
                <w:szCs w:val="24"/>
                <w:color w:val="auto"/>
              </w:rPr>
            </w:pPr>
          </w:p>
        </w:tc>
        <w:tc>
          <w:tcPr>
            <w:tcW w:w="2640" w:type="dxa"/>
            <w:vAlign w:val="bottom"/>
            <w:gridSpan w:val="2"/>
          </w:tcPr>
          <w:p>
            <w:pPr>
              <w:jc w:val="right"/>
              <w:ind w:right="680"/>
              <w:spacing w:after="0"/>
              <w:rPr>
                <w:sz w:val="20"/>
                <w:szCs w:val="20"/>
                <w:color w:val="auto"/>
              </w:rPr>
            </w:pPr>
            <w:r>
              <w:rPr>
                <w:rFonts w:ascii="Arial" w:cs="Arial" w:eastAsia="Arial" w:hAnsi="Arial"/>
                <w:sz w:val="18"/>
                <w:szCs w:val="18"/>
                <w:color w:val="auto"/>
              </w:rPr>
              <w:t>121,089</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Goodwill and intangible assets, net</w:t>
            </w:r>
          </w:p>
        </w:tc>
        <w:tc>
          <w:tcPr>
            <w:tcW w:w="1940" w:type="dxa"/>
            <w:vAlign w:val="bottom"/>
          </w:tcPr>
          <w:p>
            <w:pPr>
              <w:jc w:val="right"/>
              <w:spacing w:after="0"/>
              <w:rPr>
                <w:sz w:val="20"/>
                <w:szCs w:val="20"/>
                <w:color w:val="auto"/>
              </w:rPr>
            </w:pPr>
            <w:r>
              <w:rPr>
                <w:rFonts w:ascii="Arial" w:cs="Arial" w:eastAsia="Arial" w:hAnsi="Arial"/>
                <w:sz w:val="18"/>
                <w:szCs w:val="18"/>
                <w:color w:val="auto"/>
              </w:rPr>
              <w:t>141,904</w:t>
            </w:r>
          </w:p>
        </w:tc>
        <w:tc>
          <w:tcPr>
            <w:tcW w:w="1140" w:type="dxa"/>
            <w:vAlign w:val="bottom"/>
          </w:tcPr>
          <w:p>
            <w:pPr>
              <w:spacing w:after="0"/>
              <w:rPr>
                <w:sz w:val="18"/>
                <w:szCs w:val="18"/>
                <w:color w:val="auto"/>
              </w:rPr>
            </w:pPr>
          </w:p>
        </w:tc>
        <w:tc>
          <w:tcPr>
            <w:tcW w:w="2640" w:type="dxa"/>
            <w:vAlign w:val="bottom"/>
            <w:gridSpan w:val="2"/>
          </w:tcPr>
          <w:p>
            <w:pPr>
              <w:jc w:val="right"/>
              <w:ind w:right="680"/>
              <w:spacing w:after="0"/>
              <w:rPr>
                <w:sz w:val="20"/>
                <w:szCs w:val="20"/>
                <w:color w:val="auto"/>
              </w:rPr>
            </w:pPr>
            <w:r>
              <w:rPr>
                <w:rFonts w:ascii="Arial" w:cs="Arial" w:eastAsia="Arial" w:hAnsi="Arial"/>
                <w:sz w:val="18"/>
                <w:szCs w:val="18"/>
                <w:color w:val="auto"/>
              </w:rPr>
              <w:t>9,524</w:t>
            </w: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940" w:type="dxa"/>
            <w:vAlign w:val="bottom"/>
          </w:tcPr>
          <w:p>
            <w:pPr>
              <w:jc w:val="right"/>
              <w:spacing w:after="0"/>
              <w:rPr>
                <w:sz w:val="20"/>
                <w:szCs w:val="20"/>
                <w:color w:val="auto"/>
              </w:rPr>
            </w:pPr>
            <w:r>
              <w:rPr>
                <w:rFonts w:ascii="Arial" w:cs="Arial" w:eastAsia="Arial" w:hAnsi="Arial"/>
                <w:sz w:val="18"/>
                <w:szCs w:val="18"/>
                <w:color w:val="auto"/>
              </w:rPr>
              <w:t>55,159</w:t>
            </w:r>
          </w:p>
        </w:tc>
        <w:tc>
          <w:tcPr>
            <w:tcW w:w="1140" w:type="dxa"/>
            <w:vAlign w:val="bottom"/>
          </w:tcPr>
          <w:p>
            <w:pPr>
              <w:spacing w:after="0"/>
              <w:rPr>
                <w:sz w:val="20"/>
                <w:szCs w:val="20"/>
                <w:color w:val="auto"/>
              </w:rPr>
            </w:pPr>
          </w:p>
        </w:tc>
        <w:tc>
          <w:tcPr>
            <w:tcW w:w="2640" w:type="dxa"/>
            <w:vAlign w:val="bottom"/>
            <w:gridSpan w:val="2"/>
          </w:tcPr>
          <w:p>
            <w:pPr>
              <w:jc w:val="right"/>
              <w:ind w:right="680"/>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16"/>
        </w:trPr>
        <w:tc>
          <w:tcPr>
            <w:tcW w:w="5700" w:type="dxa"/>
            <w:vAlign w:val="bottom"/>
          </w:tcPr>
          <w:p>
            <w:pPr>
              <w:spacing w:after="0" w:line="196" w:lineRule="exact"/>
              <w:rPr>
                <w:sz w:val="20"/>
                <w:szCs w:val="20"/>
                <w:color w:val="auto"/>
              </w:rPr>
            </w:pPr>
            <w:r>
              <w:rPr>
                <w:rFonts w:ascii="Arial" w:cs="Arial" w:eastAsia="Arial" w:hAnsi="Arial"/>
                <w:sz w:val="18"/>
                <w:szCs w:val="18"/>
                <w:color w:val="auto"/>
              </w:rPr>
              <w:t>Total assets</w:t>
            </w:r>
          </w:p>
        </w:tc>
        <w:tc>
          <w:tcPr>
            <w:tcW w:w="1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$ 718,388</w:t>
            </w:r>
          </w:p>
        </w:tc>
        <w:tc>
          <w:tcPr>
            <w:tcW w:w="1140" w:type="dxa"/>
            <w:vAlign w:val="bottom"/>
          </w:tcPr>
          <w:p>
            <w:pPr>
              <w:spacing w:after="0"/>
              <w:rPr>
                <w:sz w:val="18"/>
                <w:szCs w:val="18"/>
                <w:color w:val="auto"/>
              </w:rPr>
            </w:pPr>
          </w:p>
        </w:tc>
        <w:tc>
          <w:tcPr>
            <w:tcW w:w="1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$ 262,402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9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70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Current liabilities:</w:t>
            </w:r>
          </w:p>
        </w:tc>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Accounts payable</w:t>
            </w:r>
          </w:p>
        </w:tc>
        <w:tc>
          <w:tcPr>
            <w:tcW w:w="1940" w:type="dxa"/>
            <w:vAlign w:val="bottom"/>
          </w:tcPr>
          <w:p>
            <w:pPr>
              <w:jc w:val="right"/>
              <w:spacing w:after="0"/>
              <w:rPr>
                <w:sz w:val="20"/>
                <w:szCs w:val="20"/>
                <w:color w:val="auto"/>
              </w:rPr>
            </w:pPr>
            <w:r>
              <w:rPr>
                <w:rFonts w:ascii="Arial" w:cs="Arial" w:eastAsia="Arial" w:hAnsi="Arial"/>
                <w:sz w:val="18"/>
                <w:szCs w:val="18"/>
                <w:color w:val="auto"/>
              </w:rPr>
              <w:t>$ 62,767</w:t>
            </w:r>
          </w:p>
        </w:tc>
        <w:tc>
          <w:tcPr>
            <w:tcW w:w="1140" w:type="dxa"/>
            <w:vAlign w:val="bottom"/>
          </w:tcPr>
          <w:p>
            <w:pPr>
              <w:spacing w:after="0"/>
              <w:rPr>
                <w:sz w:val="18"/>
                <w:szCs w:val="18"/>
                <w:color w:val="auto"/>
              </w:rPr>
            </w:pPr>
          </w:p>
        </w:tc>
        <w:tc>
          <w:tcPr>
            <w:tcW w:w="2640" w:type="dxa"/>
            <w:vAlign w:val="bottom"/>
            <w:gridSpan w:val="2"/>
          </w:tcPr>
          <w:p>
            <w:pPr>
              <w:jc w:val="right"/>
              <w:ind w:right="680"/>
              <w:spacing w:after="0"/>
              <w:rPr>
                <w:sz w:val="20"/>
                <w:szCs w:val="20"/>
                <w:color w:val="auto"/>
              </w:rPr>
            </w:pPr>
            <w:r>
              <w:rPr>
                <w:rFonts w:ascii="Arial" w:cs="Arial" w:eastAsia="Arial" w:hAnsi="Arial"/>
                <w:sz w:val="18"/>
                <w:szCs w:val="18"/>
                <w:color w:val="auto"/>
              </w:rPr>
              <w:t>$ 40,687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Accrued salaries, wages and benefits</w:t>
            </w:r>
          </w:p>
        </w:tc>
        <w:tc>
          <w:tcPr>
            <w:tcW w:w="1940" w:type="dxa"/>
            <w:vAlign w:val="bottom"/>
          </w:tcPr>
          <w:p>
            <w:pPr>
              <w:jc w:val="right"/>
              <w:spacing w:after="0"/>
              <w:rPr>
                <w:sz w:val="20"/>
                <w:szCs w:val="20"/>
                <w:color w:val="auto"/>
              </w:rPr>
            </w:pPr>
            <w:r>
              <w:rPr>
                <w:rFonts w:ascii="Arial" w:cs="Arial" w:eastAsia="Arial" w:hAnsi="Arial"/>
                <w:sz w:val="18"/>
                <w:szCs w:val="18"/>
                <w:color w:val="auto"/>
              </w:rPr>
              <w:t>20,821</w:t>
            </w:r>
          </w:p>
        </w:tc>
        <w:tc>
          <w:tcPr>
            <w:tcW w:w="1140" w:type="dxa"/>
            <w:vAlign w:val="bottom"/>
          </w:tcPr>
          <w:p>
            <w:pPr>
              <w:spacing w:after="0"/>
              <w:rPr>
                <w:sz w:val="18"/>
                <w:szCs w:val="18"/>
                <w:color w:val="auto"/>
              </w:rPr>
            </w:pPr>
          </w:p>
        </w:tc>
        <w:tc>
          <w:tcPr>
            <w:tcW w:w="2640" w:type="dxa"/>
            <w:vAlign w:val="bottom"/>
            <w:gridSpan w:val="2"/>
          </w:tcPr>
          <w:p>
            <w:pPr>
              <w:jc w:val="right"/>
              <w:ind w:right="680"/>
              <w:spacing w:after="0"/>
              <w:rPr>
                <w:sz w:val="20"/>
                <w:szCs w:val="20"/>
                <w:color w:val="auto"/>
              </w:rPr>
            </w:pPr>
            <w:r>
              <w:rPr>
                <w:rFonts w:ascii="Arial" w:cs="Arial" w:eastAsia="Arial" w:hAnsi="Arial"/>
                <w:sz w:val="18"/>
                <w:szCs w:val="18"/>
                <w:color w:val="auto"/>
              </w:rPr>
              <w:t>11,761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1940" w:type="dxa"/>
            <w:vAlign w:val="bottom"/>
          </w:tcPr>
          <w:p>
            <w:pPr>
              <w:jc w:val="right"/>
              <w:spacing w:after="0"/>
              <w:rPr>
                <w:sz w:val="20"/>
                <w:szCs w:val="20"/>
                <w:color w:val="auto"/>
              </w:rPr>
            </w:pPr>
            <w:r>
              <w:rPr>
                <w:rFonts w:ascii="Arial" w:cs="Arial" w:eastAsia="Arial" w:hAnsi="Arial"/>
                <w:sz w:val="18"/>
                <w:szCs w:val="18"/>
                <w:color w:val="auto"/>
              </w:rPr>
              <w:t>6,548</w:t>
            </w:r>
          </w:p>
        </w:tc>
        <w:tc>
          <w:tcPr>
            <w:tcW w:w="1140" w:type="dxa"/>
            <w:vAlign w:val="bottom"/>
          </w:tcPr>
          <w:p>
            <w:pPr>
              <w:spacing w:after="0"/>
              <w:rPr>
                <w:sz w:val="18"/>
                <w:szCs w:val="18"/>
                <w:color w:val="auto"/>
              </w:rPr>
            </w:pPr>
          </w:p>
        </w:tc>
        <w:tc>
          <w:tcPr>
            <w:tcW w:w="2640" w:type="dxa"/>
            <w:vAlign w:val="bottom"/>
            <w:gridSpan w:val="2"/>
          </w:tcPr>
          <w:p>
            <w:pPr>
              <w:jc w:val="right"/>
              <w:ind w:right="680"/>
              <w:spacing w:after="0"/>
              <w:rPr>
                <w:sz w:val="20"/>
                <w:szCs w:val="20"/>
                <w:color w:val="auto"/>
              </w:rPr>
            </w:pPr>
            <w:r>
              <w:rPr>
                <w:rFonts w:ascii="Arial" w:cs="Arial" w:eastAsia="Arial" w:hAnsi="Arial"/>
                <w:sz w:val="18"/>
                <w:szCs w:val="18"/>
                <w:color w:val="auto"/>
              </w:rPr>
              <w:t>10,477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Income taxes payable</w:t>
            </w:r>
          </w:p>
        </w:tc>
        <w:tc>
          <w:tcPr>
            <w:tcW w:w="1940" w:type="dxa"/>
            <w:vAlign w:val="bottom"/>
          </w:tcPr>
          <w:p>
            <w:pPr>
              <w:jc w:val="right"/>
              <w:spacing w:after="0"/>
              <w:rPr>
                <w:sz w:val="20"/>
                <w:szCs w:val="20"/>
                <w:color w:val="auto"/>
              </w:rPr>
            </w:pPr>
            <w:r>
              <w:rPr>
                <w:rFonts w:ascii="Arial" w:cs="Arial" w:eastAsia="Arial" w:hAnsi="Arial"/>
                <w:sz w:val="18"/>
                <w:szCs w:val="18"/>
                <w:color w:val="auto"/>
              </w:rPr>
              <w:t>1,338</w:t>
            </w:r>
          </w:p>
        </w:tc>
        <w:tc>
          <w:tcPr>
            <w:tcW w:w="1140" w:type="dxa"/>
            <w:vAlign w:val="bottom"/>
          </w:tcPr>
          <w:p>
            <w:pPr>
              <w:spacing w:after="0"/>
              <w:rPr>
                <w:sz w:val="18"/>
                <w:szCs w:val="18"/>
                <w:color w:val="auto"/>
              </w:rPr>
            </w:pPr>
          </w:p>
        </w:tc>
        <w:tc>
          <w:tcPr>
            <w:tcW w:w="2640" w:type="dxa"/>
            <w:vAlign w:val="bottom"/>
            <w:gridSpan w:val="2"/>
          </w:tcPr>
          <w:p>
            <w:pPr>
              <w:jc w:val="right"/>
              <w:ind w:right="68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940" w:type="dxa"/>
            <w:vAlign w:val="bottom"/>
          </w:tcPr>
          <w:p>
            <w:pPr>
              <w:jc w:val="right"/>
              <w:spacing w:after="0"/>
              <w:rPr>
                <w:sz w:val="20"/>
                <w:szCs w:val="20"/>
                <w:color w:val="auto"/>
              </w:rPr>
            </w:pPr>
            <w:r>
              <w:rPr>
                <w:rFonts w:ascii="Arial" w:cs="Arial" w:eastAsia="Arial" w:hAnsi="Arial"/>
                <w:sz w:val="18"/>
                <w:szCs w:val="18"/>
                <w:color w:val="auto"/>
              </w:rPr>
              <w:t>18,052</w:t>
            </w:r>
          </w:p>
        </w:tc>
        <w:tc>
          <w:tcPr>
            <w:tcW w:w="1140" w:type="dxa"/>
            <w:vAlign w:val="bottom"/>
          </w:tcPr>
          <w:p>
            <w:pPr>
              <w:spacing w:after="0"/>
              <w:rPr>
                <w:sz w:val="20"/>
                <w:szCs w:val="20"/>
                <w:color w:val="auto"/>
              </w:rPr>
            </w:pPr>
          </w:p>
        </w:tc>
        <w:tc>
          <w:tcPr>
            <w:tcW w:w="2640" w:type="dxa"/>
            <w:vAlign w:val="bottom"/>
            <w:gridSpan w:val="2"/>
          </w:tcPr>
          <w:p>
            <w:pPr>
              <w:jc w:val="right"/>
              <w:ind w:right="68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109,526</w:t>
            </w:r>
          </w:p>
        </w:tc>
        <w:tc>
          <w:tcPr>
            <w:tcW w:w="1140" w:type="dxa"/>
            <w:vAlign w:val="bottom"/>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69,384</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570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1940" w:type="dxa"/>
            <w:vAlign w:val="bottom"/>
          </w:tcPr>
          <w:p>
            <w:pPr>
              <w:jc w:val="right"/>
              <w:spacing w:after="0"/>
              <w:rPr>
                <w:sz w:val="20"/>
                <w:szCs w:val="20"/>
                <w:color w:val="auto"/>
              </w:rPr>
            </w:pPr>
            <w:r>
              <w:rPr>
                <w:rFonts w:ascii="Arial" w:cs="Arial" w:eastAsia="Arial" w:hAnsi="Arial"/>
                <w:sz w:val="18"/>
                <w:szCs w:val="18"/>
                <w:color w:val="auto"/>
              </w:rPr>
              <w:t>49,980</w:t>
            </w:r>
          </w:p>
        </w:tc>
        <w:tc>
          <w:tcPr>
            <w:tcW w:w="1140" w:type="dxa"/>
            <w:vAlign w:val="bottom"/>
          </w:tcPr>
          <w:p>
            <w:pPr>
              <w:spacing w:after="0"/>
              <w:rPr>
                <w:sz w:val="24"/>
                <w:szCs w:val="24"/>
                <w:color w:val="auto"/>
              </w:rPr>
            </w:pPr>
          </w:p>
        </w:tc>
        <w:tc>
          <w:tcPr>
            <w:tcW w:w="2640" w:type="dxa"/>
            <w:vAlign w:val="bottom"/>
            <w:gridSpan w:val="2"/>
          </w:tcPr>
          <w:p>
            <w:pPr>
              <w:jc w:val="right"/>
              <w:ind w:right="68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940" w:type="dxa"/>
            <w:vAlign w:val="bottom"/>
          </w:tcPr>
          <w:p>
            <w:pPr>
              <w:jc w:val="right"/>
              <w:spacing w:after="0"/>
              <w:rPr>
                <w:sz w:val="20"/>
                <w:szCs w:val="20"/>
                <w:color w:val="auto"/>
              </w:rPr>
            </w:pPr>
            <w:r>
              <w:rPr>
                <w:rFonts w:ascii="Arial" w:cs="Arial" w:eastAsia="Arial" w:hAnsi="Arial"/>
                <w:sz w:val="18"/>
                <w:szCs w:val="18"/>
                <w:color w:val="auto"/>
              </w:rPr>
              <w:t>353,951</w:t>
            </w:r>
          </w:p>
        </w:tc>
        <w:tc>
          <w:tcPr>
            <w:tcW w:w="1140" w:type="dxa"/>
            <w:vAlign w:val="bottom"/>
          </w:tcPr>
          <w:p>
            <w:pPr>
              <w:spacing w:after="0"/>
              <w:rPr>
                <w:sz w:val="18"/>
                <w:szCs w:val="18"/>
                <w:color w:val="auto"/>
              </w:rPr>
            </w:pPr>
          </w:p>
        </w:tc>
        <w:tc>
          <w:tcPr>
            <w:tcW w:w="2640" w:type="dxa"/>
            <w:vAlign w:val="bottom"/>
            <w:gridSpan w:val="2"/>
          </w:tcPr>
          <w:p>
            <w:pPr>
              <w:jc w:val="right"/>
              <w:ind w:right="68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940" w:type="dxa"/>
            <w:vAlign w:val="bottom"/>
          </w:tcPr>
          <w:p>
            <w:pPr>
              <w:jc w:val="right"/>
              <w:spacing w:after="0"/>
              <w:rPr>
                <w:sz w:val="20"/>
                <w:szCs w:val="20"/>
                <w:color w:val="auto"/>
              </w:rPr>
            </w:pPr>
            <w:r>
              <w:rPr>
                <w:rFonts w:ascii="Arial" w:cs="Arial" w:eastAsia="Arial" w:hAnsi="Arial"/>
                <w:sz w:val="18"/>
                <w:szCs w:val="18"/>
                <w:color w:val="auto"/>
              </w:rPr>
              <w:t>24,675</w:t>
            </w:r>
          </w:p>
        </w:tc>
        <w:tc>
          <w:tcPr>
            <w:tcW w:w="1140" w:type="dxa"/>
            <w:vAlign w:val="bottom"/>
          </w:tcPr>
          <w:p>
            <w:pPr>
              <w:spacing w:after="0"/>
              <w:rPr>
                <w:sz w:val="20"/>
                <w:szCs w:val="20"/>
                <w:color w:val="auto"/>
              </w:rPr>
            </w:pPr>
          </w:p>
        </w:tc>
        <w:tc>
          <w:tcPr>
            <w:tcW w:w="2640" w:type="dxa"/>
            <w:vAlign w:val="bottom"/>
            <w:gridSpan w:val="2"/>
          </w:tcPr>
          <w:p>
            <w:pPr>
              <w:jc w:val="right"/>
              <w:ind w:right="680"/>
              <w:spacing w:after="0"/>
              <w:rPr>
                <w:sz w:val="20"/>
                <w:szCs w:val="20"/>
                <w:color w:val="auto"/>
              </w:rPr>
            </w:pPr>
            <w:r>
              <w:rPr>
                <w:rFonts w:ascii="Arial" w:cs="Arial" w:eastAsia="Arial" w:hAnsi="Arial"/>
                <w:sz w:val="18"/>
                <w:szCs w:val="18"/>
                <w:color w:val="auto"/>
              </w:rPr>
              <w:t>10,414</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Total liabilities</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538,132</w:t>
            </w:r>
          </w:p>
        </w:tc>
        <w:tc>
          <w:tcPr>
            <w:tcW w:w="1140" w:type="dxa"/>
            <w:vAlign w:val="bottom"/>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109,642</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7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180,256</w:t>
            </w:r>
          </w:p>
        </w:tc>
        <w:tc>
          <w:tcPr>
            <w:tcW w:w="1140" w:type="dxa"/>
            <w:vAlign w:val="bottom"/>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152,760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940" w:type="dxa"/>
            <w:vAlign w:val="bottom"/>
          </w:tcPr>
          <w:p>
            <w:pPr>
              <w:jc w:val="right"/>
              <w:spacing w:after="0"/>
              <w:rPr>
                <w:sz w:val="20"/>
                <w:szCs w:val="20"/>
                <w:color w:val="auto"/>
              </w:rPr>
            </w:pPr>
            <w:r>
              <w:rPr>
                <w:rFonts w:ascii="Arial" w:cs="Arial" w:eastAsia="Arial" w:hAnsi="Arial"/>
                <w:sz w:val="18"/>
                <w:szCs w:val="18"/>
                <w:color w:val="auto"/>
              </w:rPr>
              <w:t>$ 718,388</w:t>
            </w:r>
          </w:p>
        </w:tc>
        <w:tc>
          <w:tcPr>
            <w:tcW w:w="1140" w:type="dxa"/>
            <w:vAlign w:val="bottom"/>
          </w:tcPr>
          <w:p>
            <w:pPr>
              <w:spacing w:after="0"/>
              <w:rPr>
                <w:sz w:val="24"/>
                <w:szCs w:val="24"/>
                <w:color w:val="auto"/>
              </w:rPr>
            </w:pPr>
          </w:p>
        </w:tc>
        <w:tc>
          <w:tcPr>
            <w:tcW w:w="2640" w:type="dxa"/>
            <w:vAlign w:val="bottom"/>
            <w:gridSpan w:val="2"/>
          </w:tcPr>
          <w:p>
            <w:pPr>
              <w:jc w:val="right"/>
              <w:ind w:right="680"/>
              <w:spacing w:after="0"/>
              <w:rPr>
                <w:sz w:val="20"/>
                <w:szCs w:val="20"/>
                <w:color w:val="auto"/>
              </w:rPr>
            </w:pPr>
            <w:r>
              <w:rPr>
                <w:rFonts w:ascii="Arial" w:cs="Arial" w:eastAsia="Arial" w:hAnsi="Arial"/>
                <w:sz w:val="18"/>
                <w:szCs w:val="18"/>
                <w:color w:val="auto"/>
              </w:rPr>
              <w:t>$ 262,402</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8"/>
        </w:trPr>
        <w:tc>
          <w:tcPr>
            <w:tcW w:w="570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9" w:name="page10"/>
    <w:bookmarkEnd w:id="9"/>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3"/>
              </w:rPr>
              <w:t>Three Months</w:t>
            </w:r>
          </w:p>
        </w:tc>
        <w:tc>
          <w:tcPr>
            <w:tcW w:w="16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3"/>
              </w:rPr>
              <w:t>Three Months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0"/>
              </w:rPr>
              <w:t>Ended</w:t>
            </w:r>
          </w:p>
        </w:tc>
        <w:tc>
          <w:tcPr>
            <w:tcW w:w="16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16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9"/>
              </w:rPr>
              <w:t>In</w:t>
            </w:r>
          </w:p>
        </w:tc>
        <w:tc>
          <w:tcPr>
            <w:tcW w:w="16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In</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7"/>
              </w:rPr>
              <w:t>Thousands</w:t>
            </w:r>
          </w:p>
        </w:tc>
        <w:tc>
          <w:tcPr>
            <w:tcW w:w="16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Thousands</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rPr>
              <w:t>Income from operations</w:t>
            </w:r>
          </w:p>
        </w:tc>
        <w:tc>
          <w:tcPr>
            <w:tcW w:w="13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$ 2,552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$ 7,794</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color w:val="auto"/>
              </w:rPr>
              <w:t>Acquisition and integration costs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8,088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Adjusted income from operations</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$ 10,640</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$ 7,794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4"/>
        </w:trPr>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3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gridSpan w:val="9"/>
          </w:tcPr>
          <w:p>
            <w:pPr>
              <w:jc w:val="center"/>
              <w:ind w:right="380"/>
              <w:spacing w:after="0"/>
              <w:rPr>
                <w:sz w:val="20"/>
                <w:szCs w:val="20"/>
                <w:color w:val="auto"/>
              </w:rPr>
            </w:pPr>
            <w:r>
              <w:rPr>
                <w:rFonts w:ascii="Arial" w:cs="Arial" w:eastAsia="Arial" w:hAnsi="Arial"/>
                <w:sz w:val="18"/>
                <w:szCs w:val="18"/>
                <w:b w:val="1"/>
                <w:bCs w:val="1"/>
                <w:color w:val="auto"/>
                <w:w w:val="89"/>
              </w:rPr>
              <w:t>September 30, 2014</w:t>
            </w:r>
          </w:p>
        </w:tc>
        <w:tc>
          <w:tcPr>
            <w:tcW w:w="32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September 30, 2013</w:t>
            </w: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rPr>
              <w:t>In</w:t>
            </w:r>
          </w:p>
        </w:tc>
        <w:tc>
          <w:tcPr>
            <w:tcW w:w="16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Diluted</w:t>
            </w: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In</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Diluted</w:t>
            </w: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87"/>
              </w:rPr>
              <w:t>Thousands</w:t>
            </w:r>
          </w:p>
        </w:tc>
        <w:tc>
          <w:tcPr>
            <w:tcW w:w="16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Earnings Per</w:t>
            </w: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Thousands</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Earnings Per</w:t>
            </w:r>
          </w:p>
        </w:tc>
      </w:tr>
      <w:tr>
        <w:trPr>
          <w:trHeight w:val="241"/>
        </w:trPr>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Share</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Share</w:t>
            </w:r>
          </w:p>
        </w:tc>
      </w:tr>
      <w:tr>
        <w:trPr>
          <w:trHeight w:val="202"/>
        </w:trPr>
        <w:tc>
          <w:tcPr>
            <w:tcW w:w="4800" w:type="dxa"/>
            <w:vAlign w:val="bottom"/>
          </w:tcPr>
          <w:p>
            <w:pPr>
              <w:spacing w:after="0" w:line="201" w:lineRule="exact"/>
              <w:rPr>
                <w:sz w:val="20"/>
                <w:szCs w:val="20"/>
                <w:color w:val="auto"/>
              </w:rPr>
            </w:pPr>
            <w:r>
              <w:rPr>
                <w:rFonts w:ascii="Arial" w:cs="Arial" w:eastAsia="Arial" w:hAnsi="Arial"/>
                <w:sz w:val="18"/>
                <w:szCs w:val="18"/>
                <w:color w:val="auto"/>
              </w:rPr>
              <w:t>Net income</w:t>
            </w:r>
          </w:p>
        </w:tc>
        <w:tc>
          <w:tcPr>
            <w:tcW w:w="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jc w:val="right"/>
              <w:spacing w:after="0" w:line="201" w:lineRule="exact"/>
              <w:rPr>
                <w:sz w:val="20"/>
                <w:szCs w:val="20"/>
                <w:color w:val="auto"/>
              </w:rPr>
            </w:pPr>
            <w:r>
              <w:rPr>
                <w:rFonts w:ascii="Arial" w:cs="Arial" w:eastAsia="Arial" w:hAnsi="Arial"/>
                <w:sz w:val="18"/>
                <w:szCs w:val="18"/>
                <w:color w:val="auto"/>
              </w:rPr>
              <w:t>$ (3,840)</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 (0.21)</w:t>
            </w:r>
          </w:p>
        </w:tc>
        <w:tc>
          <w:tcPr>
            <w:tcW w:w="340" w:type="dxa"/>
            <w:vAlign w:val="bottom"/>
          </w:tcPr>
          <w:p>
            <w:pPr>
              <w:spacing w:after="0"/>
              <w:rPr>
                <w:sz w:val="17"/>
                <w:szCs w:val="17"/>
                <w:color w:val="auto"/>
              </w:rPr>
            </w:pPr>
          </w:p>
        </w:tc>
        <w:tc>
          <w:tcPr>
            <w:tcW w:w="1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$ 5,052</w:t>
            </w:r>
          </w:p>
        </w:tc>
        <w:tc>
          <w:tcPr>
            <w:tcW w:w="340" w:type="dxa"/>
            <w:vAlign w:val="bottom"/>
          </w:tcPr>
          <w:p>
            <w:pPr>
              <w:spacing w:after="0"/>
              <w:rPr>
                <w:sz w:val="17"/>
                <w:szCs w:val="17"/>
                <w:color w:val="auto"/>
              </w:rPr>
            </w:pPr>
          </w:p>
        </w:tc>
        <w:tc>
          <w:tcPr>
            <w:tcW w:w="1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$ 0.29</w:t>
            </w:r>
          </w:p>
        </w:tc>
        <w:tc>
          <w:tcPr>
            <w:tcW w:w="20" w:type="dxa"/>
            <w:vAlign w:val="bottom"/>
          </w:tcPr>
          <w:p>
            <w:pPr>
              <w:spacing w:after="0"/>
              <w:rPr>
                <w:sz w:val="17"/>
                <w:szCs w:val="17"/>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After-tax acquisition and integration costs</w:t>
            </w:r>
          </w:p>
        </w:tc>
        <w:tc>
          <w:tcPr>
            <w:tcW w:w="1380" w:type="dxa"/>
            <w:vAlign w:val="bottom"/>
            <w:gridSpan w:val="4"/>
          </w:tcPr>
          <w:p>
            <w:pPr>
              <w:jc w:val="right"/>
              <w:ind w:right="20"/>
              <w:spacing w:after="0"/>
              <w:rPr>
                <w:sz w:val="20"/>
                <w:szCs w:val="20"/>
                <w:color w:val="auto"/>
              </w:rPr>
            </w:pPr>
            <w:r>
              <w:rPr>
                <w:rFonts w:ascii="Arial" w:cs="Arial" w:eastAsia="Arial" w:hAnsi="Arial"/>
                <w:sz w:val="18"/>
                <w:szCs w:val="18"/>
                <w:color w:val="auto"/>
              </w:rPr>
              <w:t>9,222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0.50</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After-tax foreign exchange loss on inter-company</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color w:val="auto"/>
              </w:rPr>
              <w:t>loans</w:t>
            </w:r>
          </w:p>
        </w:tc>
        <w:tc>
          <w:tcPr>
            <w:tcW w:w="1380" w:type="dxa"/>
            <w:vAlign w:val="bottom"/>
            <w:gridSpan w:val="4"/>
          </w:tcPr>
          <w:p>
            <w:pPr>
              <w:jc w:val="right"/>
              <w:ind w:right="20"/>
              <w:spacing w:after="0"/>
              <w:rPr>
                <w:sz w:val="20"/>
                <w:szCs w:val="20"/>
                <w:color w:val="auto"/>
              </w:rPr>
            </w:pPr>
            <w:r>
              <w:rPr>
                <w:rFonts w:ascii="Arial" w:cs="Arial" w:eastAsia="Arial" w:hAnsi="Arial"/>
                <w:sz w:val="18"/>
                <w:szCs w:val="18"/>
                <w:color w:val="auto"/>
              </w:rPr>
              <w:t>880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0.05</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Adjusted net income</w:t>
            </w:r>
          </w:p>
        </w:tc>
        <w:tc>
          <w:tcPr>
            <w:tcW w:w="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$ 6,262</w:t>
            </w:r>
          </w:p>
        </w:tc>
        <w:tc>
          <w:tcPr>
            <w:tcW w:w="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$ 0.34</w:t>
            </w:r>
          </w:p>
        </w:tc>
        <w:tc>
          <w:tcPr>
            <w:tcW w:w="3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$ 5,008</w:t>
            </w:r>
          </w:p>
        </w:tc>
        <w:tc>
          <w:tcPr>
            <w:tcW w:w="34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$ 0.29</w:t>
            </w:r>
          </w:p>
        </w:tc>
        <w:tc>
          <w:tcPr>
            <w:tcW w:w="20" w:type="dxa"/>
            <w:vAlign w:val="bottom"/>
          </w:tcPr>
          <w:p>
            <w:pPr>
              <w:spacing w:after="0"/>
              <w:rPr>
                <w:sz w:val="18"/>
                <w:szCs w:val="18"/>
                <w:color w:val="auto"/>
              </w:rPr>
            </w:pPr>
          </w:p>
        </w:tc>
      </w:tr>
      <w:tr>
        <w:trPr>
          <w:trHeight w:val="21"/>
        </w:trPr>
        <w:tc>
          <w:tcPr>
            <w:tcW w:w="4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4"/>
        </w:trPr>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Nine Months</w:t>
            </w:r>
          </w:p>
        </w:tc>
        <w:tc>
          <w:tcPr>
            <w:tcW w:w="16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2"/>
              </w:rPr>
              <w:t>Nine Months</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16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16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9"/>
              </w:rPr>
              <w:t>In</w:t>
            </w:r>
          </w:p>
        </w:tc>
        <w:tc>
          <w:tcPr>
            <w:tcW w:w="16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In</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87"/>
              </w:rPr>
              <w:t>Thousands</w:t>
            </w:r>
          </w:p>
        </w:tc>
        <w:tc>
          <w:tcPr>
            <w:tcW w:w="16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7"/>
              </w:rPr>
              <w:t>Thousands</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rPr>
                <w:sz w:val="17"/>
                <w:szCs w:val="17"/>
                <w:color w:val="auto"/>
              </w:rPr>
            </w:pPr>
          </w:p>
        </w:tc>
        <w:tc>
          <w:tcPr>
            <w:tcW w:w="13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$ 19,127</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$ 21,353</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color w:val="auto"/>
              </w:rPr>
              <w:t>Acquisition and integration costs</w:t>
            </w:r>
          </w:p>
        </w:tc>
        <w:tc>
          <w:tcPr>
            <w:tcW w:w="1380" w:type="dxa"/>
            <w:vAlign w:val="bottom"/>
            <w:gridSpan w:val="4"/>
          </w:tcPr>
          <w:p>
            <w:pPr>
              <w:jc w:val="right"/>
              <w:ind w:right="20"/>
              <w:spacing w:after="0"/>
              <w:rPr>
                <w:sz w:val="20"/>
                <w:szCs w:val="20"/>
                <w:color w:val="auto"/>
              </w:rPr>
            </w:pPr>
            <w:r>
              <w:rPr>
                <w:rFonts w:ascii="Arial" w:cs="Arial" w:eastAsia="Arial" w:hAnsi="Arial"/>
                <w:sz w:val="18"/>
                <w:szCs w:val="18"/>
                <w:color w:val="auto"/>
              </w:rPr>
              <w:t>9,858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Adjusted income from operations</w:t>
            </w:r>
          </w:p>
        </w:tc>
        <w:tc>
          <w:tcPr>
            <w:tcW w:w="20" w:type="dxa"/>
            <w:vAlign w:val="bottom"/>
          </w:tcPr>
          <w:p>
            <w:pPr>
              <w:spacing w:after="0"/>
              <w:rPr>
                <w:sz w:val="18"/>
                <w:szCs w:val="18"/>
                <w:color w:val="auto"/>
              </w:rPr>
            </w:pPr>
          </w:p>
        </w:tc>
        <w:tc>
          <w:tcPr>
            <w:tcW w:w="13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$ 28,985</w:t>
            </w:r>
          </w:p>
        </w:tc>
        <w:tc>
          <w:tcPr>
            <w:tcW w:w="3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$ 21,353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r>
      <w:tr>
        <w:trPr>
          <w:trHeight w:val="434"/>
        </w:trPr>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9"/>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32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Nine Months Ended</w:t>
            </w: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gridSpan w:val="9"/>
          </w:tcPr>
          <w:p>
            <w:pPr>
              <w:jc w:val="center"/>
              <w:ind w:right="380"/>
              <w:spacing w:after="0"/>
              <w:rPr>
                <w:sz w:val="20"/>
                <w:szCs w:val="20"/>
                <w:color w:val="auto"/>
              </w:rPr>
            </w:pPr>
            <w:r>
              <w:rPr>
                <w:rFonts w:ascii="Arial" w:cs="Arial" w:eastAsia="Arial" w:hAnsi="Arial"/>
                <w:sz w:val="18"/>
                <w:szCs w:val="18"/>
                <w:b w:val="1"/>
                <w:bCs w:val="1"/>
                <w:color w:val="auto"/>
                <w:w w:val="89"/>
              </w:rPr>
              <w:t>September 30, 2014</w:t>
            </w:r>
          </w:p>
        </w:tc>
        <w:tc>
          <w:tcPr>
            <w:tcW w:w="32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September 30, 2013</w:t>
            </w: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rPr>
              <w:t>In</w:t>
            </w:r>
          </w:p>
        </w:tc>
        <w:tc>
          <w:tcPr>
            <w:tcW w:w="16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Diluted</w:t>
            </w: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In</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Diluted</w:t>
            </w: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87"/>
              </w:rPr>
              <w:t>Thousands</w:t>
            </w:r>
          </w:p>
        </w:tc>
        <w:tc>
          <w:tcPr>
            <w:tcW w:w="16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Earnings Per</w:t>
            </w: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Thousands</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Earnings Per</w:t>
            </w:r>
          </w:p>
        </w:tc>
      </w:tr>
      <w:tr>
        <w:trPr>
          <w:trHeight w:val="241"/>
        </w:trPr>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Share</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Share</w:t>
            </w:r>
          </w:p>
        </w:tc>
      </w:tr>
      <w:tr>
        <w:trPr>
          <w:trHeight w:val="202"/>
        </w:trPr>
        <w:tc>
          <w:tcPr>
            <w:tcW w:w="4800" w:type="dxa"/>
            <w:vAlign w:val="bottom"/>
          </w:tcPr>
          <w:p>
            <w:pPr>
              <w:spacing w:after="0" w:line="201" w:lineRule="exact"/>
              <w:rPr>
                <w:sz w:val="20"/>
                <w:szCs w:val="20"/>
                <w:color w:val="auto"/>
              </w:rPr>
            </w:pPr>
            <w:r>
              <w:rPr>
                <w:rFonts w:ascii="Arial" w:cs="Arial" w:eastAsia="Arial" w:hAnsi="Arial"/>
                <w:sz w:val="18"/>
                <w:szCs w:val="18"/>
                <w:color w:val="auto"/>
              </w:rPr>
              <w:t>Net income</w:t>
            </w:r>
          </w:p>
        </w:tc>
        <w:tc>
          <w:tcPr>
            <w:tcW w:w="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3"/>
          </w:tcPr>
          <w:p>
            <w:pPr>
              <w:jc w:val="right"/>
              <w:spacing w:after="0" w:line="201" w:lineRule="exact"/>
              <w:rPr>
                <w:sz w:val="20"/>
                <w:szCs w:val="20"/>
                <w:color w:val="auto"/>
              </w:rPr>
            </w:pPr>
            <w:r>
              <w:rPr>
                <w:rFonts w:ascii="Arial" w:cs="Arial" w:eastAsia="Arial" w:hAnsi="Arial"/>
                <w:sz w:val="18"/>
                <w:szCs w:val="18"/>
                <w:color w:val="auto"/>
              </w:rPr>
              <w:t>$ 6,599</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$ 0.36</w:t>
            </w:r>
          </w:p>
        </w:tc>
        <w:tc>
          <w:tcPr>
            <w:tcW w:w="340" w:type="dxa"/>
            <w:vAlign w:val="bottom"/>
          </w:tcPr>
          <w:p>
            <w:pPr>
              <w:spacing w:after="0"/>
              <w:rPr>
                <w:sz w:val="17"/>
                <w:szCs w:val="17"/>
                <w:color w:val="auto"/>
              </w:rPr>
            </w:pPr>
          </w:p>
        </w:tc>
        <w:tc>
          <w:tcPr>
            <w:tcW w:w="1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$ 12,693</w:t>
            </w:r>
          </w:p>
        </w:tc>
        <w:tc>
          <w:tcPr>
            <w:tcW w:w="340" w:type="dxa"/>
            <w:vAlign w:val="bottom"/>
          </w:tcPr>
          <w:p>
            <w:pPr>
              <w:spacing w:after="0"/>
              <w:rPr>
                <w:sz w:val="17"/>
                <w:szCs w:val="17"/>
                <w:color w:val="auto"/>
              </w:rPr>
            </w:pPr>
          </w:p>
        </w:tc>
        <w:tc>
          <w:tcPr>
            <w:tcW w:w="1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$ 0.74</w:t>
            </w:r>
          </w:p>
        </w:tc>
        <w:tc>
          <w:tcPr>
            <w:tcW w:w="20" w:type="dxa"/>
            <w:vAlign w:val="bottom"/>
          </w:tcPr>
          <w:p>
            <w:pPr>
              <w:spacing w:after="0"/>
              <w:rPr>
                <w:sz w:val="17"/>
                <w:szCs w:val="17"/>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After-tax acquisition and integration costs</w:t>
            </w:r>
          </w:p>
        </w:tc>
        <w:tc>
          <w:tcPr>
            <w:tcW w:w="1700" w:type="dxa"/>
            <w:vAlign w:val="bottom"/>
            <w:gridSpan w:val="5"/>
          </w:tcPr>
          <w:p>
            <w:pPr>
              <w:jc w:val="right"/>
              <w:ind w:right="340"/>
              <w:spacing w:after="0"/>
              <w:rPr>
                <w:sz w:val="20"/>
                <w:szCs w:val="20"/>
                <w:color w:val="auto"/>
              </w:rPr>
            </w:pPr>
            <w:r>
              <w:rPr>
                <w:rFonts w:ascii="Arial" w:cs="Arial" w:eastAsia="Arial" w:hAnsi="Arial"/>
                <w:sz w:val="18"/>
                <w:szCs w:val="18"/>
                <w:color w:val="auto"/>
              </w:rPr>
              <w:t>10,354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0.57</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After-tax foreign exchange loss on inter-company</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loans</w:t>
            </w:r>
          </w:p>
        </w:tc>
        <w:tc>
          <w:tcPr>
            <w:tcW w:w="1380" w:type="dxa"/>
            <w:vAlign w:val="bottom"/>
            <w:gridSpan w:val="4"/>
          </w:tcPr>
          <w:p>
            <w:pPr>
              <w:jc w:val="right"/>
              <w:ind w:right="20"/>
              <w:spacing w:after="0"/>
              <w:rPr>
                <w:sz w:val="20"/>
                <w:szCs w:val="20"/>
                <w:color w:val="auto"/>
              </w:rPr>
            </w:pPr>
            <w:r>
              <w:rPr>
                <w:rFonts w:ascii="Arial" w:cs="Arial" w:eastAsia="Arial" w:hAnsi="Arial"/>
                <w:sz w:val="18"/>
                <w:szCs w:val="18"/>
                <w:color w:val="auto"/>
              </w:rPr>
              <w:t>880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0.05</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168</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After-tax restructuring and other non-recurring</w:t>
            </w: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color w:val="auto"/>
              </w:rPr>
              <w:t>items</w:t>
            </w:r>
          </w:p>
        </w:tc>
        <w:tc>
          <w:tcPr>
            <w:tcW w:w="13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399</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Adjusted net income</w:t>
            </w:r>
          </w:p>
        </w:tc>
        <w:tc>
          <w:tcPr>
            <w:tcW w:w="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$ 17,833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$ 0.98</w:t>
            </w:r>
          </w:p>
        </w:tc>
        <w:tc>
          <w:tcPr>
            <w:tcW w:w="3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$ 13,260</w:t>
            </w:r>
          </w:p>
        </w:tc>
        <w:tc>
          <w:tcPr>
            <w:tcW w:w="34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$ 0.77</w:t>
            </w:r>
          </w:p>
        </w:tc>
        <w:tc>
          <w:tcPr>
            <w:tcW w:w="20" w:type="dxa"/>
            <w:vAlign w:val="bottom"/>
          </w:tcPr>
          <w:p>
            <w:pPr>
              <w:spacing w:after="0"/>
              <w:rPr>
                <w:sz w:val="18"/>
                <w:szCs w:val="18"/>
                <w:color w:val="auto"/>
              </w:rPr>
            </w:pPr>
          </w:p>
        </w:tc>
      </w:tr>
      <w:tr>
        <w:trPr>
          <w:trHeight w:val="21"/>
        </w:trPr>
        <w:tc>
          <w:tcPr>
            <w:tcW w:w="4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management evaluates operating performance excluding unusual and/or nonrecurring items. The Company believes excluding such items provides a more effective and comparable measure of performance and a clearer view of underlying trends. Since net income excluding these items is not a measure calculated in accordance with GAAP, this should not be considered as a substitute for other GAAP measures, including net income, as an indicator of performance. Accordingly, net income/loss excluding the above items is reconciled to net income/loss on a GAAP basis.</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2019-12-06T10:06:44Z</dcterms:created>
  <dcterms:modified xsi:type="dcterms:W3CDTF">2019-12-06T10:06:44Z</dcterms:modified>
</cp:coreProperties>
</file>