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334645</wp:posOffset>
            </wp:positionV>
            <wp:extent cx="71780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889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351790</wp:posOffset>
            </wp:positionV>
            <wp:extent cx="71780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2329180</wp:posOffset>
            </wp:positionH>
            <wp:positionV relativeFrom="paragraph">
              <wp:posOffset>163195</wp:posOffset>
            </wp:positionV>
            <wp:extent cx="25984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00" w:lineRule="exact"/>
        <w:rPr>
          <w:sz w:val="24"/>
          <w:szCs w:val="24"/>
          <w:color w:val="auto"/>
        </w:rPr>
      </w:pPr>
    </w:p>
    <w:p>
      <w:pPr>
        <w:spacing w:after="0" w:line="28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2329180</wp:posOffset>
            </wp:positionH>
            <wp:positionV relativeFrom="paragraph">
              <wp:posOffset>352425</wp:posOffset>
            </wp:positionV>
            <wp:extent cx="25984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43"/>
          <w:szCs w:val="43"/>
          <w:color w:val="auto"/>
          <w:vertAlign w:val="subscript"/>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9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For the quarterly period ended June 30, 2019</w:t>
      </w:r>
    </w:p>
    <w:p>
      <w:pPr>
        <w:spacing w:after="0" w:line="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47" w:lineRule="exact"/>
        <w:rPr>
          <w:sz w:val="24"/>
          <w:szCs w:val="24"/>
          <w:color w:val="auto"/>
        </w:rPr>
      </w:pPr>
    </w:p>
    <w:p>
      <w:pPr>
        <w:ind w:left="380" w:hanging="345"/>
        <w:spacing w:after="0"/>
        <w:tabs>
          <w:tab w:leader="none" w:pos="38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46" w:lineRule="exact"/>
        <w:rPr>
          <w:sz w:val="24"/>
          <w:szCs w:val="24"/>
          <w:color w:val="auto"/>
        </w:rPr>
      </w:pPr>
    </w:p>
    <w:p>
      <w:pPr>
        <w:ind w:left="3720"/>
        <w:spacing w:after="0"/>
        <w:tabs>
          <w:tab w:leader="none" w:pos="67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3723005</wp:posOffset>
            </wp:positionH>
            <wp:positionV relativeFrom="paragraph">
              <wp:posOffset>-3810</wp:posOffset>
            </wp:positionV>
            <wp:extent cx="11658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Commission File Number 000-23486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2329180</wp:posOffset>
            </wp:positionH>
            <wp:positionV relativeFrom="paragraph">
              <wp:posOffset>326390</wp:posOffset>
            </wp:positionV>
            <wp:extent cx="25984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98420" cy="889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497840</wp:posOffset>
            </wp:positionV>
            <wp:extent cx="394335" cy="394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4335"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NN, Inc.</w:t>
      </w:r>
    </w:p>
    <w:p>
      <w:pPr>
        <w:spacing w:after="0" w:line="4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2329180</wp:posOffset>
            </wp:positionH>
            <wp:positionV relativeFrom="paragraph">
              <wp:posOffset>300990</wp:posOffset>
            </wp:positionV>
            <wp:extent cx="25984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ectPr>
          <w:pgSz w:w="11900" w:h="16838" w:orient="portrait"/>
          <w:cols w:equalWidth="0" w:num="1">
            <w:col w:w="11380"/>
          </w:cols>
          <w:pgMar w:left="240" w:top="229" w:right="2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ind w:left="244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62-1096725</w:t>
      </w:r>
    </w:p>
    <w:p>
      <w:pPr>
        <w:spacing w:after="0" w:line="73" w:lineRule="exact"/>
        <w:rPr>
          <w:sz w:val="24"/>
          <w:szCs w:val="24"/>
          <w:color w:val="auto"/>
        </w:rPr>
      </w:pPr>
    </w:p>
    <w:p>
      <w:pPr>
        <w:sectPr>
          <w:pgSz w:w="11900" w:h="16838" w:orient="portrait"/>
          <w:cols w:equalWidth="0" w:num="2">
            <w:col w:w="7480" w:space="720"/>
            <w:col w:w="3180"/>
          </w:cols>
          <w:pgMar w:left="240" w:top="229" w:right="279" w:bottom="1440" w:gutter="0" w:footer="0" w:header="0"/>
          <w:type w:val="continuous"/>
        </w:sectPr>
      </w:pPr>
    </w:p>
    <w:p>
      <w:pPr>
        <w:ind w:left="1820"/>
        <w:spacing w:after="0"/>
        <w:rPr>
          <w:sz w:val="20"/>
          <w:szCs w:val="20"/>
          <w:color w:val="auto"/>
        </w:rPr>
      </w:pPr>
      <w:r>
        <w:rPr>
          <w:rFonts w:ascii="Times New Roman" w:cs="Times New Roman" w:eastAsia="Times New Roman" w:hAnsi="Times New Roman"/>
          <w:sz w:val="16"/>
          <w:szCs w:val="16"/>
          <w:i w:val="1"/>
          <w:iCs w:val="1"/>
          <w:color w:val="auto"/>
        </w:rPr>
        <w:t>(State or other jurisdiction of</w:t>
      </w:r>
    </w:p>
    <w:p>
      <w:pPr>
        <w:spacing w:after="0" w:line="28"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6"/>
          <w:szCs w:val="16"/>
          <w:i w:val="1"/>
          <w:i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040"/>
        <w:spacing w:after="0"/>
        <w:rPr>
          <w:sz w:val="20"/>
          <w:szCs w:val="20"/>
          <w:color w:val="auto"/>
        </w:rPr>
      </w:pPr>
      <w:r>
        <w:rPr>
          <w:rFonts w:ascii="Times New Roman" w:cs="Times New Roman" w:eastAsia="Times New Roman" w:hAnsi="Times New Roman"/>
          <w:sz w:val="16"/>
          <w:szCs w:val="16"/>
          <w:i w:val="1"/>
          <w:iCs w:val="1"/>
          <w:color w:val="auto"/>
        </w:rPr>
        <w:t>(I.R.S. Employer</w:t>
      </w:r>
    </w:p>
    <w:p>
      <w:pPr>
        <w:spacing w:after="0" w:line="28" w:lineRule="exact"/>
        <w:rPr>
          <w:sz w:val="24"/>
          <w:szCs w:val="24"/>
          <w:color w:val="auto"/>
        </w:rPr>
      </w:pPr>
    </w:p>
    <w:p>
      <w:pPr>
        <w:jc w:val="center"/>
        <w:ind w:right="2040"/>
        <w:spacing w:after="0"/>
        <w:rPr>
          <w:sz w:val="20"/>
          <w:szCs w:val="20"/>
          <w:color w:val="auto"/>
        </w:rPr>
      </w:pPr>
      <w:r>
        <w:rPr>
          <w:rFonts w:ascii="Times New Roman" w:cs="Times New Roman" w:eastAsia="Times New Roman" w:hAnsi="Times New Roman"/>
          <w:sz w:val="16"/>
          <w:szCs w:val="16"/>
          <w:i w:val="1"/>
          <w:iCs w:val="1"/>
          <w:color w:val="auto"/>
        </w:rPr>
        <w:t>Identification Number)</w:t>
      </w:r>
    </w:p>
    <w:p>
      <w:pPr>
        <w:spacing w:after="0" w:line="144" w:lineRule="exact"/>
        <w:rPr>
          <w:sz w:val="24"/>
          <w:szCs w:val="24"/>
          <w:color w:val="auto"/>
        </w:rPr>
      </w:pPr>
    </w:p>
    <w:p>
      <w:pPr>
        <w:sectPr>
          <w:pgSz w:w="11900" w:h="16838" w:orient="portrait"/>
          <w:cols w:equalWidth="0" w:num="2">
            <w:col w:w="7120" w:space="720"/>
            <w:col w:w="3540"/>
          </w:cols>
          <w:pgMar w:left="240" w:top="229" w:right="27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6210 Ardrey Kell Road</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Charlotte, North Carolina 28277</w:t>
      </w:r>
    </w:p>
    <w:p>
      <w:pPr>
        <w:spacing w:after="0" w:line="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 including zip code)</w:t>
      </w:r>
    </w:p>
    <w:p>
      <w:pPr>
        <w:spacing w:after="0" w:line="3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(980) 264-4300</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(Registrant’s telephone number, including area code)</w:t>
      </w:r>
    </w:p>
    <w:p>
      <w:pPr>
        <w:spacing w:after="0" w:line="19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ectPr>
          <w:pgSz w:w="11900" w:h="16838" w:orient="portrait"/>
          <w:cols w:equalWidth="0" w:num="1">
            <w:col w:w="11380"/>
          </w:cols>
          <w:pgMar w:left="240" w:top="229" w:right="279" w:bottom="1440" w:gutter="0" w:footer="0" w:header="0"/>
          <w:type w:val="continuous"/>
        </w:sectPr>
      </w:pPr>
    </w:p>
    <w:p>
      <w:pPr>
        <w:spacing w:after="0" w:line="109"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4"/>
          <w:szCs w:val="14"/>
          <w:i w:val="1"/>
          <w:iCs w:val="1"/>
          <w:color w:val="auto"/>
        </w:rPr>
        <w:t>Title of each class</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Trading symbol</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Name of each exchange on which registered</w:t>
      </w:r>
    </w:p>
    <w:p>
      <w:pPr>
        <w:spacing w:after="0" w:line="109" w:lineRule="exact"/>
        <w:rPr>
          <w:sz w:val="24"/>
          <w:szCs w:val="24"/>
          <w:color w:val="auto"/>
        </w:rPr>
      </w:pPr>
    </w:p>
    <w:p>
      <w:pPr>
        <w:sectPr>
          <w:pgSz w:w="11900" w:h="16838" w:orient="portrait"/>
          <w:cols w:equalWidth="0" w:num="3">
            <w:col w:w="4560" w:space="720"/>
            <w:col w:w="2220" w:space="720"/>
            <w:col w:w="3160"/>
          </w:cols>
          <w:pgMar w:left="240" w:top="229" w:right="27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4"/>
          <w:szCs w:val="14"/>
          <w:b w:val="1"/>
          <w:bCs w:val="1"/>
          <w:color w:val="auto"/>
        </w:rPr>
        <w:t>Common Stock, par value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NNBR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p>
      <w:pPr>
        <w:spacing w:after="0" w:line="71" w:lineRule="exact"/>
        <w:rPr>
          <w:sz w:val="24"/>
          <w:szCs w:val="24"/>
          <w:color w:val="auto"/>
        </w:rPr>
      </w:pPr>
    </w:p>
    <w:p>
      <w:pPr>
        <w:sectPr>
          <w:pgSz w:w="11900" w:h="16838" w:orient="portrait"/>
          <w:cols w:equalWidth="0" w:num="3">
            <w:col w:w="4800" w:space="720"/>
            <w:col w:w="2240" w:space="720"/>
            <w:col w:w="2900"/>
          </w:cols>
          <w:pgMar w:left="240" w:top="229" w:right="279" w:bottom="1440" w:gutter="0" w:footer="0" w:header="0"/>
          <w:type w:val="continuous"/>
        </w:sectPr>
      </w:pPr>
    </w:p>
    <w:p>
      <w:pPr>
        <w:ind w:right="6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5" w:lineRule="exact"/>
        <w:rPr>
          <w:sz w:val="24"/>
          <w:szCs w:val="24"/>
          <w:color w:val="auto"/>
        </w:rPr>
      </w:pPr>
    </w:p>
    <w:p>
      <w:pPr>
        <w:ind w:right="22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98" w:lineRule="exact"/>
        <w:rPr>
          <w:sz w:val="24"/>
          <w:szCs w:val="24"/>
          <w:color w:val="auto"/>
        </w:rPr>
      </w:pPr>
    </w:p>
    <w:tbl>
      <w:tblPr>
        <w:tblLayout w:type="fixed"/>
        <w:tblInd w:w="40" w:type="dxa"/>
        <w:tblCellMar>
          <w:top w:w="0" w:type="dxa"/>
          <w:left w:w="0" w:type="dxa"/>
          <w:bottom w:w="0" w:type="dxa"/>
          <w:right w:w="0" w:type="dxa"/>
        </w:tblCellMar>
      </w:tblPr>
      <w:tr>
        <w:trPr>
          <w:trHeight w:val="226"/>
        </w:trPr>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54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4960" w:type="dxa"/>
            <w:vAlign w:val="bottom"/>
          </w:tcPr>
          <w:p>
            <w:pPr>
              <w:ind w:left="2820"/>
              <w:spacing w:after="0"/>
              <w:rPr>
                <w:sz w:val="20"/>
                <w:szCs w:val="20"/>
                <w:color w:val="auto"/>
              </w:rPr>
            </w:pPr>
            <w:r>
              <w:rPr>
                <w:rFonts w:ascii="Times New Roman" w:cs="Times New Roman" w:eastAsia="Times New Roman" w:hAnsi="Times New Roman"/>
                <w:sz w:val="14"/>
                <w:szCs w:val="14"/>
                <w:color w:val="auto"/>
              </w:rPr>
              <w:t>Accelerated filer</w:t>
            </w:r>
          </w:p>
        </w:tc>
        <w:tc>
          <w:tcPr>
            <w:tcW w:w="70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51"/>
        </w:trPr>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54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4960" w:type="dxa"/>
            <w:vAlign w:val="bottom"/>
          </w:tcPr>
          <w:p>
            <w:pPr>
              <w:ind w:left="28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70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92"/>
        </w:trPr>
        <w:tc>
          <w:tcPr>
            <w:tcW w:w="18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4960" w:type="dxa"/>
            <w:vAlign w:val="bottom"/>
          </w:tcPr>
          <w:p>
            <w:pPr>
              <w:ind w:left="2820"/>
              <w:spacing w:after="0"/>
              <w:rPr>
                <w:sz w:val="20"/>
                <w:szCs w:val="20"/>
                <w:color w:val="auto"/>
              </w:rPr>
            </w:pPr>
            <w:r>
              <w:rPr>
                <w:rFonts w:ascii="Times New Roman" w:cs="Times New Roman" w:eastAsia="Times New Roman" w:hAnsi="Times New Roman"/>
                <w:sz w:val="14"/>
                <w:szCs w:val="14"/>
                <w:color w:val="auto"/>
              </w:rPr>
              <w:t>Emerging growth company</w:t>
            </w:r>
          </w:p>
        </w:tc>
        <w:tc>
          <w:tcPr>
            <w:tcW w:w="70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41" w:lineRule="exact"/>
        <w:rPr>
          <w:sz w:val="24"/>
          <w:szCs w:val="24"/>
          <w:color w:val="auto"/>
        </w:rPr>
      </w:pPr>
    </w:p>
    <w:p>
      <w:pPr>
        <w:ind w:right="12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3760"/>
        <w:spacing w:after="0" w:line="20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August 2, 2019, there were 42,366,961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161290</wp:posOffset>
            </wp:positionV>
            <wp:extent cx="71780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889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178435</wp:posOffset>
            </wp:positionV>
            <wp:extent cx="71780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ectPr>
          <w:pgSz w:w="11900" w:h="16838" w:orient="portrait"/>
          <w:cols w:equalWidth="0" w:num="1">
            <w:col w:w="11380"/>
          </w:cols>
          <w:pgMar w:left="240" w:top="229" w:right="279" w:bottom="1440" w:gutter="0" w:footer="0" w:header="0"/>
          <w:type w:val="continuous"/>
        </w:sectPr>
      </w:pPr>
    </w:p>
    <w:bookmarkStart w:id="1" w:name="page2"/>
    <w:bookmarkEnd w:id="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39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8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7"/>
              </w:rPr>
            </w:pPr>
            <w:hyperlink w:anchor="page3">
              <w:r>
                <w:rPr>
                  <w:rFonts w:ascii="Times New Roman" w:cs="Times New Roman" w:eastAsia="Times New Roman" w:hAnsi="Times New Roman"/>
                  <w:sz w:val="18"/>
                  <w:szCs w:val="18"/>
                  <w:color w:val="0000EE"/>
                  <w:w w:val="97"/>
                </w:rPr>
                <w:t>PART I. FINANCIAL INFORMATION</w:t>
              </w:r>
            </w:hyperlink>
          </w:p>
        </w:tc>
        <w:tc>
          <w:tcPr>
            <w:tcW w:w="5080" w:type="dxa"/>
            <w:vAlign w:val="bottom"/>
            <w:gridSpan w:val="6"/>
          </w:tcPr>
          <w:p>
            <w:pPr>
              <w:spacing w:after="0"/>
              <w:rPr>
                <w:sz w:val="17"/>
                <w:szCs w:val="17"/>
                <w:color w:val="auto"/>
              </w:rPr>
            </w:pPr>
          </w:p>
        </w:tc>
        <w:tc>
          <w:tcPr>
            <w:tcW w:w="3400" w:type="dxa"/>
            <w:vAlign w:val="bottom"/>
          </w:tcPr>
          <w:p>
            <w:pPr>
              <w:jc w:val="right"/>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3</w:t>
              </w:r>
            </w:hyperlink>
          </w:p>
        </w:tc>
      </w:tr>
      <w:tr>
        <w:trPr>
          <w:trHeight w:val="372"/>
        </w:trPr>
        <w:tc>
          <w:tcPr>
            <w:tcW w:w="1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Item 1.</w:t>
            </w:r>
          </w:p>
        </w:tc>
        <w:tc>
          <w:tcPr>
            <w:tcW w:w="150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8"/>
              </w:rPr>
            </w:pPr>
            <w:hyperlink w:anchor="page3">
              <w:r>
                <w:rPr>
                  <w:rFonts w:ascii="Times New Roman" w:cs="Times New Roman" w:eastAsia="Times New Roman" w:hAnsi="Times New Roman"/>
                  <w:sz w:val="18"/>
                  <w:szCs w:val="18"/>
                  <w:color w:val="0000EE"/>
                  <w:w w:val="98"/>
                </w:rPr>
                <w:t>Financial Statements</w:t>
              </w:r>
            </w:hyperlink>
          </w:p>
        </w:tc>
        <w:tc>
          <w:tcPr>
            <w:tcW w:w="4960" w:type="dxa"/>
            <w:vAlign w:val="bottom"/>
            <w:gridSpan w:val="5"/>
          </w:tcPr>
          <w:p>
            <w:pPr>
              <w:spacing w:after="0"/>
              <w:rPr>
                <w:sz w:val="24"/>
                <w:szCs w:val="24"/>
                <w:color w:val="auto"/>
              </w:rPr>
            </w:pPr>
          </w:p>
        </w:tc>
        <w:tc>
          <w:tcPr>
            <w:tcW w:w="3400" w:type="dxa"/>
            <w:vAlign w:val="bottom"/>
          </w:tcPr>
          <w:p>
            <w:pPr>
              <w:jc w:val="right"/>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3</w:t>
              </w:r>
            </w:hyperlink>
          </w:p>
        </w:tc>
      </w:tr>
      <w:tr>
        <w:trPr>
          <w:trHeight w:val="372"/>
        </w:trPr>
        <w:tc>
          <w:tcPr>
            <w:tcW w:w="1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23">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3400" w:type="dxa"/>
            <w:vAlign w:val="bottom"/>
          </w:tcPr>
          <w:p>
            <w:pPr>
              <w:jc w:val="right"/>
              <w:spacing w:after="0"/>
              <w:rPr>
                <w:rFonts w:ascii="Times New Roman" w:cs="Times New Roman" w:eastAsia="Times New Roman" w:hAnsi="Times New Roman"/>
                <w:sz w:val="18"/>
                <w:szCs w:val="18"/>
                <w:color w:val="auto"/>
              </w:rPr>
            </w:pPr>
            <w:hyperlink w:anchor="page23">
              <w:r>
                <w:rPr>
                  <w:rFonts w:ascii="Times New Roman" w:cs="Times New Roman" w:eastAsia="Times New Roman" w:hAnsi="Times New Roman"/>
                  <w:sz w:val="18"/>
                  <w:szCs w:val="18"/>
                  <w:color w:val="auto"/>
                </w:rPr>
                <w:t>23</w:t>
              </w:r>
            </w:hyperlink>
          </w:p>
        </w:tc>
      </w:tr>
      <w:tr>
        <w:trPr>
          <w:trHeight w:val="372"/>
        </w:trPr>
        <w:tc>
          <w:tcPr>
            <w:tcW w:w="1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33">
              <w:r>
                <w:rPr>
                  <w:rFonts w:ascii="Times New Roman" w:cs="Times New Roman" w:eastAsia="Times New Roman" w:hAnsi="Times New Roman"/>
                  <w:sz w:val="18"/>
                  <w:szCs w:val="18"/>
                  <w:color w:val="0000EE"/>
                  <w:w w:val="99"/>
                </w:rPr>
                <w:t>Quantitative and Qualitative Disclosures About Market Risk</w:t>
              </w:r>
            </w:hyperlink>
          </w:p>
        </w:tc>
        <w:tc>
          <w:tcPr>
            <w:tcW w:w="2100" w:type="dxa"/>
            <w:vAlign w:val="bottom"/>
          </w:tcPr>
          <w:p>
            <w:pPr>
              <w:spacing w:after="0"/>
              <w:rPr>
                <w:sz w:val="24"/>
                <w:szCs w:val="24"/>
                <w:color w:val="auto"/>
              </w:rPr>
            </w:pPr>
          </w:p>
        </w:tc>
        <w:tc>
          <w:tcPr>
            <w:tcW w:w="3400" w:type="dxa"/>
            <w:vAlign w:val="bottom"/>
          </w:tcPr>
          <w:p>
            <w:pPr>
              <w:jc w:val="right"/>
              <w:spacing w:after="0"/>
              <w:rPr>
                <w:rFonts w:ascii="Times New Roman" w:cs="Times New Roman" w:eastAsia="Times New Roman" w:hAnsi="Times New Roman"/>
                <w:sz w:val="18"/>
                <w:szCs w:val="18"/>
                <w:color w:val="auto"/>
              </w:rPr>
            </w:pPr>
            <w:hyperlink w:anchor="page33">
              <w:r>
                <w:rPr>
                  <w:rFonts w:ascii="Times New Roman" w:cs="Times New Roman" w:eastAsia="Times New Roman" w:hAnsi="Times New Roman"/>
                  <w:sz w:val="18"/>
                  <w:szCs w:val="18"/>
                  <w:color w:val="auto"/>
                </w:rPr>
                <w:t>33</w:t>
              </w:r>
            </w:hyperlink>
          </w:p>
        </w:tc>
      </w:tr>
      <w:tr>
        <w:trPr>
          <w:trHeight w:val="372"/>
        </w:trPr>
        <w:tc>
          <w:tcPr>
            <w:tcW w:w="1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Item 4.</w:t>
            </w:r>
          </w:p>
        </w:tc>
        <w:tc>
          <w:tcPr>
            <w:tcW w:w="6460" w:type="dxa"/>
            <w:vAlign w:val="bottom"/>
            <w:gridSpan w:val="12"/>
          </w:tcPr>
          <w:p>
            <w:pPr>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Controls and Procedures</w:t>
              </w:r>
            </w:hyperlink>
          </w:p>
        </w:tc>
        <w:tc>
          <w:tcPr>
            <w:tcW w:w="3400" w:type="dxa"/>
            <w:vAlign w:val="bottom"/>
          </w:tcPr>
          <w:p>
            <w:pPr>
              <w:jc w:val="right"/>
              <w:spacing w:after="0"/>
              <w:rPr>
                <w:rFonts w:ascii="Times New Roman" w:cs="Times New Roman" w:eastAsia="Times New Roman" w:hAnsi="Times New Roman"/>
                <w:sz w:val="18"/>
                <w:szCs w:val="18"/>
                <w:color w:val="auto"/>
              </w:rPr>
            </w:pPr>
            <w:hyperlink w:anchor="page33">
              <w:r>
                <w:rPr>
                  <w:rFonts w:ascii="Times New Roman" w:cs="Times New Roman" w:eastAsia="Times New Roman" w:hAnsi="Times New Roman"/>
                  <w:sz w:val="18"/>
                  <w:szCs w:val="18"/>
                  <w:color w:val="auto"/>
                </w:rPr>
                <w:t>33</w:t>
              </w:r>
            </w:hyperlink>
          </w:p>
        </w:tc>
      </w:tr>
      <w:tr>
        <w:trPr>
          <w:trHeight w:val="20"/>
        </w:trPr>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372"/>
        </w:trPr>
        <w:tc>
          <w:tcPr>
            <w:tcW w:w="7960" w:type="dxa"/>
            <w:vAlign w:val="bottom"/>
            <w:gridSpan w:val="14"/>
          </w:tcPr>
          <w:p>
            <w:pPr>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PART II. OTHER INFORMATION</w:t>
              </w:r>
            </w:hyperlink>
          </w:p>
        </w:tc>
        <w:tc>
          <w:tcPr>
            <w:tcW w:w="3400" w:type="dxa"/>
            <w:vAlign w:val="bottom"/>
          </w:tcPr>
          <w:p>
            <w:pPr>
              <w:jc w:val="right"/>
              <w:spacing w:after="0"/>
              <w:rPr>
                <w:rFonts w:ascii="Times New Roman" w:cs="Times New Roman" w:eastAsia="Times New Roman" w:hAnsi="Times New Roman"/>
                <w:sz w:val="18"/>
                <w:szCs w:val="18"/>
                <w:color w:val="auto"/>
              </w:rPr>
            </w:pPr>
            <w:hyperlink w:anchor="page35">
              <w:r>
                <w:rPr>
                  <w:rFonts w:ascii="Times New Roman" w:cs="Times New Roman" w:eastAsia="Times New Roman" w:hAnsi="Times New Roman"/>
                  <w:sz w:val="18"/>
                  <w:szCs w:val="18"/>
                  <w:color w:val="auto"/>
                </w:rPr>
                <w:t>35</w:t>
              </w:r>
            </w:hyperlink>
          </w:p>
        </w:tc>
      </w:tr>
      <w:tr>
        <w:trPr>
          <w:trHeight w:val="20"/>
        </w:trPr>
        <w:tc>
          <w:tcPr>
            <w:tcW w:w="1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372"/>
        </w:trPr>
        <w:tc>
          <w:tcPr>
            <w:tcW w:w="1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Item 1.</w:t>
            </w:r>
          </w:p>
        </w:tc>
        <w:tc>
          <w:tcPr>
            <w:tcW w:w="6460" w:type="dxa"/>
            <w:vAlign w:val="bottom"/>
            <w:gridSpan w:val="12"/>
          </w:tcPr>
          <w:p>
            <w:pPr>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Legal Proceedings</w:t>
              </w:r>
            </w:hyperlink>
          </w:p>
        </w:tc>
        <w:tc>
          <w:tcPr>
            <w:tcW w:w="3400" w:type="dxa"/>
            <w:vAlign w:val="bottom"/>
          </w:tcPr>
          <w:p>
            <w:pPr>
              <w:jc w:val="right"/>
              <w:spacing w:after="0"/>
              <w:rPr>
                <w:rFonts w:ascii="Times New Roman" w:cs="Times New Roman" w:eastAsia="Times New Roman" w:hAnsi="Times New Roman"/>
                <w:sz w:val="18"/>
                <w:szCs w:val="18"/>
                <w:color w:val="auto"/>
              </w:rPr>
            </w:pPr>
            <w:hyperlink w:anchor="page35">
              <w:r>
                <w:rPr>
                  <w:rFonts w:ascii="Times New Roman" w:cs="Times New Roman" w:eastAsia="Times New Roman" w:hAnsi="Times New Roman"/>
                  <w:sz w:val="18"/>
                  <w:szCs w:val="18"/>
                  <w:color w:val="auto"/>
                </w:rPr>
                <w:t>35</w:t>
              </w:r>
            </w:hyperlink>
          </w:p>
        </w:tc>
      </w:tr>
      <w:tr>
        <w:trPr>
          <w:trHeight w:val="372"/>
        </w:trPr>
        <w:tc>
          <w:tcPr>
            <w:tcW w:w="1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7"/>
              </w:rPr>
            </w:pPr>
            <w:hyperlink w:anchor="page35">
              <w:r>
                <w:rPr>
                  <w:rFonts w:ascii="Times New Roman" w:cs="Times New Roman" w:eastAsia="Times New Roman" w:hAnsi="Times New Roman"/>
                  <w:sz w:val="18"/>
                  <w:szCs w:val="18"/>
                  <w:color w:val="0000EE"/>
                  <w:w w:val="97"/>
                </w:rPr>
                <w:t>Risk Factors</w:t>
              </w:r>
            </w:hyperlink>
          </w:p>
        </w:tc>
        <w:tc>
          <w:tcPr>
            <w:tcW w:w="420" w:type="dxa"/>
            <w:vAlign w:val="bottom"/>
            <w:tcBorders>
              <w:top w:val="single" w:sz="8" w:color="0000EE"/>
            </w:tcBorders>
            <w:gridSpan w:val="3"/>
          </w:tcPr>
          <w:p>
            <w:pPr>
              <w:spacing w:after="0"/>
              <w:rPr>
                <w:sz w:val="24"/>
                <w:szCs w:val="24"/>
                <w:color w:val="auto"/>
              </w:rPr>
            </w:pPr>
          </w:p>
        </w:tc>
        <w:tc>
          <w:tcPr>
            <w:tcW w:w="5140" w:type="dxa"/>
            <w:vAlign w:val="bottom"/>
            <w:gridSpan w:val="7"/>
          </w:tcPr>
          <w:p>
            <w:pPr>
              <w:spacing w:after="0"/>
              <w:rPr>
                <w:sz w:val="24"/>
                <w:szCs w:val="24"/>
                <w:color w:val="auto"/>
              </w:rPr>
            </w:pPr>
          </w:p>
        </w:tc>
        <w:tc>
          <w:tcPr>
            <w:tcW w:w="3400" w:type="dxa"/>
            <w:vAlign w:val="bottom"/>
          </w:tcPr>
          <w:p>
            <w:pPr>
              <w:jc w:val="right"/>
              <w:spacing w:after="0"/>
              <w:rPr>
                <w:rFonts w:ascii="Times New Roman" w:cs="Times New Roman" w:eastAsia="Times New Roman" w:hAnsi="Times New Roman"/>
                <w:sz w:val="18"/>
                <w:szCs w:val="18"/>
                <w:color w:val="auto"/>
              </w:rPr>
            </w:pPr>
            <w:hyperlink w:anchor="page35">
              <w:r>
                <w:rPr>
                  <w:rFonts w:ascii="Times New Roman" w:cs="Times New Roman" w:eastAsia="Times New Roman" w:hAnsi="Times New Roman"/>
                  <w:sz w:val="18"/>
                  <w:szCs w:val="18"/>
                  <w:color w:val="auto"/>
                </w:rPr>
                <w:t>35</w:t>
              </w:r>
            </w:hyperlink>
          </w:p>
        </w:tc>
      </w:tr>
      <w:tr>
        <w:trPr>
          <w:trHeight w:val="250"/>
        </w:trPr>
        <w:tc>
          <w:tcPr>
            <w:tcW w:w="1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gridSpan w:val="12"/>
          </w:tcPr>
          <w:p>
            <w:pPr>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Unregistered Sales of Equity Securities and Use of Proceeds</w:t>
              </w:r>
            </w:hyperlink>
          </w:p>
        </w:tc>
        <w:tc>
          <w:tcPr>
            <w:tcW w:w="3400" w:type="dxa"/>
            <w:vAlign w:val="bottom"/>
          </w:tcPr>
          <w:p>
            <w:pPr>
              <w:jc w:val="right"/>
              <w:spacing w:after="0"/>
              <w:rPr>
                <w:rFonts w:ascii="Times New Roman" w:cs="Times New Roman" w:eastAsia="Times New Roman" w:hAnsi="Times New Roman"/>
                <w:sz w:val="18"/>
                <w:szCs w:val="18"/>
                <w:color w:val="auto"/>
              </w:rPr>
            </w:pPr>
            <w:hyperlink w:anchor="page35">
              <w:r>
                <w:rPr>
                  <w:rFonts w:ascii="Times New Roman" w:cs="Times New Roman" w:eastAsia="Times New Roman" w:hAnsi="Times New Roman"/>
                  <w:sz w:val="18"/>
                  <w:szCs w:val="18"/>
                  <w:color w:val="auto"/>
                </w:rPr>
                <w:t>35</w:t>
              </w:r>
            </w:hyperlink>
          </w:p>
        </w:tc>
      </w:tr>
      <w:tr>
        <w:trPr>
          <w:trHeight w:val="250"/>
        </w:trPr>
        <w:tc>
          <w:tcPr>
            <w:tcW w:w="1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Item 3.</w:t>
            </w:r>
          </w:p>
        </w:tc>
        <w:tc>
          <w:tcPr>
            <w:tcW w:w="2280" w:type="dxa"/>
            <w:vAlign w:val="bottom"/>
            <w:tcBorders>
              <w:top w:val="single" w:sz="8" w:color="0000EE"/>
              <w:bottom w:val="single" w:sz="8" w:color="0000EE"/>
            </w:tcBorders>
            <w:gridSpan w:val="9"/>
          </w:tcPr>
          <w:p>
            <w:pPr>
              <w:spacing w:after="0"/>
              <w:rPr>
                <w:rFonts w:ascii="Times New Roman" w:cs="Times New Roman" w:eastAsia="Times New Roman" w:hAnsi="Times New Roman"/>
                <w:sz w:val="18"/>
                <w:szCs w:val="18"/>
                <w:color w:val="0000EE"/>
                <w:w w:val="98"/>
              </w:rPr>
            </w:pPr>
            <w:hyperlink w:anchor="page35">
              <w:r>
                <w:rPr>
                  <w:rFonts w:ascii="Times New Roman" w:cs="Times New Roman" w:eastAsia="Times New Roman" w:hAnsi="Times New Roman"/>
                  <w:sz w:val="18"/>
                  <w:szCs w:val="18"/>
                  <w:color w:val="0000EE"/>
                  <w:w w:val="98"/>
                </w:rPr>
                <w:t>Defaults upon Senior Securities</w:t>
              </w:r>
            </w:hyperlink>
          </w:p>
        </w:tc>
        <w:tc>
          <w:tcPr>
            <w:tcW w:w="2060" w:type="dxa"/>
            <w:vAlign w:val="bottom"/>
            <w:tcBorders>
              <w:top w:val="single" w:sz="8" w:color="0000EE"/>
            </w:tcBorders>
          </w:tcPr>
          <w:p>
            <w:pPr>
              <w:spacing w:after="0"/>
              <w:rPr>
                <w:sz w:val="21"/>
                <w:szCs w:val="21"/>
                <w:color w:val="auto"/>
              </w:rPr>
            </w:pPr>
          </w:p>
        </w:tc>
        <w:tc>
          <w:tcPr>
            <w:tcW w:w="2120" w:type="dxa"/>
            <w:vAlign w:val="bottom"/>
            <w:gridSpan w:val="2"/>
          </w:tcPr>
          <w:p>
            <w:pPr>
              <w:spacing w:after="0"/>
              <w:rPr>
                <w:sz w:val="21"/>
                <w:szCs w:val="21"/>
                <w:color w:val="auto"/>
              </w:rPr>
            </w:pPr>
          </w:p>
        </w:tc>
        <w:tc>
          <w:tcPr>
            <w:tcW w:w="3400" w:type="dxa"/>
            <w:vAlign w:val="bottom"/>
          </w:tcPr>
          <w:p>
            <w:pPr>
              <w:jc w:val="right"/>
              <w:spacing w:after="0"/>
              <w:rPr>
                <w:rFonts w:ascii="Times New Roman" w:cs="Times New Roman" w:eastAsia="Times New Roman" w:hAnsi="Times New Roman"/>
                <w:sz w:val="18"/>
                <w:szCs w:val="18"/>
                <w:color w:val="auto"/>
              </w:rPr>
            </w:pPr>
            <w:hyperlink w:anchor="page35">
              <w:r>
                <w:rPr>
                  <w:rFonts w:ascii="Times New Roman" w:cs="Times New Roman" w:eastAsia="Times New Roman" w:hAnsi="Times New Roman"/>
                  <w:sz w:val="18"/>
                  <w:szCs w:val="18"/>
                  <w:color w:val="auto"/>
                </w:rPr>
                <w:t>35</w:t>
              </w:r>
            </w:hyperlink>
          </w:p>
        </w:tc>
      </w:tr>
      <w:tr>
        <w:trPr>
          <w:trHeight w:val="250"/>
        </w:trPr>
        <w:tc>
          <w:tcPr>
            <w:tcW w:w="1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Item 4.</w:t>
            </w:r>
          </w:p>
        </w:tc>
        <w:tc>
          <w:tcPr>
            <w:tcW w:w="6460" w:type="dxa"/>
            <w:vAlign w:val="bottom"/>
            <w:gridSpan w:val="12"/>
          </w:tcPr>
          <w:p>
            <w:pPr>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Mine Safety Disclosures</w:t>
              </w:r>
            </w:hyperlink>
          </w:p>
        </w:tc>
        <w:tc>
          <w:tcPr>
            <w:tcW w:w="3400" w:type="dxa"/>
            <w:vAlign w:val="bottom"/>
          </w:tcPr>
          <w:p>
            <w:pPr>
              <w:jc w:val="right"/>
              <w:spacing w:after="0"/>
              <w:rPr>
                <w:rFonts w:ascii="Times New Roman" w:cs="Times New Roman" w:eastAsia="Times New Roman" w:hAnsi="Times New Roman"/>
                <w:sz w:val="18"/>
                <w:szCs w:val="18"/>
                <w:color w:val="auto"/>
              </w:rPr>
            </w:pPr>
            <w:hyperlink w:anchor="page35">
              <w:r>
                <w:rPr>
                  <w:rFonts w:ascii="Times New Roman" w:cs="Times New Roman" w:eastAsia="Times New Roman" w:hAnsi="Times New Roman"/>
                  <w:sz w:val="18"/>
                  <w:szCs w:val="18"/>
                  <w:color w:val="auto"/>
                </w:rPr>
                <w:t>35</w:t>
              </w:r>
            </w:hyperlink>
          </w:p>
        </w:tc>
      </w:tr>
      <w:tr>
        <w:trPr>
          <w:trHeight w:val="250"/>
        </w:trPr>
        <w:tc>
          <w:tcPr>
            <w:tcW w:w="1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EE"/>
            </w:tcBorders>
            <w:gridSpan w:val="8"/>
          </w:tcPr>
          <w:p>
            <w:pPr>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Other Information</w:t>
              </w:r>
            </w:hyperlink>
          </w:p>
        </w:tc>
        <w:tc>
          <w:tcPr>
            <w:tcW w:w="4700" w:type="dxa"/>
            <w:vAlign w:val="bottom"/>
            <w:gridSpan w:val="4"/>
          </w:tcPr>
          <w:p>
            <w:pPr>
              <w:spacing w:after="0"/>
              <w:rPr>
                <w:sz w:val="21"/>
                <w:szCs w:val="21"/>
                <w:color w:val="auto"/>
              </w:rPr>
            </w:pPr>
          </w:p>
        </w:tc>
        <w:tc>
          <w:tcPr>
            <w:tcW w:w="3400" w:type="dxa"/>
            <w:vAlign w:val="bottom"/>
          </w:tcPr>
          <w:p>
            <w:pPr>
              <w:jc w:val="right"/>
              <w:spacing w:after="0"/>
              <w:rPr>
                <w:rFonts w:ascii="Times New Roman" w:cs="Times New Roman" w:eastAsia="Times New Roman" w:hAnsi="Times New Roman"/>
                <w:sz w:val="18"/>
                <w:szCs w:val="18"/>
                <w:color w:val="auto"/>
              </w:rPr>
            </w:pPr>
            <w:hyperlink w:anchor="page35">
              <w:r>
                <w:rPr>
                  <w:rFonts w:ascii="Times New Roman" w:cs="Times New Roman" w:eastAsia="Times New Roman" w:hAnsi="Times New Roman"/>
                  <w:sz w:val="18"/>
                  <w:szCs w:val="18"/>
                  <w:color w:val="auto"/>
                </w:rPr>
                <w:t>35</w:t>
              </w:r>
            </w:hyperlink>
          </w:p>
        </w:tc>
      </w:tr>
      <w:tr>
        <w:trPr>
          <w:trHeight w:val="250"/>
        </w:trPr>
        <w:tc>
          <w:tcPr>
            <w:tcW w:w="1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EE"/>
            </w:tcBorders>
            <w:gridSpan w:val="4"/>
          </w:tcPr>
          <w:p>
            <w:pPr>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Exhibits</w:t>
              </w:r>
            </w:hyperlink>
          </w:p>
        </w:tc>
        <w:tc>
          <w:tcPr>
            <w:tcW w:w="5160" w:type="dxa"/>
            <w:vAlign w:val="bottom"/>
            <w:gridSpan w:val="8"/>
          </w:tcPr>
          <w:p>
            <w:pPr>
              <w:spacing w:after="0"/>
              <w:rPr>
                <w:sz w:val="21"/>
                <w:szCs w:val="21"/>
                <w:color w:val="auto"/>
              </w:rPr>
            </w:pPr>
          </w:p>
        </w:tc>
        <w:tc>
          <w:tcPr>
            <w:tcW w:w="3400" w:type="dxa"/>
            <w:vAlign w:val="bottom"/>
          </w:tcPr>
          <w:p>
            <w:pPr>
              <w:jc w:val="right"/>
              <w:spacing w:after="0"/>
              <w:rPr>
                <w:rFonts w:ascii="Times New Roman" w:cs="Times New Roman" w:eastAsia="Times New Roman" w:hAnsi="Times New Roman"/>
                <w:sz w:val="18"/>
                <w:szCs w:val="18"/>
                <w:color w:val="auto"/>
              </w:rPr>
            </w:pPr>
            <w:hyperlink w:anchor="page36">
              <w:r>
                <w:rPr>
                  <w:rFonts w:ascii="Times New Roman" w:cs="Times New Roman" w:eastAsia="Times New Roman" w:hAnsi="Times New Roman"/>
                  <w:sz w:val="18"/>
                  <w:szCs w:val="18"/>
                  <w:color w:val="auto"/>
                </w:rPr>
                <w:t>36</w:t>
              </w:r>
            </w:hyperlink>
          </w:p>
        </w:tc>
      </w:tr>
      <w:tr>
        <w:trPr>
          <w:trHeight w:val="250"/>
        </w:trPr>
        <w:tc>
          <w:tcPr>
            <w:tcW w:w="1100" w:type="dxa"/>
            <w:vAlign w:val="bottom"/>
            <w:tcBorders>
              <w:bottom w:val="single" w:sz="8" w:color="0000EE"/>
            </w:tcBorders>
          </w:tcPr>
          <w:p>
            <w:pPr>
              <w:spacing w:after="0"/>
              <w:rPr>
                <w:rFonts w:ascii="Times New Roman" w:cs="Times New Roman" w:eastAsia="Times New Roman" w:hAnsi="Times New Roman"/>
                <w:sz w:val="18"/>
                <w:szCs w:val="18"/>
                <w:color w:val="0000EE"/>
                <w:w w:val="96"/>
              </w:rPr>
            </w:pPr>
            <w:hyperlink w:anchor="page37">
              <w:r>
                <w:rPr>
                  <w:rFonts w:ascii="Times New Roman" w:cs="Times New Roman" w:eastAsia="Times New Roman" w:hAnsi="Times New Roman"/>
                  <w:sz w:val="18"/>
                  <w:szCs w:val="18"/>
                  <w:color w:val="0000EE"/>
                  <w:w w:val="96"/>
                </w:rPr>
                <w:t>SIGNATURES</w:t>
              </w:r>
            </w:hyperlink>
          </w:p>
        </w:tc>
        <w:tc>
          <w:tcPr>
            <w:tcW w:w="400" w:type="dxa"/>
            <w:vAlign w:val="bottom"/>
          </w:tcPr>
          <w:p>
            <w:pPr>
              <w:spacing w:after="0"/>
              <w:rPr>
                <w:sz w:val="21"/>
                <w:szCs w:val="21"/>
                <w:color w:val="auto"/>
              </w:rPr>
            </w:pPr>
          </w:p>
        </w:tc>
        <w:tc>
          <w:tcPr>
            <w:tcW w:w="600" w:type="dxa"/>
            <w:vAlign w:val="bottom"/>
            <w:tcBorders>
              <w:top w:val="single" w:sz="8" w:color="0000EE"/>
            </w:tcBorders>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3400" w:type="dxa"/>
            <w:vAlign w:val="bottom"/>
          </w:tcPr>
          <w:p>
            <w:pPr>
              <w:jc w:val="right"/>
              <w:spacing w:after="0"/>
              <w:rPr>
                <w:rFonts w:ascii="Times New Roman" w:cs="Times New Roman" w:eastAsia="Times New Roman" w:hAnsi="Times New Roman"/>
                <w:sz w:val="18"/>
                <w:szCs w:val="18"/>
                <w:color w:val="auto"/>
              </w:rPr>
            </w:pPr>
            <w:hyperlink w:anchor="page37">
              <w:r>
                <w:rPr>
                  <w:rFonts w:ascii="Times New Roman" w:cs="Times New Roman" w:eastAsia="Times New Roman" w:hAnsi="Times New Roman"/>
                  <w:sz w:val="18"/>
                  <w:szCs w:val="18"/>
                  <w:color w:val="auto"/>
                </w:rPr>
                <w:t>37</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121" w:right="25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3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in thousands, except per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1940" w:type="dxa"/>
            <w:vAlign w:val="bottom"/>
            <w:gridSpan w:val="4"/>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5"/>
        </w:trPr>
        <w:tc>
          <w:tcPr>
            <w:tcW w:w="7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0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9"/>
        </w:trPr>
        <w:tc>
          <w:tcPr>
            <w:tcW w:w="7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221,666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196,349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434,922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365,497</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sales (exclusive of depreciation and amortization shown separately below)</w:t>
            </w:r>
          </w:p>
        </w:tc>
        <w:tc>
          <w:tcPr>
            <w:tcW w:w="2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163,513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148,640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324,782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275,084</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26,743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26,641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54,868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48,818</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Acquisition related costs excluded from selling, general and administrative expense</w:t>
            </w: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5,213</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22,924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16,258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46,349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30,539</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Restructuring and integration expense, net</w:t>
            </w: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2,346</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37"/>
        </w:trPr>
        <w:tc>
          <w:tcPr>
            <w:tcW w:w="7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8,098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8,699</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3,401</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13,958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15,988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27,759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27,984</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on extinguishment of debt and write-off of debt issuance costs</w:t>
            </w: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12,938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2,699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12,938</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1,887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786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1,574</w:t>
            </w:r>
          </w:p>
        </w:tc>
        <w:tc>
          <w:tcPr>
            <w:tcW w:w="0" w:type="dxa"/>
            <w:vAlign w:val="bottom"/>
          </w:tcPr>
          <w:p>
            <w:pPr>
              <w:spacing w:after="0"/>
              <w:rPr>
                <w:sz w:val="1"/>
                <w:szCs w:val="1"/>
                <w:color w:val="auto"/>
              </w:rPr>
            </w:pPr>
          </w:p>
        </w:tc>
      </w:tr>
      <w:tr>
        <w:trPr>
          <w:trHeight w:val="237"/>
        </w:trPr>
        <w:tc>
          <w:tcPr>
            <w:tcW w:w="7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before (provision) benefit for income taxes and share of net income from joint venture</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(31,105)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(22,545)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(39,095)</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5,947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7,123</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 of net income (loss) from joint venture</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1,478</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(30,494)</w:t>
            </w:r>
          </w:p>
        </w:tc>
        <w:tc>
          <w:tcPr>
            <w:tcW w:w="0" w:type="dxa"/>
            <w:vAlign w:val="bottom"/>
          </w:tcPr>
          <w:p>
            <w:pPr>
              <w:spacing w:after="0"/>
              <w:rPr>
                <w:sz w:val="1"/>
                <w:szCs w:val="1"/>
                <w:color w:val="auto"/>
              </w:rPr>
            </w:pPr>
          </w:p>
        </w:tc>
      </w:tr>
      <w:tr>
        <w:trPr>
          <w:trHeight w:val="223"/>
        </w:trPr>
        <w:tc>
          <w:tcPr>
            <w:tcW w:w="7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Change in fair value of interest rate swap, net of tax</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Foreign currency translation loss</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(10,316)</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(10,316)</w:t>
            </w:r>
          </w:p>
        </w:tc>
        <w:tc>
          <w:tcPr>
            <w:tcW w:w="0" w:type="dxa"/>
            <w:vAlign w:val="bottom"/>
          </w:tcPr>
          <w:p>
            <w:pPr>
              <w:spacing w:after="0"/>
              <w:rPr>
                <w:sz w:val="1"/>
                <w:szCs w:val="1"/>
                <w:color w:val="auto"/>
              </w:rPr>
            </w:pPr>
          </w:p>
        </w:tc>
      </w:tr>
      <w:tr>
        <w:trPr>
          <w:trHeight w:val="237"/>
        </w:trPr>
        <w:tc>
          <w:tcPr>
            <w:tcW w:w="7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(40,292)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(36,287)</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(40,810)</w:t>
            </w:r>
          </w:p>
        </w:tc>
        <w:tc>
          <w:tcPr>
            <w:tcW w:w="0" w:type="dxa"/>
            <w:vAlign w:val="bottom"/>
          </w:tcPr>
          <w:p>
            <w:pPr>
              <w:spacing w:after="0"/>
              <w:rPr>
                <w:sz w:val="1"/>
                <w:szCs w:val="1"/>
                <w:color w:val="auto"/>
              </w:rPr>
            </w:pPr>
          </w:p>
        </w:tc>
      </w:tr>
      <w:tr>
        <w:trPr>
          <w:trHeight w:val="67"/>
        </w:trPr>
        <w:tc>
          <w:tcPr>
            <w:tcW w:w="70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00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Basic net loss per share</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loss per share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67"/>
        </w:trPr>
        <w:tc>
          <w:tcPr>
            <w:tcW w:w="70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000" w:type="dxa"/>
            <w:vAlign w:val="bottom"/>
            <w:tcBorders>
              <w:bottom w:val="single" w:sz="8" w:color="CCEEFF"/>
            </w:tcBorders>
            <w:shd w:val="clear" w:color="auto" w:fill="CCEEFF"/>
          </w:tcPr>
          <w:p>
            <w:pPr>
              <w:ind w:left="380"/>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42,028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27,696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27,632</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Diluted net loss per share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7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loss per share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vMerge w:val="restart"/>
          </w:tcPr>
          <w:p>
            <w:pPr>
              <w:ind w:left="38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0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42,028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27,696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42,000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27,632</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in thousands</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249"/>
        </w:trPr>
        <w:tc>
          <w:tcPr>
            <w:tcW w:w="8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22,077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17,988</w:t>
            </w:r>
          </w:p>
        </w:tc>
        <w:tc>
          <w:tcPr>
            <w:tcW w:w="0" w:type="dxa"/>
            <w:vAlign w:val="bottom"/>
          </w:tcPr>
          <w:p>
            <w:pPr>
              <w:spacing w:after="0"/>
              <w:rPr>
                <w:sz w:val="1"/>
                <w:szCs w:val="1"/>
                <w:color w:val="auto"/>
              </w:rPr>
            </w:pPr>
          </w:p>
        </w:tc>
      </w:tr>
      <w:tr>
        <w:trPr>
          <w:trHeight w:val="243"/>
        </w:trPr>
        <w:tc>
          <w:tcPr>
            <w:tcW w:w="8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151,289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133,421</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128,526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122,615</w:t>
            </w:r>
          </w:p>
        </w:tc>
        <w:tc>
          <w:tcPr>
            <w:tcW w:w="0" w:type="dxa"/>
            <w:vAlign w:val="bottom"/>
          </w:tcPr>
          <w:p>
            <w:pPr>
              <w:spacing w:after="0"/>
              <w:rPr>
                <w:sz w:val="1"/>
                <w:szCs w:val="1"/>
                <w:color w:val="auto"/>
              </w:rPr>
            </w:pPr>
          </w:p>
        </w:tc>
      </w:tr>
      <w:tr>
        <w:trPr>
          <w:trHeight w:val="243"/>
        </w:trPr>
        <w:tc>
          <w:tcPr>
            <w:tcW w:w="8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tax receivable</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946</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9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16,433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21,901</w:t>
            </w:r>
          </w:p>
        </w:tc>
        <w:tc>
          <w:tcPr>
            <w:tcW w:w="0" w:type="dxa"/>
            <w:vAlign w:val="bottom"/>
          </w:tcPr>
          <w:p>
            <w:pPr>
              <w:spacing w:after="0"/>
              <w:rPr>
                <w:sz w:val="1"/>
                <w:szCs w:val="1"/>
                <w:color w:val="auto"/>
              </w:rPr>
            </w:pPr>
          </w:p>
        </w:tc>
      </w:tr>
      <w:tr>
        <w:trPr>
          <w:trHeight w:val="237"/>
        </w:trPr>
        <w:tc>
          <w:tcPr>
            <w:tcW w:w="89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318,744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296,871</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368,445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361,028</w:t>
            </w:r>
          </w:p>
        </w:tc>
        <w:tc>
          <w:tcPr>
            <w:tcW w:w="0" w:type="dxa"/>
            <w:vAlign w:val="bottom"/>
          </w:tcPr>
          <w:p>
            <w:pPr>
              <w:spacing w:after="0"/>
              <w:rPr>
                <w:sz w:val="1"/>
                <w:szCs w:val="1"/>
                <w:color w:val="auto"/>
              </w:rPr>
            </w:pPr>
          </w:p>
        </w:tc>
      </w:tr>
      <w:tr>
        <w:trPr>
          <w:trHeight w:val="243"/>
        </w:trPr>
        <w:tc>
          <w:tcPr>
            <w:tcW w:w="8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65,300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439,632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439,452</w:t>
            </w:r>
          </w:p>
        </w:tc>
        <w:tc>
          <w:tcPr>
            <w:tcW w:w="0" w:type="dxa"/>
            <w:vAlign w:val="bottom"/>
          </w:tcPr>
          <w:p>
            <w:pPr>
              <w:spacing w:after="0"/>
              <w:rPr>
                <w:sz w:val="1"/>
                <w:szCs w:val="1"/>
                <w:color w:val="auto"/>
              </w:rPr>
            </w:pPr>
          </w:p>
        </w:tc>
      </w:tr>
      <w:tr>
        <w:trPr>
          <w:trHeight w:val="243"/>
        </w:trPr>
        <w:tc>
          <w:tcPr>
            <w:tcW w:w="8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351,797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376,248</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 in joint venture</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20,406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20,364</w:t>
            </w:r>
          </w:p>
        </w:tc>
        <w:tc>
          <w:tcPr>
            <w:tcW w:w="0" w:type="dxa"/>
            <w:vAlign w:val="bottom"/>
          </w:tcPr>
          <w:p>
            <w:pPr>
              <w:spacing w:after="0"/>
              <w:rPr>
                <w:sz w:val="1"/>
                <w:szCs w:val="1"/>
                <w:color w:val="auto"/>
              </w:rPr>
            </w:pPr>
          </w:p>
        </w:tc>
      </w:tr>
      <w:tr>
        <w:trPr>
          <w:trHeight w:val="243"/>
        </w:trPr>
        <w:tc>
          <w:tcPr>
            <w:tcW w:w="8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non-current assets</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7,961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7,607</w:t>
            </w:r>
          </w:p>
        </w:tc>
        <w:tc>
          <w:tcPr>
            <w:tcW w:w="0" w:type="dxa"/>
            <w:vAlign w:val="bottom"/>
          </w:tcPr>
          <w:p>
            <w:pPr>
              <w:spacing w:after="0"/>
              <w:rPr>
                <w:sz w:val="1"/>
                <w:szCs w:val="1"/>
                <w:color w:val="auto"/>
              </w:rPr>
            </w:pPr>
          </w:p>
        </w:tc>
      </w:tr>
      <w:tr>
        <w:trPr>
          <w:trHeight w:val="27"/>
        </w:trPr>
        <w:tc>
          <w:tcPr>
            <w:tcW w:w="89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9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1,572,285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1,501,570</w:t>
            </w:r>
          </w:p>
        </w:tc>
        <w:tc>
          <w:tcPr>
            <w:tcW w:w="0" w:type="dxa"/>
            <w:vAlign w:val="bottom"/>
          </w:tcPr>
          <w:p>
            <w:pPr>
              <w:spacing w:after="0"/>
              <w:rPr>
                <w:sz w:val="1"/>
                <w:szCs w:val="1"/>
                <w:color w:val="auto"/>
              </w:rPr>
            </w:pPr>
          </w:p>
        </w:tc>
      </w:tr>
      <w:tr>
        <w:trPr>
          <w:trHeight w:val="20"/>
        </w:trPr>
        <w:tc>
          <w:tcPr>
            <w:tcW w:w="89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9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63,500</w:t>
            </w:r>
          </w:p>
        </w:tc>
        <w:tc>
          <w:tcPr>
            <w:tcW w:w="100" w:type="dxa"/>
            <w:vAlign w:val="bottom"/>
          </w:tcPr>
          <w:p>
            <w:pPr>
              <w:spacing w:after="0"/>
              <w:rPr>
                <w:sz w:val="21"/>
                <w:szCs w:val="21"/>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65,694</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Accrued salaries, wages and benefits</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29,980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24,636</w:t>
            </w:r>
          </w:p>
        </w:tc>
        <w:tc>
          <w:tcPr>
            <w:tcW w:w="0" w:type="dxa"/>
            <w:vAlign w:val="bottom"/>
          </w:tcPr>
          <w:p>
            <w:pPr>
              <w:spacing w:after="0"/>
              <w:rPr>
                <w:sz w:val="1"/>
                <w:szCs w:val="1"/>
                <w:color w:val="auto"/>
              </w:rPr>
            </w:pPr>
          </w:p>
        </w:tc>
      </w:tr>
      <w:tr>
        <w:trPr>
          <w:trHeight w:val="243"/>
        </w:trPr>
        <w:tc>
          <w:tcPr>
            <w:tcW w:w="8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25,115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31,280</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7,272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23,472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23,420</w:t>
            </w:r>
          </w:p>
        </w:tc>
        <w:tc>
          <w:tcPr>
            <w:tcW w:w="0" w:type="dxa"/>
            <w:vAlign w:val="bottom"/>
          </w:tcPr>
          <w:p>
            <w:pPr>
              <w:spacing w:after="0"/>
              <w:rPr>
                <w:sz w:val="1"/>
                <w:szCs w:val="1"/>
                <w:color w:val="auto"/>
              </w:rPr>
            </w:pPr>
          </w:p>
        </w:tc>
      </w:tr>
      <w:tr>
        <w:trPr>
          <w:trHeight w:val="27"/>
        </w:trPr>
        <w:tc>
          <w:tcPr>
            <w:tcW w:w="89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9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149,339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145,030</w:t>
            </w:r>
          </w:p>
        </w:tc>
        <w:tc>
          <w:tcPr>
            <w:tcW w:w="0" w:type="dxa"/>
            <w:vAlign w:val="bottom"/>
          </w:tcPr>
          <w:p>
            <w:pPr>
              <w:spacing w:after="0"/>
              <w:rPr>
                <w:sz w:val="1"/>
                <w:szCs w:val="1"/>
                <w:color w:val="auto"/>
              </w:rPr>
            </w:pPr>
          </w:p>
        </w:tc>
      </w:tr>
      <w:tr>
        <w:trPr>
          <w:trHeight w:val="243"/>
        </w:trPr>
        <w:tc>
          <w:tcPr>
            <w:tcW w:w="8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83,623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93,482</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Non-current income tax payable</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3,875</w:t>
            </w:r>
          </w:p>
        </w:tc>
        <w:tc>
          <w:tcPr>
            <w:tcW w:w="0" w:type="dxa"/>
            <w:vAlign w:val="bottom"/>
          </w:tcPr>
          <w:p>
            <w:pPr>
              <w:spacing w:after="0"/>
              <w:rPr>
                <w:sz w:val="1"/>
                <w:szCs w:val="1"/>
                <w:color w:val="auto"/>
              </w:rPr>
            </w:pPr>
          </w:p>
        </w:tc>
      </w:tr>
      <w:tr>
        <w:trPr>
          <w:trHeight w:val="243"/>
        </w:trPr>
        <w:tc>
          <w:tcPr>
            <w:tcW w:w="8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850,376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811,471</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64,152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43,263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29,417</w:t>
            </w:r>
          </w:p>
        </w:tc>
        <w:tc>
          <w:tcPr>
            <w:tcW w:w="0" w:type="dxa"/>
            <w:vAlign w:val="bottom"/>
          </w:tcPr>
          <w:p>
            <w:pPr>
              <w:spacing w:after="0"/>
              <w:rPr>
                <w:sz w:val="1"/>
                <w:szCs w:val="1"/>
                <w:color w:val="auto"/>
              </w:rPr>
            </w:pPr>
          </w:p>
        </w:tc>
      </w:tr>
      <w:tr>
        <w:trPr>
          <w:trHeight w:val="27"/>
        </w:trPr>
        <w:tc>
          <w:tcPr>
            <w:tcW w:w="89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9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1,194,424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1,083,275</w:t>
            </w:r>
          </w:p>
        </w:tc>
        <w:tc>
          <w:tcPr>
            <w:tcW w:w="0" w:type="dxa"/>
            <w:vAlign w:val="bottom"/>
          </w:tcPr>
          <w:p>
            <w:pPr>
              <w:spacing w:after="0"/>
              <w:rPr>
                <w:sz w:val="1"/>
                <w:szCs w:val="1"/>
                <w:color w:val="auto"/>
              </w:rPr>
            </w:pPr>
          </w:p>
        </w:tc>
      </w:tr>
      <w:tr>
        <w:trPr>
          <w:trHeight w:val="223"/>
        </w:trPr>
        <w:tc>
          <w:tcPr>
            <w:tcW w:w="8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Common stock - $0.01 par value, authorized 90,000 shares, 42,367 and 42,104 shares issued and outstanding at</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June 30, 2019, and December 31, 2018, respectively</w:t>
            </w:r>
          </w:p>
        </w:tc>
        <w:tc>
          <w:tcPr>
            <w:tcW w:w="14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513,380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511,545</w:t>
            </w:r>
          </w:p>
        </w:tc>
        <w:tc>
          <w:tcPr>
            <w:tcW w:w="0" w:type="dxa"/>
            <w:vAlign w:val="bottom"/>
          </w:tcPr>
          <w:p>
            <w:pPr>
              <w:spacing w:after="0"/>
              <w:rPr>
                <w:sz w:val="1"/>
                <w:szCs w:val="1"/>
                <w:color w:val="auto"/>
              </w:rPr>
            </w:pPr>
          </w:p>
        </w:tc>
      </w:tr>
      <w:tr>
        <w:trPr>
          <w:trHeight w:val="243"/>
        </w:trPr>
        <w:tc>
          <w:tcPr>
            <w:tcW w:w="8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Retained deficit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(62,046)</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9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(42,615)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(31,625)</w:t>
            </w:r>
          </w:p>
        </w:tc>
        <w:tc>
          <w:tcPr>
            <w:tcW w:w="0" w:type="dxa"/>
            <w:vAlign w:val="bottom"/>
          </w:tcPr>
          <w:p>
            <w:pPr>
              <w:spacing w:after="0"/>
              <w:rPr>
                <w:sz w:val="1"/>
                <w:szCs w:val="1"/>
                <w:color w:val="auto"/>
              </w:rPr>
            </w:pPr>
          </w:p>
        </w:tc>
      </w:tr>
      <w:tr>
        <w:trPr>
          <w:trHeight w:val="237"/>
        </w:trPr>
        <w:tc>
          <w:tcPr>
            <w:tcW w:w="8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377,861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418,295</w:t>
            </w:r>
          </w:p>
        </w:tc>
        <w:tc>
          <w:tcPr>
            <w:tcW w:w="0" w:type="dxa"/>
            <w:vAlign w:val="bottom"/>
          </w:tcPr>
          <w:p>
            <w:pPr>
              <w:spacing w:after="0"/>
              <w:rPr>
                <w:sz w:val="1"/>
                <w:szCs w:val="1"/>
                <w:color w:val="auto"/>
              </w:rPr>
            </w:pPr>
          </w:p>
        </w:tc>
      </w:tr>
      <w:tr>
        <w:trPr>
          <w:trHeight w:val="27"/>
        </w:trPr>
        <w:tc>
          <w:tcPr>
            <w:tcW w:w="89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9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1,572,285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1,501,570</w:t>
            </w:r>
          </w:p>
        </w:tc>
        <w:tc>
          <w:tcPr>
            <w:tcW w:w="0" w:type="dxa"/>
            <w:vAlign w:val="bottom"/>
          </w:tcPr>
          <w:p>
            <w:pPr>
              <w:spacing w:after="0"/>
              <w:rPr>
                <w:sz w:val="1"/>
                <w:szCs w:val="1"/>
                <w:color w:val="auto"/>
              </w:rPr>
            </w:pPr>
          </w:p>
        </w:tc>
      </w:tr>
      <w:tr>
        <w:trPr>
          <w:trHeight w:val="20"/>
        </w:trPr>
        <w:tc>
          <w:tcPr>
            <w:tcW w:w="8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June 30, 2019 and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in thousands</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Borders>
              <w:bottom w:val="single" w:sz="8" w:color="auto"/>
            </w:tcBorders>
            <w:gridSpan w:val="5"/>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tcPr>
          <w:p>
            <w:pPr>
              <w:jc w:val="center"/>
              <w:ind w:right="120"/>
              <w:spacing w:after="0" w:line="151" w:lineRule="exact"/>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3"/>
                <w:szCs w:val="13"/>
                <w:color w:val="auto"/>
              </w:rPr>
            </w:pPr>
          </w:p>
        </w:tc>
        <w:tc>
          <w:tcPr>
            <w:tcW w:w="740" w:type="dxa"/>
            <w:vAlign w:val="bottom"/>
            <w:vMerge w:val="restart"/>
          </w:tcPr>
          <w:p>
            <w:pPr>
              <w:jc w:val="center"/>
              <w:ind w:left="304"/>
              <w:spacing w:after="0"/>
              <w:rPr>
                <w:sz w:val="20"/>
                <w:szCs w:val="20"/>
                <w:color w:val="auto"/>
              </w:rPr>
            </w:pPr>
            <w:r>
              <w:rPr>
                <w:rFonts w:ascii="Times New Roman" w:cs="Times New Roman" w:eastAsia="Times New Roman" w:hAnsi="Times New Roman"/>
                <w:sz w:val="14"/>
                <w:szCs w:val="14"/>
                <w:b w:val="1"/>
                <w:bCs w:val="1"/>
                <w:color w:val="auto"/>
              </w:rPr>
              <w:t>Par</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3"/>
          </w:tcPr>
          <w:p>
            <w:pPr>
              <w:jc w:val="center"/>
              <w:ind w:right="280"/>
              <w:spacing w:after="0" w:line="151"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 w:type="dxa"/>
            <w:vAlign w:val="bottom"/>
          </w:tcPr>
          <w:p>
            <w:pPr>
              <w:spacing w:after="0"/>
              <w:rPr>
                <w:sz w:val="13"/>
                <w:szCs w:val="13"/>
                <w:color w:val="auto"/>
              </w:rPr>
            </w:pPr>
          </w:p>
        </w:tc>
        <w:tc>
          <w:tcPr>
            <w:tcW w:w="134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paid in</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20" w:type="dxa"/>
            <w:vAlign w:val="bottom"/>
          </w:tcPr>
          <w:p>
            <w:pPr>
              <w:spacing w:after="0"/>
              <w:rPr>
                <w:sz w:val="16"/>
                <w:szCs w:val="16"/>
                <w:color w:val="auto"/>
              </w:rPr>
            </w:pPr>
          </w:p>
        </w:tc>
        <w:tc>
          <w:tcPr>
            <w:tcW w:w="740" w:type="dxa"/>
            <w:vAlign w:val="bottom"/>
          </w:tcPr>
          <w:p>
            <w:pPr>
              <w:jc w:val="center"/>
              <w:ind w:left="30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6"/>
                <w:szCs w:val="16"/>
                <w:color w:val="auto"/>
              </w:rPr>
            </w:pP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9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March 31, 2019</w:t>
            </w:r>
          </w:p>
        </w:tc>
        <w:tc>
          <w:tcPr>
            <w:tcW w:w="11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42,367</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gridSpan w:val="2"/>
            <w:shd w:val="clear" w:color="auto" w:fill="CCEEFF"/>
          </w:tcPr>
          <w:p>
            <w:pPr>
              <w:jc w:val="right"/>
              <w:ind w:right="56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6"/>
              </w:rPr>
              <w:t>424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512,274</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(83,639)</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(34,219)</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394,840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Net loss</w:t>
            </w:r>
          </w:p>
        </w:tc>
        <w:tc>
          <w:tcPr>
            <w:tcW w:w="12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dividends declared</w:t>
            </w:r>
          </w:p>
        </w:tc>
        <w:tc>
          <w:tcPr>
            <w:tcW w:w="12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2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1,106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1,106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9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Change in fair value of interest rate swap, net</w:t>
            </w: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9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of tax of $1,993</w:t>
            </w:r>
          </w:p>
        </w:tc>
        <w:tc>
          <w:tcPr>
            <w:tcW w:w="12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(6,962)</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Foreign currency translation loss</w:t>
            </w:r>
          </w:p>
        </w:tc>
        <w:tc>
          <w:tcPr>
            <w:tcW w:w="12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Adoption of new accounting standard (Note 1)</w:t>
            </w:r>
          </w:p>
        </w:tc>
        <w:tc>
          <w:tcPr>
            <w:tcW w:w="12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Balance, June 30, 2019</w:t>
            </w:r>
          </w:p>
        </w:tc>
        <w:tc>
          <w:tcPr>
            <w:tcW w:w="114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42,367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Borders>
              <w:top w:val="single" w:sz="8" w:color="auto"/>
            </w:tcBorders>
            <w:gridSpan w:val="2"/>
          </w:tcPr>
          <w:p>
            <w:pPr>
              <w:jc w:val="right"/>
              <w:ind w:right="56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6"/>
              </w:rPr>
              <w:t>424</w:t>
            </w:r>
          </w:p>
        </w:tc>
        <w:tc>
          <w:tcPr>
            <w:tcW w:w="100" w:type="dxa"/>
            <w:vAlign w:val="bottom"/>
          </w:tcPr>
          <w:p>
            <w:pPr>
              <w:spacing w:after="0"/>
              <w:rPr>
                <w:sz w:val="20"/>
                <w:szCs w:val="20"/>
                <w:color w:val="auto"/>
              </w:rPr>
            </w:pPr>
          </w:p>
        </w:tc>
        <w:tc>
          <w:tcPr>
            <w:tcW w:w="1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513,380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(93,328)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(42,615)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top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377,861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37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5"/>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tcPr>
          <w:p>
            <w:pPr>
              <w:jc w:val="center"/>
              <w:ind w:right="220"/>
              <w:spacing w:after="0" w:line="151" w:lineRule="exact"/>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3"/>
                <w:szCs w:val="13"/>
                <w:color w:val="auto"/>
              </w:rPr>
            </w:pPr>
          </w:p>
        </w:tc>
        <w:tc>
          <w:tcPr>
            <w:tcW w:w="740" w:type="dxa"/>
            <w:vAlign w:val="bottom"/>
            <w:vMerge w:val="restart"/>
          </w:tcPr>
          <w:p>
            <w:pPr>
              <w:jc w:val="center"/>
              <w:ind w:left="324"/>
              <w:spacing w:after="0"/>
              <w:rPr>
                <w:sz w:val="20"/>
                <w:szCs w:val="20"/>
                <w:color w:val="auto"/>
              </w:rPr>
            </w:pPr>
            <w:r>
              <w:rPr>
                <w:rFonts w:ascii="Times New Roman" w:cs="Times New Roman" w:eastAsia="Times New Roman" w:hAnsi="Times New Roman"/>
                <w:sz w:val="14"/>
                <w:szCs w:val="14"/>
                <w:b w:val="1"/>
                <w:bCs w:val="1"/>
                <w:color w:val="auto"/>
              </w:rPr>
              <w:t>Par</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3"/>
          </w:tcPr>
          <w:p>
            <w:pPr>
              <w:jc w:val="center"/>
              <w:ind w:right="240"/>
              <w:spacing w:after="0" w:line="151"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 w:type="dxa"/>
            <w:vAlign w:val="bottom"/>
          </w:tcPr>
          <w:p>
            <w:pPr>
              <w:spacing w:after="0"/>
              <w:rPr>
                <w:sz w:val="13"/>
                <w:szCs w:val="13"/>
                <w:color w:val="auto"/>
              </w:rPr>
            </w:pPr>
          </w:p>
        </w:tc>
        <w:tc>
          <w:tcPr>
            <w:tcW w:w="134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paid in</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7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center"/>
              <w:ind w:left="34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March 31, 2018</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27,666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54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293,704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203,159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484,859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Net loss</w:t>
            </w:r>
          </w:p>
        </w:tc>
        <w:tc>
          <w:tcPr>
            <w:tcW w:w="1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(24,511)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dividends declared</w:t>
            </w:r>
          </w:p>
        </w:tc>
        <w:tc>
          <w:tcPr>
            <w:tcW w:w="12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Shares issued for option exercises</w:t>
            </w: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1,077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Restricted shares and performance shares</w:t>
            </w: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forgiven for taxes and forfeited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Foreign currency translation loss</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(15,781)</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(15,781)</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June 30, 2018</w:t>
            </w:r>
          </w:p>
        </w:tc>
        <w:tc>
          <w:tcPr>
            <w:tcW w:w="1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27,729</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Borders>
              <w:top w:val="single" w:sz="8" w:color="auto"/>
              <w:bottom w:val="single" w:sz="8" w:color="auto"/>
            </w:tcBorders>
          </w:tcPr>
          <w:p>
            <w:pPr>
              <w:jc w:val="right"/>
              <w:ind w:right="54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294,380</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176,718</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(28,061)</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443,314</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 Months Ended June 30, 2019 and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in thousands</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Borders>
              <w:bottom w:val="single" w:sz="8" w:color="auto"/>
            </w:tcBorders>
            <w:gridSpan w:val="5"/>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tcPr>
          <w:p>
            <w:pPr>
              <w:jc w:val="center"/>
              <w:ind w:right="120"/>
              <w:spacing w:after="0" w:line="151" w:lineRule="exact"/>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3"/>
                <w:szCs w:val="13"/>
                <w:color w:val="auto"/>
              </w:rPr>
            </w:pPr>
          </w:p>
        </w:tc>
        <w:tc>
          <w:tcPr>
            <w:tcW w:w="740" w:type="dxa"/>
            <w:vAlign w:val="bottom"/>
            <w:vMerge w:val="restart"/>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Par</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3"/>
          </w:tcPr>
          <w:p>
            <w:pPr>
              <w:jc w:val="center"/>
              <w:ind w:right="280"/>
              <w:spacing w:after="0" w:line="151"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 w:type="dxa"/>
            <w:vAlign w:val="bottom"/>
          </w:tcPr>
          <w:p>
            <w:pPr>
              <w:spacing w:after="0"/>
              <w:rPr>
                <w:sz w:val="13"/>
                <w:szCs w:val="13"/>
                <w:color w:val="auto"/>
              </w:rPr>
            </w:pPr>
          </w:p>
        </w:tc>
        <w:tc>
          <w:tcPr>
            <w:tcW w:w="134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paid in</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20" w:type="dxa"/>
            <w:vAlign w:val="bottom"/>
          </w:tcPr>
          <w:p>
            <w:pPr>
              <w:spacing w:after="0"/>
              <w:rPr>
                <w:sz w:val="16"/>
                <w:szCs w:val="16"/>
                <w:color w:val="auto"/>
              </w:rPr>
            </w:pPr>
          </w:p>
        </w:tc>
        <w:tc>
          <w:tcPr>
            <w:tcW w:w="74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6"/>
                <w:szCs w:val="16"/>
                <w:color w:val="auto"/>
              </w:rPr>
            </w:pP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9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December 31, 2018</w:t>
            </w:r>
          </w:p>
        </w:tc>
        <w:tc>
          <w:tcPr>
            <w:tcW w:w="11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42,104</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gridSpan w:val="2"/>
            <w:shd w:val="clear" w:color="auto" w:fill="CCEEFF"/>
          </w:tcPr>
          <w:p>
            <w:pPr>
              <w:jc w:val="right"/>
              <w:ind w:right="56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6"/>
              </w:rPr>
              <w:t>421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511,545</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(62,046)</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(31,625)</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418,295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Net loss</w:t>
            </w:r>
          </w:p>
        </w:tc>
        <w:tc>
          <w:tcPr>
            <w:tcW w:w="12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dividends declared</w:t>
            </w:r>
          </w:p>
        </w:tc>
        <w:tc>
          <w:tcPr>
            <w:tcW w:w="12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1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281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1,976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1,979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9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Restricted shares forgiven for taxes and</w:t>
            </w: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9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Change in fair value of interest rate swap, net</w:t>
            </w: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of tax of $3,097</w:t>
            </w:r>
          </w:p>
        </w:tc>
        <w:tc>
          <w:tcPr>
            <w:tcW w:w="12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Foreign currency translation loss</w:t>
            </w:r>
          </w:p>
        </w:tc>
        <w:tc>
          <w:tcPr>
            <w:tcW w:w="12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Adoption of new accounting standard (Note 1)</w:t>
            </w:r>
          </w:p>
        </w:tc>
        <w:tc>
          <w:tcPr>
            <w:tcW w:w="12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June 30, 2019</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42,367</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56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6"/>
              </w:rPr>
              <w:t>424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513,380</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(93,328)</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(42,615)</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377,861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37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5"/>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tcPr>
          <w:p>
            <w:pPr>
              <w:jc w:val="center"/>
              <w:ind w:right="220"/>
              <w:spacing w:after="0" w:line="151" w:lineRule="exact"/>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3"/>
                <w:szCs w:val="13"/>
                <w:color w:val="auto"/>
              </w:rPr>
            </w:pPr>
          </w:p>
        </w:tc>
        <w:tc>
          <w:tcPr>
            <w:tcW w:w="740" w:type="dxa"/>
            <w:vAlign w:val="bottom"/>
            <w:vMerge w:val="restart"/>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Par</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3"/>
          </w:tcPr>
          <w:p>
            <w:pPr>
              <w:jc w:val="center"/>
              <w:ind w:right="240"/>
              <w:spacing w:after="0" w:line="151"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 w:type="dxa"/>
            <w:vAlign w:val="bottom"/>
          </w:tcPr>
          <w:p>
            <w:pPr>
              <w:spacing w:after="0"/>
              <w:rPr>
                <w:sz w:val="13"/>
                <w:szCs w:val="13"/>
                <w:color w:val="auto"/>
              </w:rPr>
            </w:pPr>
          </w:p>
        </w:tc>
        <w:tc>
          <w:tcPr>
            <w:tcW w:w="134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paid in</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7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December 31, 2017</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27,572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54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292,494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211,080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486,104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Net loss</w:t>
            </w:r>
          </w:p>
        </w:tc>
        <w:tc>
          <w:tcPr>
            <w:tcW w:w="1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dividends declared</w:t>
            </w:r>
          </w:p>
        </w:tc>
        <w:tc>
          <w:tcPr>
            <w:tcW w:w="12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Shares issued for option exercises</w:t>
            </w: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274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165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2,332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Restricted shares and performance shares</w:t>
            </w: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forgiven for taxes and forfeited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Foreign currency translation loss</w:t>
            </w:r>
          </w:p>
        </w:tc>
        <w:tc>
          <w:tcPr>
            <w:tcW w:w="12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Adoption of new accounting standard</w:t>
            </w:r>
          </w:p>
        </w:tc>
        <w:tc>
          <w:tcPr>
            <w:tcW w:w="1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June 30, 2018</w:t>
            </w:r>
          </w:p>
        </w:tc>
        <w:tc>
          <w:tcPr>
            <w:tcW w:w="1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27,729</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54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294,380</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176,718</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(28,061)</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443,314</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Amounts in thousands</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37730"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37730" cy="180340"/>
                    </a:xfrm>
                    <a:prstGeom prst="rect">
                      <a:avLst/>
                    </a:prstGeom>
                    <a:noFill/>
                  </pic:spPr>
                </pic:pic>
              </a:graphicData>
            </a:graphic>
          </wp:anchor>
        </w:drawing>
      </w:r>
    </w:p>
    <w:p>
      <w:pPr>
        <w:spacing w:after="0" w:line="1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3773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Adjustments to reconcile net loss to net cash provided by (used by) operating activities:</w:t>
      </w:r>
    </w:p>
    <w:p>
      <w:pPr>
        <w:spacing w:after="0" w:line="10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3773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Amortization of debt issuance costs</w:t>
      </w:r>
    </w:p>
    <w:p>
      <w:pPr>
        <w:spacing w:after="0" w:line="10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Loss on extinguishment of debt and write-off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3773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Share of net income from joint venture, net of cash dividends received</w:t>
      </w:r>
    </w:p>
    <w:p>
      <w:pPr>
        <w:spacing w:after="0" w:line="10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Compensation expense from issuance of share-based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3773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Deferred income taxes</w:t>
      </w:r>
    </w:p>
    <w:p>
      <w:pPr>
        <w:spacing w:after="0" w:line="10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3773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Changes in operating assets and liabilities, net of acquisitions:</w:t>
      </w:r>
    </w:p>
    <w:p>
      <w:pPr>
        <w:spacing w:after="0" w:line="10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3773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8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Inventories</w:t>
      </w:r>
    </w:p>
    <w:p>
      <w:pPr>
        <w:spacing w:after="0" w:line="10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3773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8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Income taxes receivable and payable, net</w:t>
      </w:r>
    </w:p>
    <w:p>
      <w:pPr>
        <w:spacing w:after="0" w:line="10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3773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Net cash provided by (used by) operating activities</w:t>
      </w:r>
    </w:p>
    <w:p>
      <w:pPr>
        <w:spacing w:after="0" w:line="1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13335</wp:posOffset>
            </wp:positionV>
            <wp:extent cx="18008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529"/>
        </w:trPr>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(25,297)</w:t>
            </w:r>
          </w:p>
        </w:tc>
        <w:tc>
          <w:tcPr>
            <w:tcW w:w="120" w:type="dxa"/>
            <w:vAlign w:val="bottom"/>
          </w:tcPr>
          <w:p>
            <w:pPr>
              <w:spacing w:after="0"/>
              <w:rPr>
                <w:sz w:val="24"/>
                <w:szCs w:val="24"/>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(30,494)</w:t>
            </w:r>
          </w:p>
        </w:tc>
      </w:tr>
      <w:tr>
        <w:trPr>
          <w:trHeight w:val="540"/>
        </w:trPr>
        <w:tc>
          <w:tcPr>
            <w:tcW w:w="32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46,349</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30,539</w:t>
            </w:r>
          </w:p>
        </w:tc>
      </w:tr>
      <w:tr>
        <w:trPr>
          <w:trHeight w:val="270"/>
        </w:trPr>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2,354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2,313</w:t>
            </w:r>
          </w:p>
        </w:tc>
      </w:tr>
      <w:tr>
        <w:trPr>
          <w:trHeight w:val="270"/>
        </w:trPr>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2,699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12,938</w:t>
            </w:r>
          </w:p>
        </w:tc>
      </w:tr>
      <w:tr>
        <w:trPr>
          <w:trHeight w:val="270"/>
        </w:trPr>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(1,478)</w:t>
            </w:r>
          </w:p>
        </w:tc>
      </w:tr>
      <w:tr>
        <w:trPr>
          <w:trHeight w:val="270"/>
        </w:trPr>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1,979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2,334</w:t>
            </w:r>
          </w:p>
        </w:tc>
      </w:tr>
      <w:tr>
        <w:trPr>
          <w:trHeight w:val="270"/>
        </w:trPr>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(6,762)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270"/>
        </w:trPr>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540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214</w:t>
            </w:r>
          </w:p>
        </w:tc>
      </w:tr>
      <w:tr>
        <w:trPr>
          <w:trHeight w:val="540"/>
        </w:trPr>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(17,723)</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(17,256)</w:t>
            </w:r>
          </w:p>
        </w:tc>
      </w:tr>
      <w:tr>
        <w:trPr>
          <w:trHeight w:val="270"/>
        </w:trPr>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(10,742)</w:t>
            </w:r>
          </w:p>
        </w:tc>
      </w:tr>
      <w:tr>
        <w:trPr>
          <w:trHeight w:val="270"/>
        </w:trPr>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(4,653)</w:t>
            </w:r>
          </w:p>
        </w:tc>
      </w:tr>
      <w:tr>
        <w:trPr>
          <w:trHeight w:val="270"/>
        </w:trPr>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(8,695)</w:t>
            </w:r>
          </w:p>
        </w:tc>
      </w:tr>
      <w:tr>
        <w:trPr>
          <w:trHeight w:val="275"/>
        </w:trPr>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7,210</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5,589</w:t>
            </w:r>
          </w:p>
        </w:tc>
      </w:tr>
      <w:tr>
        <w:trPr>
          <w:trHeight w:val="250"/>
        </w:trPr>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4,367</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(19,425)</w:t>
            </w:r>
          </w:p>
        </w:tc>
      </w:tr>
    </w:tbl>
    <w:p>
      <w:pPr>
        <w:spacing w:after="0" w:line="269" w:lineRule="exact"/>
        <w:rPr>
          <w:sz w:val="20"/>
          <w:szCs w:val="20"/>
          <w:color w:val="auto"/>
        </w:rPr>
      </w:pPr>
    </w:p>
    <w:p>
      <w:pPr>
        <w:sectPr>
          <w:pgSz w:w="11900" w:h="16838" w:orient="portrait"/>
          <w:cols w:equalWidth="0" w:num="2">
            <w:col w:w="7860" w:space="720"/>
            <w:col w:w="2820"/>
          </w:cols>
          <w:pgMar w:left="240" w:top="121" w:right="259" w:bottom="1440" w:gutter="0" w:footer="0" w:header="0"/>
          <w:type w:val="continuous"/>
        </w:sectPr>
      </w:pPr>
    </w:p>
    <w:tbl>
      <w:tblPr>
        <w:tblLayout w:type="fixed"/>
        <w:tblInd w:w="0" w:type="dxa"/>
        <w:tblCellMar>
          <w:top w:w="0" w:type="dxa"/>
          <w:left w:w="0" w:type="dxa"/>
          <w:bottom w:w="0" w:type="dxa"/>
          <w:right w:w="0" w:type="dxa"/>
        </w:tblCellMar>
      </w:tblPr>
      <w:tr>
        <w:trPr>
          <w:trHeight w:val="208"/>
        </w:trPr>
        <w:tc>
          <w:tcPr>
            <w:tcW w:w="8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Acquisition of property, plant and equipment</w:t>
            </w:r>
          </w:p>
        </w:tc>
        <w:tc>
          <w:tcPr>
            <w:tcW w:w="46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(28,994)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(28,888)</w:t>
            </w:r>
          </w:p>
        </w:tc>
        <w:tc>
          <w:tcPr>
            <w:tcW w:w="0" w:type="dxa"/>
            <w:vAlign w:val="bottom"/>
          </w:tcPr>
          <w:p>
            <w:pPr>
              <w:spacing w:after="0"/>
              <w:rPr>
                <w:sz w:val="1"/>
                <w:szCs w:val="1"/>
                <w:color w:val="auto"/>
              </w:rPr>
            </w:pPr>
          </w:p>
        </w:tc>
      </w:tr>
      <w:tr>
        <w:trPr>
          <w:trHeight w:val="62"/>
        </w:trPr>
        <w:tc>
          <w:tcPr>
            <w:tcW w:w="858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85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liquidation of short-term investment</w:t>
            </w:r>
          </w:p>
        </w:tc>
        <w:tc>
          <w:tcPr>
            <w:tcW w:w="46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8,000</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3"/>
        </w:trPr>
        <w:tc>
          <w:tcPr>
            <w:tcW w:w="8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paid to acquire businesses, net of cash received</w:t>
            </w:r>
          </w:p>
        </w:tc>
        <w:tc>
          <w:tcPr>
            <w:tcW w:w="46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(393,481)</w:t>
            </w:r>
          </w:p>
        </w:tc>
        <w:tc>
          <w:tcPr>
            <w:tcW w:w="0" w:type="dxa"/>
            <w:vAlign w:val="bottom"/>
          </w:tcPr>
          <w:p>
            <w:pPr>
              <w:spacing w:after="0"/>
              <w:rPr>
                <w:sz w:val="1"/>
                <w:szCs w:val="1"/>
                <w:color w:val="auto"/>
              </w:rPr>
            </w:pPr>
          </w:p>
        </w:tc>
      </w:tr>
      <w:tr>
        <w:trPr>
          <w:trHeight w:val="78"/>
        </w:trPr>
        <w:tc>
          <w:tcPr>
            <w:tcW w:w="858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5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46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1,223</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625</w:t>
            </w:r>
          </w:p>
        </w:tc>
        <w:tc>
          <w:tcPr>
            <w:tcW w:w="0" w:type="dxa"/>
            <w:vAlign w:val="bottom"/>
          </w:tcPr>
          <w:p>
            <w:pPr>
              <w:spacing w:after="0"/>
              <w:rPr>
                <w:sz w:val="1"/>
                <w:szCs w:val="1"/>
                <w:color w:val="auto"/>
              </w:rPr>
            </w:pPr>
          </w:p>
        </w:tc>
      </w:tr>
      <w:tr>
        <w:trPr>
          <w:trHeight w:val="73"/>
        </w:trPr>
        <w:tc>
          <w:tcPr>
            <w:tcW w:w="858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85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Net cash used by investing activities</w:t>
            </w:r>
          </w:p>
        </w:tc>
        <w:tc>
          <w:tcPr>
            <w:tcW w:w="4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(19,771)</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(421,744)</w:t>
            </w:r>
          </w:p>
        </w:tc>
        <w:tc>
          <w:tcPr>
            <w:tcW w:w="0" w:type="dxa"/>
            <w:vAlign w:val="bottom"/>
          </w:tcPr>
          <w:p>
            <w:pPr>
              <w:spacing w:after="0"/>
              <w:rPr>
                <w:sz w:val="1"/>
                <w:szCs w:val="1"/>
                <w:color w:val="auto"/>
              </w:rPr>
            </w:pPr>
          </w:p>
        </w:tc>
      </w:tr>
      <w:tr>
        <w:trPr>
          <w:trHeight w:val="78"/>
        </w:trPr>
        <w:tc>
          <w:tcPr>
            <w:tcW w:w="8580" w:type="dxa"/>
            <w:vAlign w:val="bottom"/>
            <w:shd w:val="clear" w:color="auto" w:fill="CCEEFF"/>
          </w:tcPr>
          <w:p>
            <w:pPr>
              <w:spacing w:after="0"/>
              <w:rPr>
                <w:sz w:val="6"/>
                <w:szCs w:val="6"/>
                <w:color w:val="auto"/>
              </w:rPr>
            </w:pPr>
          </w:p>
        </w:tc>
        <w:tc>
          <w:tcPr>
            <w:tcW w:w="46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85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8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8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paid for debt issuance or prepayment costs</w:t>
            </w:r>
          </w:p>
        </w:tc>
        <w:tc>
          <w:tcPr>
            <w:tcW w:w="46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(967)</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(16,703)</w:t>
            </w:r>
          </w:p>
        </w:tc>
        <w:tc>
          <w:tcPr>
            <w:tcW w:w="0" w:type="dxa"/>
            <w:vAlign w:val="bottom"/>
          </w:tcPr>
          <w:p>
            <w:pPr>
              <w:spacing w:after="0"/>
              <w:rPr>
                <w:sz w:val="1"/>
                <w:szCs w:val="1"/>
                <w:color w:val="auto"/>
              </w:rPr>
            </w:pPr>
          </w:p>
        </w:tc>
      </w:tr>
      <w:tr>
        <w:trPr>
          <w:trHeight w:val="78"/>
        </w:trPr>
        <w:tc>
          <w:tcPr>
            <w:tcW w:w="858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5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Dividends paid</w:t>
            </w:r>
          </w:p>
        </w:tc>
        <w:tc>
          <w:tcPr>
            <w:tcW w:w="46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(5,913)</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(3,854)</w:t>
            </w:r>
          </w:p>
        </w:tc>
        <w:tc>
          <w:tcPr>
            <w:tcW w:w="0" w:type="dxa"/>
            <w:vAlign w:val="bottom"/>
          </w:tcPr>
          <w:p>
            <w:pPr>
              <w:spacing w:after="0"/>
              <w:rPr>
                <w:sz w:val="1"/>
                <w:szCs w:val="1"/>
                <w:color w:val="auto"/>
              </w:rPr>
            </w:pPr>
          </w:p>
        </w:tc>
      </w:tr>
      <w:tr>
        <w:trPr>
          <w:trHeight w:val="73"/>
        </w:trPr>
        <w:tc>
          <w:tcPr>
            <w:tcW w:w="8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long-term debt</w:t>
            </w:r>
          </w:p>
        </w:tc>
        <w:tc>
          <w:tcPr>
            <w:tcW w:w="46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46,630</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270,000</w:t>
            </w:r>
          </w:p>
        </w:tc>
        <w:tc>
          <w:tcPr>
            <w:tcW w:w="0" w:type="dxa"/>
            <w:vAlign w:val="bottom"/>
          </w:tcPr>
          <w:p>
            <w:pPr>
              <w:spacing w:after="0"/>
              <w:rPr>
                <w:sz w:val="1"/>
                <w:szCs w:val="1"/>
                <w:color w:val="auto"/>
              </w:rPr>
            </w:pPr>
          </w:p>
        </w:tc>
      </w:tr>
      <w:tr>
        <w:trPr>
          <w:trHeight w:val="78"/>
        </w:trPr>
        <w:tc>
          <w:tcPr>
            <w:tcW w:w="858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5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Repayment of long-term debt</w:t>
            </w:r>
          </w:p>
        </w:tc>
        <w:tc>
          <w:tcPr>
            <w:tcW w:w="46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(12,055)</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(16,000)</w:t>
            </w:r>
          </w:p>
        </w:tc>
        <w:tc>
          <w:tcPr>
            <w:tcW w:w="0" w:type="dxa"/>
            <w:vAlign w:val="bottom"/>
          </w:tcPr>
          <w:p>
            <w:pPr>
              <w:spacing w:after="0"/>
              <w:rPr>
                <w:sz w:val="1"/>
                <w:szCs w:val="1"/>
                <w:color w:val="auto"/>
              </w:rPr>
            </w:pPr>
          </w:p>
        </w:tc>
      </w:tr>
      <w:tr>
        <w:trPr>
          <w:trHeight w:val="73"/>
        </w:trPr>
        <w:tc>
          <w:tcPr>
            <w:tcW w:w="8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(repayments of) short-term debt, net</w:t>
            </w:r>
          </w:p>
        </w:tc>
        <w:tc>
          <w:tcPr>
            <w:tcW w:w="46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(6,218)</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9,703</w:t>
            </w:r>
          </w:p>
        </w:tc>
        <w:tc>
          <w:tcPr>
            <w:tcW w:w="0" w:type="dxa"/>
            <w:vAlign w:val="bottom"/>
          </w:tcPr>
          <w:p>
            <w:pPr>
              <w:spacing w:after="0"/>
              <w:rPr>
                <w:sz w:val="1"/>
                <w:szCs w:val="1"/>
                <w:color w:val="auto"/>
              </w:rPr>
            </w:pPr>
          </w:p>
        </w:tc>
      </w:tr>
      <w:tr>
        <w:trPr>
          <w:trHeight w:val="78"/>
        </w:trPr>
        <w:tc>
          <w:tcPr>
            <w:tcW w:w="858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5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46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(1,759)</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(2,410)</w:t>
            </w:r>
          </w:p>
        </w:tc>
        <w:tc>
          <w:tcPr>
            <w:tcW w:w="0" w:type="dxa"/>
            <w:vAlign w:val="bottom"/>
          </w:tcPr>
          <w:p>
            <w:pPr>
              <w:spacing w:after="0"/>
              <w:rPr>
                <w:sz w:val="1"/>
                <w:szCs w:val="1"/>
                <w:color w:val="auto"/>
              </w:rPr>
            </w:pPr>
          </w:p>
        </w:tc>
      </w:tr>
      <w:tr>
        <w:trPr>
          <w:trHeight w:val="73"/>
        </w:trPr>
        <w:tc>
          <w:tcPr>
            <w:tcW w:w="858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85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4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19,718</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240,736</w:t>
            </w:r>
          </w:p>
        </w:tc>
        <w:tc>
          <w:tcPr>
            <w:tcW w:w="0" w:type="dxa"/>
            <w:vAlign w:val="bottom"/>
          </w:tcPr>
          <w:p>
            <w:pPr>
              <w:spacing w:after="0"/>
              <w:rPr>
                <w:sz w:val="1"/>
                <w:szCs w:val="1"/>
                <w:color w:val="auto"/>
              </w:rPr>
            </w:pPr>
          </w:p>
        </w:tc>
      </w:tr>
      <w:tr>
        <w:trPr>
          <w:trHeight w:val="78"/>
        </w:trPr>
        <w:tc>
          <w:tcPr>
            <w:tcW w:w="8580" w:type="dxa"/>
            <w:vAlign w:val="bottom"/>
            <w:shd w:val="clear" w:color="auto" w:fill="CCEEFF"/>
          </w:tcPr>
          <w:p>
            <w:pPr>
              <w:spacing w:after="0"/>
              <w:rPr>
                <w:sz w:val="6"/>
                <w:szCs w:val="6"/>
                <w:color w:val="auto"/>
              </w:rPr>
            </w:pPr>
          </w:p>
        </w:tc>
        <w:tc>
          <w:tcPr>
            <w:tcW w:w="46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85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Effect of exchange rate changes on cash flows</w:t>
            </w:r>
          </w:p>
        </w:tc>
        <w:tc>
          <w:tcPr>
            <w:tcW w:w="4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(806)</w:t>
            </w:r>
          </w:p>
        </w:tc>
        <w:tc>
          <w:tcPr>
            <w:tcW w:w="0" w:type="dxa"/>
            <w:vAlign w:val="bottom"/>
          </w:tcPr>
          <w:p>
            <w:pPr>
              <w:spacing w:after="0"/>
              <w:rPr>
                <w:sz w:val="1"/>
                <w:szCs w:val="1"/>
                <w:color w:val="auto"/>
              </w:rPr>
            </w:pPr>
          </w:p>
        </w:tc>
      </w:tr>
      <w:tr>
        <w:trPr>
          <w:trHeight w:val="73"/>
        </w:trPr>
        <w:tc>
          <w:tcPr>
            <w:tcW w:w="8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change in cash and cash equivalents</w:t>
            </w:r>
          </w:p>
        </w:tc>
        <w:tc>
          <w:tcPr>
            <w:tcW w:w="46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4,089</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(201,239)</w:t>
            </w:r>
          </w:p>
        </w:tc>
        <w:tc>
          <w:tcPr>
            <w:tcW w:w="0" w:type="dxa"/>
            <w:vAlign w:val="bottom"/>
          </w:tcPr>
          <w:p>
            <w:pPr>
              <w:spacing w:after="0"/>
              <w:rPr>
                <w:sz w:val="1"/>
                <w:szCs w:val="1"/>
                <w:color w:val="auto"/>
              </w:rPr>
            </w:pPr>
          </w:p>
        </w:tc>
      </w:tr>
      <w:tr>
        <w:trPr>
          <w:trHeight w:val="78"/>
        </w:trPr>
        <w:tc>
          <w:tcPr>
            <w:tcW w:w="858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5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46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17,988</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224,446</w:t>
            </w:r>
          </w:p>
        </w:tc>
        <w:tc>
          <w:tcPr>
            <w:tcW w:w="0" w:type="dxa"/>
            <w:vAlign w:val="bottom"/>
          </w:tcPr>
          <w:p>
            <w:pPr>
              <w:spacing w:after="0"/>
              <w:rPr>
                <w:sz w:val="1"/>
                <w:szCs w:val="1"/>
                <w:color w:val="auto"/>
              </w:rPr>
            </w:pPr>
          </w:p>
        </w:tc>
      </w:tr>
      <w:tr>
        <w:trPr>
          <w:trHeight w:val="73"/>
        </w:trPr>
        <w:tc>
          <w:tcPr>
            <w:tcW w:w="858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8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460" w:type="dxa"/>
            <w:vAlign w:val="bottom"/>
            <w:vMerge w:val="restart"/>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22,077</w:t>
            </w:r>
          </w:p>
        </w:tc>
        <w:tc>
          <w:tcPr>
            <w:tcW w:w="12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23,207</w:t>
            </w:r>
          </w:p>
        </w:tc>
        <w:tc>
          <w:tcPr>
            <w:tcW w:w="0" w:type="dxa"/>
            <w:vAlign w:val="bottom"/>
          </w:tcPr>
          <w:p>
            <w:pPr>
              <w:spacing w:after="0"/>
              <w:rPr>
                <w:sz w:val="1"/>
                <w:szCs w:val="1"/>
                <w:color w:val="auto"/>
              </w:rPr>
            </w:pPr>
          </w:p>
        </w:tc>
      </w:tr>
      <w:tr>
        <w:trPr>
          <w:trHeight w:val="59"/>
        </w:trPr>
        <w:tc>
          <w:tcPr>
            <w:tcW w:w="8580" w:type="dxa"/>
            <w:vAlign w:val="bottom"/>
            <w:tcBorders>
              <w:bottom w:val="single" w:sz="8" w:color="CCEEFF"/>
            </w:tcBorders>
            <w:shd w:val="clear" w:color="auto" w:fill="CCEEFF"/>
          </w:tcPr>
          <w:p>
            <w:pPr>
              <w:spacing w:after="0"/>
              <w:rPr>
                <w:sz w:val="5"/>
                <w:szCs w:val="5"/>
                <w:color w:val="auto"/>
              </w:rPr>
            </w:pPr>
          </w:p>
        </w:tc>
        <w:tc>
          <w:tcPr>
            <w:tcW w:w="460" w:type="dxa"/>
            <w:vAlign w:val="bottom"/>
            <w:tcBorders>
              <w:bottom w:val="single" w:sz="8" w:color="auto"/>
            </w:tcBorders>
            <w:vMerge w:val="continue"/>
            <w:shd w:val="clear" w:color="auto" w:fill="CCEEFF"/>
          </w:tcPr>
          <w:p>
            <w:pPr>
              <w:spacing w:after="0"/>
              <w:rPr>
                <w:sz w:val="5"/>
                <w:szCs w:val="5"/>
                <w:color w:val="auto"/>
              </w:rPr>
            </w:pPr>
          </w:p>
        </w:tc>
        <w:tc>
          <w:tcPr>
            <w:tcW w:w="9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400" w:type="dxa"/>
            <w:vAlign w:val="bottom"/>
            <w:tcBorders>
              <w:bottom w:val="single" w:sz="8" w:color="auto"/>
            </w:tcBorders>
            <w:vMerge w:val="continue"/>
            <w:shd w:val="clear" w:color="auto" w:fill="CCEEFF"/>
          </w:tcPr>
          <w:p>
            <w:pPr>
              <w:spacing w:after="0"/>
              <w:rPr>
                <w:sz w:val="5"/>
                <w:szCs w:val="5"/>
                <w:color w:val="auto"/>
              </w:rPr>
            </w:pPr>
          </w:p>
        </w:tc>
        <w:tc>
          <w:tcPr>
            <w:tcW w:w="9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Condensed Consolidated Financial Statements.</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121" w:right="259" w:bottom="1440" w:gutter="0" w:footer="0" w:header="0"/>
          <w:type w:val="continuous"/>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Amounts in thousands, except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Interim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Nature of Business</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NN, Inc. is a global diversified industrial company that combines advanced engineering and production capabilities with in-depth materials science expertise to design and manufacture high-precision components and assemblies for the medical, aerospace and defense, electrical, automotive, and general industrial markets. As used in this Quarterly Report on Form 10-Q (this “Quarterly Report), the terms “NN,” the “Company,” “we,” “our,” or “us” refer to NN, Inc., and its subsidiaries. As of June 30, 2019, we had 51 facilities in North America, Europe, South America, and China.</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not been audited, except that the Condensed Consolidated Balance Sheet as of December 31, 2018, was derived from the audited consolidated financial statements included in our Annual Report on Form 10-K for the year ended December 31, 2018 (the “2018 Annual Report”), which we filed with the U.S. Securities and Exchange Commission (the “SEC”) on March 18, 2019. In management’s opinion, the accompanying unaudited condensed consolidated financial statements reflect all adjustments necessary to fairly state our results of operations for the three and six months ended June 30, 2019 and 2018; financial position as of June 30, 2019, and December 31, 2018; and cash flows for the six months ended June 30, 2019 and 2018, on a basis consistent with our audited consolidated financial statements other than the adoption of new accounting standards, such as the new lease standard (see Note 10). These adjustments are of a normal recurring nature and are, in the opinion of management, necessary to state fairly the Company’s financial position and operating results for the interim periods.</w:t>
      </w:r>
    </w:p>
    <w:p>
      <w:pPr>
        <w:spacing w:after="0" w:line="77"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the consolidated financial statements prepared in accordance with accounting principles generally accepted in the United States (“U.S. GAAP”) have been condensed or omitted from the interim financial statements presented in this Quarterly Report. These unaudited condensed consolidated financial statements should be read in conjunction with our audited consolidated financial statements and accompanying notes included in the 2018 Annual Report. The results for the three and six months ended June 30, 2019, are not necessarily indicative of results for the year ending December 31, 2019, or any other future periods.</w:t>
      </w:r>
    </w:p>
    <w:p>
      <w:pPr>
        <w:spacing w:after="0" w:line="76"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Except for per share data or as otherwise indicated, all U.S. dollar amounts presented in the tables in these Notes to Condensed Consolidated Financial Statements are in thousands.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Recently Adopted</w:t>
      </w:r>
    </w:p>
    <w:p>
      <w:pPr>
        <w:spacing w:after="0" w:line="1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Leases. </w:t>
      </w:r>
      <w:r>
        <w:rPr>
          <w:rFonts w:ascii="Times New Roman" w:cs="Times New Roman" w:eastAsia="Times New Roman" w:hAnsi="Times New Roman"/>
          <w:sz w:val="18"/>
          <w:szCs w:val="18"/>
          <w:color w:val="auto"/>
        </w:rPr>
        <w:t>On January 1, 2019, we adopted Accounting Standards Codification (“ASC”) 842,</w:t>
      </w:r>
      <w:r>
        <w:rPr>
          <w:rFonts w:ascii="Times New Roman" w:cs="Times New Roman" w:eastAsia="Times New Roman" w:hAnsi="Times New Roman"/>
          <w:sz w:val="18"/>
          <w:szCs w:val="18"/>
          <w:i w:val="1"/>
          <w:iCs w:val="1"/>
          <w:color w:val="auto"/>
        </w:rPr>
        <w:t xml:space="preserve"> Leases</w:t>
      </w:r>
      <w:r>
        <w:rPr>
          <w:rFonts w:ascii="Times New Roman" w:cs="Times New Roman" w:eastAsia="Times New Roman" w:hAnsi="Times New Roman"/>
          <w:sz w:val="18"/>
          <w:szCs w:val="18"/>
          <w:color w:val="auto"/>
        </w:rPr>
        <w:t>, which superseded ASC 840,</w:t>
      </w:r>
      <w:r>
        <w:rPr>
          <w:rFonts w:ascii="Times New Roman" w:cs="Times New Roman" w:eastAsia="Times New Roman" w:hAnsi="Times New Roman"/>
          <w:sz w:val="18"/>
          <w:szCs w:val="18"/>
          <w:i w:val="1"/>
          <w:iCs w:val="1"/>
          <w:color w:val="auto"/>
        </w:rPr>
        <w:t xml:space="preserve"> Leases</w:t>
      </w:r>
      <w:r>
        <w:rPr>
          <w:rFonts w:ascii="Times New Roman" w:cs="Times New Roman" w:eastAsia="Times New Roman" w:hAnsi="Times New Roman"/>
          <w:sz w:val="18"/>
          <w:szCs w:val="18"/>
          <w:color w:val="auto"/>
        </w:rPr>
        <w:t>. We adopted ASC 842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utilizing the modified retrospective transition approach; therefore, historical financial information and disclosures do not reflect the new standard and will continue to be presented under the previous lease accounting guidance. Under the modified retrospective transition method, we recognized the cumulative effect of the initial adoption adjustment to the opening balance of retained deficit as of January 1, 2019. The adoption adjustment to retained deficit was $0.1 million. As part of the adoption of ASC 842, we elected the package of practical expedients, the short-term lease exemption, and the practical expedient to not separate lease and non-lease components. We recorded lease-related assets and liabilities to our balance sheet for leases with terms greater than twelve months that were classified as operating leases and not previously recorded on our balance sheet. See Note 10 for the required disclosures related to ASC 842.</w:t>
      </w:r>
    </w:p>
    <w:p>
      <w:pPr>
        <w:spacing w:after="0" w:line="75"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In August 2017, the Financial Accounting Standards Board (“FASB”) issued Accounting Standards Update 2017-12,</w:t>
      </w:r>
      <w:r>
        <w:rPr>
          <w:rFonts w:ascii="Times New Roman" w:cs="Times New Roman" w:eastAsia="Times New Roman" w:hAnsi="Times New Roman"/>
          <w:sz w:val="18"/>
          <w:szCs w:val="18"/>
          <w:i w:val="1"/>
          <w:iCs w:val="1"/>
          <w:color w:val="auto"/>
        </w:rPr>
        <w:t xml:space="preserve"> Derivatives and Hedging (Topic 815): Targeted Improvements to Accounting for Hedging Activities</w:t>
      </w:r>
      <w:r>
        <w:rPr>
          <w:rFonts w:ascii="Times New Roman" w:cs="Times New Roman" w:eastAsia="Times New Roman" w:hAnsi="Times New Roman"/>
          <w:sz w:val="18"/>
          <w:szCs w:val="18"/>
          <w:color w:val="auto"/>
        </w:rPr>
        <w:t>, (“ASU 2017-12”). ASU 2017-12 provides new rules that expand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hedging strategies that qualify for hedge accounting. The new rules also allow additional time to complete hedge effectiveness testing and allow qualitative assessments subsequent to initial quantitative tests if there is a supportable expectation that the hedge will remain highly effective. We adopted the guidance on January 1, 2019. We have applied the new rules to 2019 hedging activities as disclosed in Note 16 to these condensed consolidated financial statements. The new guidance has no effect on our historical financial statements.</w:t>
      </w:r>
    </w:p>
    <w:p>
      <w:pPr>
        <w:spacing w:after="0" w:line="75"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7"/>
          <w:szCs w:val="17"/>
          <w:i w:val="1"/>
          <w:iCs w:val="1"/>
          <w:color w:val="auto"/>
        </w:rPr>
        <w:t xml:space="preserve">Effects of Tax Reform in Other Comprehensive Income. </w:t>
      </w:r>
      <w:r>
        <w:rPr>
          <w:rFonts w:ascii="Times New Roman" w:cs="Times New Roman" w:eastAsia="Times New Roman" w:hAnsi="Times New Roman"/>
          <w:sz w:val="17"/>
          <w:szCs w:val="17"/>
          <w:color w:val="auto"/>
        </w:rPr>
        <w:t>In February 2018, the FASB issued guidance related to the impacts of the U.S. Tax Cuts and Jobs Act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of 2017 (“Tax Act”). Under existing U.S. GAAP, the effects of changes in tax rates and laws on deferred tax balances are recorded as a component of income tax expense in the period in which the law was enacted. When deferred tax balances related to items originally recorded in accumulated other comprehensive income (“AOCI”) are adjusted, certain tax effects become stranded in AOCI. The FASB issued ASU 2018-2, </w:t>
      </w:r>
      <w:r>
        <w:rPr>
          <w:rFonts w:ascii="Times New Roman" w:cs="Times New Roman" w:eastAsia="Times New Roman" w:hAnsi="Times New Roman"/>
          <w:sz w:val="17"/>
          <w:szCs w:val="17"/>
          <w:i w:val="1"/>
          <w:iCs w:val="1"/>
          <w:color w:val="auto"/>
        </w:rPr>
        <w:t>Income Statement – Reporting Comprehensive</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(Topic 220): Reclassification of Certain Tax Effects from Accumulated Other Comprehensive Income, </w:t>
      </w:r>
      <w:r>
        <w:rPr>
          <w:rFonts w:ascii="Times New Roman" w:cs="Times New Roman" w:eastAsia="Times New Roman" w:hAnsi="Times New Roman"/>
          <w:sz w:val="18"/>
          <w:szCs w:val="18"/>
          <w:color w:val="auto"/>
        </w:rPr>
        <w:t>that permits reclassification of certain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 effects of the Tax Act from AOCI to retained earnings. The guidance also requires certain disclosures about stranded tax effects. The new guidance was effective for us on January 1, 2019. We adopted the new guidance at the beginning of the period of adoption. The new guidance had no effect on our financial statements.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Not Yet Adopted</w:t>
      </w:r>
    </w:p>
    <w:p>
      <w:pPr>
        <w:spacing w:after="0" w:line="117"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Fair Value Disclosures. </w:t>
      </w:r>
      <w:r>
        <w:rPr>
          <w:rFonts w:ascii="Times New Roman" w:cs="Times New Roman" w:eastAsia="Times New Roman" w:hAnsi="Times New Roman"/>
          <w:sz w:val="18"/>
          <w:szCs w:val="18"/>
          <w:color w:val="auto"/>
        </w:rPr>
        <w:t>In August 2018, the FASB issued ASU 2018-13,</w:t>
      </w:r>
      <w:r>
        <w:rPr>
          <w:rFonts w:ascii="Times New Roman" w:cs="Times New Roman" w:eastAsia="Times New Roman" w:hAnsi="Times New Roman"/>
          <w:sz w:val="18"/>
          <w:szCs w:val="18"/>
          <w:i w:val="1"/>
          <w:iCs w:val="1"/>
          <w:color w:val="auto"/>
        </w:rPr>
        <w:t xml:space="preserve"> Fair Value Measurement (Topic 820): Disclosure Framework - Changes to the Disclosure Requirements for Fair Value Measurement, </w:t>
      </w:r>
      <w:r>
        <w:rPr>
          <w:rFonts w:ascii="Times New Roman" w:cs="Times New Roman" w:eastAsia="Times New Roman" w:hAnsi="Times New Roman"/>
          <w:sz w:val="18"/>
          <w:szCs w:val="18"/>
          <w:color w:val="auto"/>
        </w:rPr>
        <w:t>that modifies fair value disclosure requirements. The new guidance could impact us by streamlining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disclosures of Level 3 fair value measurements. The modified disclosures are effective for us beginning in the first quarter of 2020, with early adoption allowed. ASU 2018-13 changes disclosures only and does not impact our financial condition, results of operations, or cash flows. We are in the process of evaluating the effects of this guidance on our fair value disclosures.</w:t>
      </w:r>
    </w:p>
    <w:p>
      <w:pPr>
        <w:spacing w:after="0" w:line="72"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Internal-Use Software. </w:t>
      </w:r>
      <w:r>
        <w:rPr>
          <w:rFonts w:ascii="Times New Roman" w:cs="Times New Roman" w:eastAsia="Times New Roman" w:hAnsi="Times New Roman"/>
          <w:sz w:val="18"/>
          <w:szCs w:val="18"/>
          <w:color w:val="auto"/>
        </w:rPr>
        <w:t>In August 2018, the FASB issued ASU 2018-15,</w:t>
      </w:r>
      <w:r>
        <w:rPr>
          <w:rFonts w:ascii="Times New Roman" w:cs="Times New Roman" w:eastAsia="Times New Roman" w:hAnsi="Times New Roman"/>
          <w:sz w:val="18"/>
          <w:szCs w:val="18"/>
          <w:i w:val="1"/>
          <w:iCs w:val="1"/>
          <w:color w:val="auto"/>
        </w:rPr>
        <w:t xml:space="preserve"> Intangibles - Goodwill and Other - Internal-Use Software: Customer’s Accounting for Implementation Costs Incurred in a Cloud Computing Arrangement That Is a Service Contract (a consensus of the FASB Emerging Issues Task Force), </w:t>
      </w:r>
      <w:r>
        <w:rPr>
          <w:rFonts w:ascii="Times New Roman" w:cs="Times New Roman" w:eastAsia="Times New Roman" w:hAnsi="Times New Roman"/>
          <w:sz w:val="18"/>
          <w:szCs w:val="18"/>
          <w:color w:val="auto"/>
        </w:rPr>
        <w:t>that provides guidance on a customer’s accounting for implementation, set-up, and other upfront costs incurred in a cloud computing arrangement that is hosted by the vendor. Under the new guidance, customers will apply the same criteria for capitalizing implementation costs as they would for an arrangement that has a software license. ASU 2018-15 is effective for us on January 1, 2020, using either a prospective or retrospective approach and with early adoption permitted. We are in the process of evaluating the effects of this guidance on our financial statements.</w:t>
      </w:r>
    </w:p>
    <w:p>
      <w:pPr>
        <w:spacing w:after="0" w:line="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In June 2016, the FASB issued ASU 2016-13,</w:t>
      </w:r>
      <w:r>
        <w:rPr>
          <w:rFonts w:ascii="Times New Roman" w:cs="Times New Roman" w:eastAsia="Times New Roman" w:hAnsi="Times New Roman"/>
          <w:sz w:val="18"/>
          <w:szCs w:val="18"/>
          <w:i w:val="1"/>
          <w:iCs w:val="1"/>
          <w:color w:val="auto"/>
        </w:rPr>
        <w:t xml:space="preserve"> Financial Instruments-Credit Losses (Topic 326): Measurement of Credit Losses on Financial Instruments</w:t>
      </w:r>
      <w:r>
        <w:rPr>
          <w:rFonts w:ascii="Times New Roman" w:cs="Times New Roman" w:eastAsia="Times New Roman" w:hAnsi="Times New Roman"/>
          <w:sz w:val="18"/>
          <w:szCs w:val="18"/>
          <w:color w:val="auto"/>
        </w:rPr>
        <w:t>, which modifies the measurement of expected credit losses on certain financial instruments and the timing of when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losses are recorded. ASU 2016-13 is effective for us on January 1, 2020, using a modified retrospective approach, with early adoption permitted. We are in the process of evaluating the effects of this guidance on our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Acquisitions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Paragon Medical, Inc.</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May 7, 2018, we acquired 100% of the stock of PMG Intermediate Holding Corporation, the parent company of Paragon Medical, Inc. (“Paragon Medical”). For accounting purposes, Paragon Medical meets the definition of a business and has been accounted for as a business combination. Paragon Medical is a medical device manufacturer that focuses on the orthopedic, case and tray, implant, and instrument markets. This acquisition continues our strategic focus to expand our Life Sciences portfolio as well as create a balanced business by diversifying our products and finished device offerings. We have finalized the purchase price allocation and recorded measurement period adjustments to the initial allocation as disclosed in our 2018 Annual Report.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Beginning May 7, 2018, our consolidated results of operations include the results of Paragon Medical.</w:t>
      </w:r>
    </w:p>
    <w:p>
      <w:pPr>
        <w:spacing w:after="0" w:line="11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unaudited pro forma financial results shown in the table below for the three and six months ended June 30, 2018, combine the consolidated results of NN and Paragon Medical giving effect to the Paragon Medical acquisition as if it had been completed on January 1, 2017. The unaudited pro forma financial results do not give effect to any of our other acquisitions that occurred after January 1, 2017, and do not include any anticipated synergies or other assumed benefits of the Paragon Medical acquisition. This unaudited pro forma financial information is presented for informational purposes only and is not indicative of future operations or results had the Paragon Medical acquisition been completed as of January 1, 2017.</w:t>
      </w:r>
    </w:p>
    <w:p>
      <w:pPr>
        <w:spacing w:after="0" w:line="76"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unaudited pro forma financial results include certain adjustments for debt service costs and additional depreciation and amortization expense based upon the fair value step-up and estimated useful lives of Paragon Medical depreciable fixed assets and definite-life amortizable assets acquired. The provision for income taxes has also been adjusted for all periods, based upon the foregoing adjustments to historical results.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160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5"/>
        </w:trPr>
        <w:tc>
          <w:tcPr>
            <w:tcW w:w="3760" w:type="dxa"/>
            <w:vAlign w:val="bottom"/>
            <w:tcBorders>
              <w:bottom w:val="single" w:sz="8" w:color="CCEEFF"/>
            </w:tcBorders>
          </w:tcPr>
          <w:p>
            <w:pPr>
              <w:spacing w:after="0"/>
              <w:rPr>
                <w:sz w:val="16"/>
                <w:szCs w:val="16"/>
                <w:color w:val="auto"/>
              </w:rPr>
            </w:pPr>
          </w:p>
        </w:tc>
        <w:tc>
          <w:tcPr>
            <w:tcW w:w="39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June 30, 2018</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June 30, 2018</w:t>
            </w:r>
          </w:p>
        </w:tc>
      </w:tr>
      <w:tr>
        <w:trPr>
          <w:trHeight w:val="249"/>
        </w:trPr>
        <w:tc>
          <w:tcPr>
            <w:tcW w:w="3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 forma net sales</w:t>
            </w:r>
          </w:p>
        </w:tc>
        <w:tc>
          <w:tcPr>
            <w:tcW w:w="4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210,902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420,731</w:t>
            </w:r>
          </w:p>
        </w:tc>
      </w:tr>
      <w:tr>
        <w:trPr>
          <w:trHeight w:val="243"/>
        </w:trPr>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 forma net loss</w:t>
            </w:r>
          </w:p>
        </w:tc>
        <w:tc>
          <w:tcPr>
            <w:tcW w:w="4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(20,078)</w:t>
            </w:r>
          </w:p>
        </w:tc>
      </w:tr>
      <w:tr>
        <w:trPr>
          <w:trHeight w:val="27"/>
        </w:trPr>
        <w:tc>
          <w:tcPr>
            <w:tcW w:w="37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net loss per share</w:t>
            </w:r>
          </w:p>
        </w:tc>
        <w:tc>
          <w:tcPr>
            <w:tcW w:w="4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(0.73)</w:t>
            </w:r>
          </w:p>
        </w:tc>
      </w:tr>
      <w:tr>
        <w:trPr>
          <w:trHeight w:val="243"/>
        </w:trPr>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net loss per share</w:t>
            </w:r>
          </w:p>
        </w:tc>
        <w:tc>
          <w:tcPr>
            <w:tcW w:w="4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(0.73)</w:t>
            </w:r>
          </w:p>
        </w:tc>
      </w:tr>
      <w:tr>
        <w:trPr>
          <w:trHeight w:val="486"/>
        </w:trPr>
        <w:tc>
          <w:tcPr>
            <w:tcW w:w="3760" w:type="dxa"/>
            <w:vAlign w:val="bottom"/>
          </w:tcPr>
          <w:p>
            <w:pPr>
              <w:spacing w:after="0"/>
              <w:rPr>
                <w:sz w:val="24"/>
                <w:szCs w:val="24"/>
                <w:color w:val="auto"/>
              </w:rPr>
            </w:pPr>
          </w:p>
        </w:tc>
        <w:tc>
          <w:tcPr>
            <w:tcW w:w="3900" w:type="dxa"/>
            <w:vAlign w:val="bottom"/>
          </w:tcPr>
          <w:p>
            <w:pPr>
              <w:jc w:val="right"/>
              <w:ind w:right="1810"/>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Acquisitions</w:t>
      </w:r>
    </w:p>
    <w:p>
      <w:pPr>
        <w:spacing w:after="0" w:line="11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Bridgemedica, LLC. </w:t>
      </w:r>
      <w:r>
        <w:rPr>
          <w:rFonts w:ascii="Times New Roman" w:cs="Times New Roman" w:eastAsia="Times New Roman" w:hAnsi="Times New Roman"/>
          <w:sz w:val="18"/>
          <w:szCs w:val="18"/>
          <w:color w:val="auto"/>
        </w:rPr>
        <w:t>On February 22, 2018, we completed the acquisition of 100% of the assets of Bridgemedica, LLC (“Bridgemedica”). For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purposes, Bridgemedica meets the definition of a business and has been accounted for as a business combination. Bridgemedica is a medical device company that provides concept to supply solutions through design, development engineering, and manufacturing. Operating results of Bridgemedica are reported in our Life Sciences group after the acquisition date. We have finalized the purchase price allocation with no material changes to the initial allocation.</w:t>
      </w:r>
    </w:p>
    <w:p>
      <w:pPr>
        <w:spacing w:after="0" w:line="72"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Southern California Technical Arts, Inc. </w:t>
      </w:r>
      <w:r>
        <w:rPr>
          <w:rFonts w:ascii="Times New Roman" w:cs="Times New Roman" w:eastAsia="Times New Roman" w:hAnsi="Times New Roman"/>
          <w:sz w:val="18"/>
          <w:szCs w:val="18"/>
          <w:color w:val="auto"/>
        </w:rPr>
        <w:t>On August 9, 2018, we completed the acquisition of 100% of the capital stock of Southern California Technical Arts,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 (“Technical Arts”). For accounting purposes, Technical Arts meets the definition of a business and has been accounted for as a business combination. Technical Arts is an industrial machining company that manufactures tight tolerance metal components and assemblies. The acquisition of Technical Arts expands our presence in the aerospace and defense end market. Operating results of Technical Arts are reported in our Power Solutions group after the acquisition date. We have completed a preliminary purchase price allocation and are in the process of finalizing the fair value of assets acquired and liabilities assumed.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Segment Information</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determined our reportable segments under the provisions of U.S. GAAP related to disclosures about segments of an enterprise. Management has concluded that Mobile Solutions, which is focused on growth in the general industrial and automotive end markets; Power Solutions, which is focused on growth in the electrical and aerospace and defense end markets; and Life Sciences, which is focused on growth in the medical end market, constitute our operating segments. Mobile Solutions, Power Solutions, and Life Sciences are considered operating segments as each engages in business activities for which it earns revenues and incurs expenses, discrete financial information is available for each, and this is the level at which the Chief Operating Decision Maker (“CODM”) reviews discrete financial information for purposes of allocating resources and assessing performance.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Results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results of operations for each reportable segment.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Mobile</w:t>
            </w:r>
          </w:p>
        </w:tc>
        <w:tc>
          <w:tcPr>
            <w:tcW w:w="140" w:type="dxa"/>
            <w:vAlign w:val="bottom"/>
          </w:tcPr>
          <w:p>
            <w:pPr>
              <w:spacing w:after="0"/>
              <w:rPr>
                <w:sz w:val="13"/>
                <w:szCs w:val="13"/>
                <w:color w:val="auto"/>
              </w:rPr>
            </w:pPr>
          </w:p>
        </w:tc>
        <w:tc>
          <w:tcPr>
            <w:tcW w:w="11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220" w:type="dxa"/>
            <w:vAlign w:val="bottom"/>
          </w:tcPr>
          <w:p>
            <w:pPr>
              <w:spacing w:after="0"/>
              <w:rPr>
                <w:sz w:val="13"/>
                <w:szCs w:val="13"/>
                <w:color w:val="auto"/>
              </w:rPr>
            </w:pPr>
          </w:p>
        </w:tc>
        <w:tc>
          <w:tcPr>
            <w:tcW w:w="10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Life</w:t>
            </w:r>
          </w:p>
        </w:tc>
        <w:tc>
          <w:tcPr>
            <w:tcW w:w="200" w:type="dxa"/>
            <w:vAlign w:val="bottom"/>
          </w:tcPr>
          <w:p>
            <w:pPr>
              <w:spacing w:after="0"/>
              <w:rPr>
                <w:sz w:val="13"/>
                <w:szCs w:val="13"/>
                <w:color w:val="auto"/>
              </w:rPr>
            </w:pPr>
          </w:p>
        </w:tc>
        <w:tc>
          <w:tcPr>
            <w:tcW w:w="128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2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Sciences</w:t>
            </w:r>
          </w:p>
        </w:tc>
        <w:tc>
          <w:tcPr>
            <w:tcW w:w="200" w:type="dxa"/>
            <w:vAlign w:val="bottom"/>
          </w:tcPr>
          <w:p>
            <w:pPr>
              <w:spacing w:after="0"/>
              <w:rPr>
                <w:sz w:val="16"/>
                <w:szCs w:val="16"/>
                <w:color w:val="auto"/>
              </w:rPr>
            </w:pPr>
          </w:p>
        </w:tc>
        <w:tc>
          <w:tcPr>
            <w:tcW w:w="128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Consolidations</w:t>
            </w: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20" w:type="dxa"/>
            <w:vAlign w:val="bottom"/>
            <w:tcBorders>
              <w:top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June 30, 2019</w:t>
            </w:r>
          </w:p>
        </w:tc>
        <w:tc>
          <w:tcPr>
            <w:tcW w:w="2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auto"/>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0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79,444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51,393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91,332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221,666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4,092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5,682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9,305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(10,981)</w:t>
            </w:r>
          </w:p>
        </w:tc>
        <w:tc>
          <w:tcPr>
            <w:tcW w:w="6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8,098</w:t>
            </w:r>
          </w:p>
        </w:tc>
        <w:tc>
          <w:tcPr>
            <w:tcW w:w="0" w:type="dxa"/>
            <w:vAlign w:val="bottom"/>
          </w:tcPr>
          <w:p>
            <w:pPr>
              <w:spacing w:after="0"/>
              <w:rPr>
                <w:sz w:val="1"/>
                <w:szCs w:val="1"/>
                <w:color w:val="auto"/>
              </w:rPr>
            </w:pPr>
          </w:p>
        </w:tc>
      </w:tr>
      <w:tr>
        <w:trPr>
          <w:trHeight w:val="243"/>
        </w:trPr>
        <w:tc>
          <w:tcPr>
            <w:tcW w:w="40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5"/>
        </w:trPr>
        <w:tc>
          <w:tcPr>
            <w:tcW w:w="4020" w:type="dxa"/>
            <w:vAlign w:val="bottom"/>
            <w:gridSpan w:val="3"/>
          </w:tcPr>
          <w:p>
            <w:pPr>
              <w:ind w:left="40"/>
              <w:spacing w:after="0" w:line="205" w:lineRule="exact"/>
              <w:rPr>
                <w:sz w:val="20"/>
                <w:szCs w:val="20"/>
                <w:color w:val="auto"/>
              </w:rPr>
            </w:pPr>
            <w:r>
              <w:rPr>
                <w:rFonts w:ascii="Times New Roman" w:cs="Times New Roman" w:eastAsia="Times New Roman" w:hAnsi="Times New Roman"/>
                <w:sz w:val="18"/>
                <w:szCs w:val="18"/>
                <w:color w:val="auto"/>
              </w:rPr>
              <w:t>Loss before provision for income taxes and share of</w:t>
            </w: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(5,917)</w:t>
            </w:r>
          </w:p>
        </w:tc>
        <w:tc>
          <w:tcPr>
            <w:tcW w:w="0" w:type="dxa"/>
            <w:vAlign w:val="bottom"/>
          </w:tcPr>
          <w:p>
            <w:pPr>
              <w:spacing w:after="0"/>
              <w:rPr>
                <w:sz w:val="1"/>
                <w:szCs w:val="1"/>
                <w:color w:val="auto"/>
              </w:rPr>
            </w:pPr>
          </w:p>
        </w:tc>
      </w:tr>
      <w:tr>
        <w:trPr>
          <w:trHeight w:val="281"/>
        </w:trPr>
        <w:tc>
          <w:tcPr>
            <w:tcW w:w="4020" w:type="dxa"/>
            <w:vAlign w:val="bottom"/>
            <w:tcBorders>
              <w:bottom w:val="single" w:sz="8" w:color="CCEEFF"/>
            </w:tcBorders>
            <w:gridSpan w:val="3"/>
          </w:tcPr>
          <w:p>
            <w:pPr>
              <w:ind w:left="40"/>
              <w:spacing w:after="0"/>
              <w:rPr>
                <w:sz w:val="20"/>
                <w:szCs w:val="20"/>
                <w:color w:val="auto"/>
              </w:rPr>
            </w:pPr>
            <w:r>
              <w:rPr>
                <w:rFonts w:ascii="Times New Roman" w:cs="Times New Roman" w:eastAsia="Times New Roman" w:hAnsi="Times New Roman"/>
                <w:sz w:val="18"/>
                <w:szCs w:val="18"/>
                <w:color w:val="auto"/>
              </w:rPr>
              <w:t>net income from joint venture</w:t>
            </w:r>
          </w:p>
        </w:tc>
        <w:tc>
          <w:tcPr>
            <w:tcW w:w="24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vMerge w:val="continue"/>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0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June 30, 2018</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auto"/>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0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88,079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49,820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59,153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196,349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7,380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2,041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(15,713)</w:t>
            </w:r>
          </w:p>
        </w:tc>
        <w:tc>
          <w:tcPr>
            <w:tcW w:w="6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43"/>
        </w:trPr>
        <w:tc>
          <w:tcPr>
            <w:tcW w:w="40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(14,825)</w:t>
            </w:r>
          </w:p>
        </w:tc>
        <w:tc>
          <w:tcPr>
            <w:tcW w:w="0" w:type="dxa"/>
            <w:vAlign w:val="bottom"/>
          </w:tcPr>
          <w:p>
            <w:pPr>
              <w:spacing w:after="0"/>
              <w:rPr>
                <w:sz w:val="1"/>
                <w:szCs w:val="1"/>
                <w:color w:val="auto"/>
              </w:rPr>
            </w:pPr>
          </w:p>
        </w:tc>
      </w:tr>
      <w:tr>
        <w:trPr>
          <w:trHeight w:val="205"/>
        </w:trPr>
        <w:tc>
          <w:tcPr>
            <w:tcW w:w="4020" w:type="dxa"/>
            <w:vAlign w:val="bottom"/>
            <w:gridSpan w:val="3"/>
          </w:tcPr>
          <w:p>
            <w:pPr>
              <w:ind w:left="40"/>
              <w:spacing w:after="0" w:line="205" w:lineRule="exact"/>
              <w:rPr>
                <w:sz w:val="20"/>
                <w:szCs w:val="20"/>
                <w:color w:val="auto"/>
              </w:rPr>
            </w:pPr>
            <w:r>
              <w:rPr>
                <w:rFonts w:ascii="Times New Roman" w:cs="Times New Roman" w:eastAsia="Times New Roman" w:hAnsi="Times New Roman"/>
                <w:sz w:val="18"/>
                <w:szCs w:val="18"/>
                <w:color w:val="auto"/>
              </w:rPr>
              <w:t>Loss before benefit for income taxes and share of net</w:t>
            </w: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(31,105)</w:t>
            </w:r>
          </w:p>
        </w:tc>
        <w:tc>
          <w:tcPr>
            <w:tcW w:w="0" w:type="dxa"/>
            <w:vAlign w:val="bottom"/>
          </w:tcPr>
          <w:p>
            <w:pPr>
              <w:spacing w:after="0"/>
              <w:rPr>
                <w:sz w:val="1"/>
                <w:szCs w:val="1"/>
                <w:color w:val="auto"/>
              </w:rPr>
            </w:pPr>
          </w:p>
        </w:tc>
      </w:tr>
      <w:tr>
        <w:trPr>
          <w:trHeight w:val="246"/>
        </w:trPr>
        <w:tc>
          <w:tcPr>
            <w:tcW w:w="40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income from joint venture</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vMerge w:val="restart"/>
          </w:tcPr>
          <w:p>
            <w:pPr>
              <w:jc w:val="right"/>
              <w:ind w:right="695"/>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Mobile</w:t>
            </w:r>
          </w:p>
        </w:tc>
        <w:tc>
          <w:tcPr>
            <w:tcW w:w="200" w:type="dxa"/>
            <w:vAlign w:val="bottom"/>
          </w:tcPr>
          <w:p>
            <w:pPr>
              <w:spacing w:after="0"/>
              <w:rPr>
                <w:sz w:val="13"/>
                <w:szCs w:val="13"/>
                <w:color w:val="auto"/>
              </w:rPr>
            </w:pPr>
          </w:p>
        </w:tc>
        <w:tc>
          <w:tcPr>
            <w:tcW w:w="10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220" w:type="dxa"/>
            <w:vAlign w:val="bottom"/>
          </w:tcPr>
          <w:p>
            <w:pPr>
              <w:spacing w:after="0"/>
              <w:rPr>
                <w:sz w:val="13"/>
                <w:szCs w:val="13"/>
                <w:color w:val="auto"/>
              </w:rPr>
            </w:pPr>
          </w:p>
        </w:tc>
        <w:tc>
          <w:tcPr>
            <w:tcW w:w="10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Life</w:t>
            </w:r>
          </w:p>
        </w:tc>
        <w:tc>
          <w:tcPr>
            <w:tcW w:w="200" w:type="dxa"/>
            <w:vAlign w:val="bottom"/>
          </w:tcPr>
          <w:p>
            <w:pPr>
              <w:spacing w:after="0"/>
              <w:rPr>
                <w:sz w:val="13"/>
                <w:szCs w:val="13"/>
                <w:color w:val="auto"/>
              </w:rPr>
            </w:pPr>
          </w:p>
        </w:tc>
        <w:tc>
          <w:tcPr>
            <w:tcW w:w="128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Pr>
          <w:p>
            <w:pPr>
              <w:spacing w:after="0"/>
              <w:rPr>
                <w:sz w:val="16"/>
                <w:szCs w:val="16"/>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2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Sciences</w:t>
            </w:r>
          </w:p>
        </w:tc>
        <w:tc>
          <w:tcPr>
            <w:tcW w:w="200" w:type="dxa"/>
            <w:vAlign w:val="bottom"/>
          </w:tcPr>
          <w:p>
            <w:pPr>
              <w:spacing w:after="0"/>
              <w:rPr>
                <w:sz w:val="16"/>
                <w:szCs w:val="16"/>
                <w:color w:val="auto"/>
              </w:rPr>
            </w:pPr>
          </w:p>
        </w:tc>
        <w:tc>
          <w:tcPr>
            <w:tcW w:w="128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Consolidations</w:t>
            </w: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20" w:type="dxa"/>
            <w:vAlign w:val="bottom"/>
            <w:tcBorders>
              <w:top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 2019</w:t>
            </w:r>
          </w:p>
        </w:tc>
        <w:tc>
          <w:tcPr>
            <w:tcW w:w="2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auto"/>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0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157,519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101,050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177,340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434,922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8,199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9,506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13,151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(22,157)</w:t>
            </w:r>
          </w:p>
        </w:tc>
        <w:tc>
          <w:tcPr>
            <w:tcW w:w="6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8,699</w:t>
            </w:r>
          </w:p>
        </w:tc>
        <w:tc>
          <w:tcPr>
            <w:tcW w:w="0" w:type="dxa"/>
            <w:vAlign w:val="bottom"/>
          </w:tcPr>
          <w:p>
            <w:pPr>
              <w:spacing w:after="0"/>
              <w:rPr>
                <w:sz w:val="1"/>
                <w:szCs w:val="1"/>
                <w:color w:val="auto"/>
              </w:rPr>
            </w:pPr>
          </w:p>
        </w:tc>
      </w:tr>
      <w:tr>
        <w:trPr>
          <w:trHeight w:val="243"/>
        </w:trPr>
        <w:tc>
          <w:tcPr>
            <w:tcW w:w="40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w:t>
            </w:r>
          </w:p>
        </w:tc>
        <w:tc>
          <w:tcPr>
            <w:tcW w:w="0" w:type="dxa"/>
            <w:vAlign w:val="bottom"/>
          </w:tcPr>
          <w:p>
            <w:pPr>
              <w:spacing w:after="0"/>
              <w:rPr>
                <w:sz w:val="1"/>
                <w:szCs w:val="1"/>
                <w:color w:val="auto"/>
              </w:rPr>
            </w:pPr>
          </w:p>
        </w:tc>
      </w:tr>
      <w:tr>
        <w:trPr>
          <w:trHeight w:val="205"/>
        </w:trPr>
        <w:tc>
          <w:tcPr>
            <w:tcW w:w="4020" w:type="dxa"/>
            <w:vAlign w:val="bottom"/>
            <w:gridSpan w:val="3"/>
          </w:tcPr>
          <w:p>
            <w:pPr>
              <w:ind w:left="40"/>
              <w:spacing w:after="0" w:line="205" w:lineRule="exact"/>
              <w:rPr>
                <w:sz w:val="20"/>
                <w:szCs w:val="20"/>
                <w:color w:val="auto"/>
              </w:rPr>
            </w:pPr>
            <w:r>
              <w:rPr>
                <w:rFonts w:ascii="Times New Roman" w:cs="Times New Roman" w:eastAsia="Times New Roman" w:hAnsi="Times New Roman"/>
                <w:sz w:val="18"/>
                <w:szCs w:val="18"/>
                <w:color w:val="auto"/>
              </w:rPr>
              <w:t>Loss before benefit for income taxes and share of net</w:t>
            </w: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(22,545)</w:t>
            </w:r>
          </w:p>
        </w:tc>
        <w:tc>
          <w:tcPr>
            <w:tcW w:w="0" w:type="dxa"/>
            <w:vAlign w:val="bottom"/>
          </w:tcPr>
          <w:p>
            <w:pPr>
              <w:spacing w:after="0"/>
              <w:rPr>
                <w:sz w:val="1"/>
                <w:szCs w:val="1"/>
                <w:color w:val="auto"/>
              </w:rPr>
            </w:pPr>
          </w:p>
        </w:tc>
      </w:tr>
      <w:tr>
        <w:trPr>
          <w:trHeight w:val="281"/>
        </w:trPr>
        <w:tc>
          <w:tcPr>
            <w:tcW w:w="4020" w:type="dxa"/>
            <w:vAlign w:val="bottom"/>
            <w:tcBorders>
              <w:bottom w:val="single" w:sz="8" w:color="CCEEFF"/>
            </w:tcBorders>
            <w:gridSpan w:val="3"/>
          </w:tcPr>
          <w:p>
            <w:pPr>
              <w:ind w:left="40"/>
              <w:spacing w:after="0"/>
              <w:rPr>
                <w:sz w:val="20"/>
                <w:szCs w:val="20"/>
                <w:color w:val="auto"/>
              </w:rPr>
            </w:pPr>
            <w:r>
              <w:rPr>
                <w:rFonts w:ascii="Times New Roman" w:cs="Times New Roman" w:eastAsia="Times New Roman" w:hAnsi="Times New Roman"/>
                <w:sz w:val="18"/>
                <w:szCs w:val="18"/>
                <w:color w:val="auto"/>
              </w:rPr>
              <w:t>income from joint venture</w:t>
            </w:r>
          </w:p>
        </w:tc>
        <w:tc>
          <w:tcPr>
            <w:tcW w:w="24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vMerge w:val="continue"/>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0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 2018</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auto"/>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0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177,873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98,502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90,353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365,497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17,165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11,233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6,245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(31,242)</w:t>
            </w:r>
          </w:p>
        </w:tc>
        <w:tc>
          <w:tcPr>
            <w:tcW w:w="6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3,401</w:t>
            </w:r>
          </w:p>
        </w:tc>
        <w:tc>
          <w:tcPr>
            <w:tcW w:w="0" w:type="dxa"/>
            <w:vAlign w:val="bottom"/>
          </w:tcPr>
          <w:p>
            <w:pPr>
              <w:spacing w:after="0"/>
              <w:rPr>
                <w:sz w:val="1"/>
                <w:szCs w:val="1"/>
                <w:color w:val="auto"/>
              </w:rPr>
            </w:pPr>
          </w:p>
        </w:tc>
      </w:tr>
      <w:tr>
        <w:trPr>
          <w:trHeight w:val="243"/>
        </w:trPr>
        <w:tc>
          <w:tcPr>
            <w:tcW w:w="40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(14,512)</w:t>
            </w:r>
          </w:p>
        </w:tc>
        <w:tc>
          <w:tcPr>
            <w:tcW w:w="0" w:type="dxa"/>
            <w:vAlign w:val="bottom"/>
          </w:tcPr>
          <w:p>
            <w:pPr>
              <w:spacing w:after="0"/>
              <w:rPr>
                <w:sz w:val="1"/>
                <w:szCs w:val="1"/>
                <w:color w:val="auto"/>
              </w:rPr>
            </w:pPr>
          </w:p>
        </w:tc>
      </w:tr>
      <w:tr>
        <w:trPr>
          <w:trHeight w:val="205"/>
        </w:trPr>
        <w:tc>
          <w:tcPr>
            <w:tcW w:w="4020" w:type="dxa"/>
            <w:vAlign w:val="bottom"/>
            <w:gridSpan w:val="3"/>
          </w:tcPr>
          <w:p>
            <w:pPr>
              <w:ind w:left="40"/>
              <w:spacing w:after="0" w:line="205" w:lineRule="exact"/>
              <w:rPr>
                <w:sz w:val="20"/>
                <w:szCs w:val="20"/>
                <w:color w:val="auto"/>
              </w:rPr>
            </w:pPr>
            <w:r>
              <w:rPr>
                <w:rFonts w:ascii="Times New Roman" w:cs="Times New Roman" w:eastAsia="Times New Roman" w:hAnsi="Times New Roman"/>
                <w:sz w:val="18"/>
                <w:szCs w:val="18"/>
                <w:color w:val="auto"/>
              </w:rPr>
              <w:t>Loss before benefit for income taxes and share of net</w:t>
            </w: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(39,095)</w:t>
            </w:r>
          </w:p>
        </w:tc>
        <w:tc>
          <w:tcPr>
            <w:tcW w:w="0" w:type="dxa"/>
            <w:vAlign w:val="bottom"/>
          </w:tcPr>
          <w:p>
            <w:pPr>
              <w:spacing w:after="0"/>
              <w:rPr>
                <w:sz w:val="1"/>
                <w:szCs w:val="1"/>
                <w:color w:val="auto"/>
              </w:rPr>
            </w:pPr>
          </w:p>
        </w:tc>
      </w:tr>
      <w:tr>
        <w:trPr>
          <w:trHeight w:val="234"/>
        </w:trPr>
        <w:tc>
          <w:tcPr>
            <w:tcW w:w="40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income from joint venture</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6385560</wp:posOffset>
            </wp:positionH>
            <wp:positionV relativeFrom="paragraph">
              <wp:posOffset>8890</wp:posOffset>
            </wp:positionV>
            <wp:extent cx="8661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6385560</wp:posOffset>
            </wp:positionH>
            <wp:positionV relativeFrom="paragraph">
              <wp:posOffset>-95885</wp:posOffset>
            </wp:positionV>
            <wp:extent cx="8661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1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Includes elimination of intersegment transactions occurring during the ordinary course of business.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ind w:right="1134"/>
              <w:spacing w:after="0"/>
              <w:rPr>
                <w:sz w:val="20"/>
                <w:szCs w:val="20"/>
                <w:color w:val="auto"/>
              </w:rPr>
            </w:pPr>
            <w:r>
              <w:rPr>
                <w:rFonts w:ascii="Times New Roman" w:cs="Times New Roman" w:eastAsia="Times New Roman" w:hAnsi="Times New Roman"/>
                <w:sz w:val="14"/>
                <w:szCs w:val="14"/>
                <w:b w:val="1"/>
                <w:bCs w:val="1"/>
                <w:color w:val="auto"/>
              </w:rPr>
              <w:t>Total Assets as of</w:t>
            </w:r>
          </w:p>
        </w:tc>
        <w:tc>
          <w:tcPr>
            <w:tcW w:w="0" w:type="dxa"/>
            <w:vAlign w:val="bottom"/>
          </w:tcPr>
          <w:p>
            <w:pPr>
              <w:spacing w:after="0"/>
              <w:rPr>
                <w:sz w:val="1"/>
                <w:szCs w:val="1"/>
                <w:color w:val="auto"/>
              </w:rPr>
            </w:pPr>
          </w:p>
        </w:tc>
      </w:tr>
      <w:tr>
        <w:trPr>
          <w:trHeight w:val="264"/>
        </w:trPr>
        <w:tc>
          <w:tcPr>
            <w:tcW w:w="42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200" w:type="dxa"/>
            <w:vAlign w:val="bottom"/>
          </w:tcPr>
          <w:p>
            <w:pPr>
              <w:spacing w:after="0"/>
              <w:rPr>
                <w:sz w:val="22"/>
                <w:szCs w:val="22"/>
                <w:color w:val="auto"/>
              </w:rPr>
            </w:pPr>
          </w:p>
        </w:tc>
        <w:tc>
          <w:tcPr>
            <w:tcW w:w="150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249"/>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Mobile Solutions</w:t>
            </w:r>
          </w:p>
        </w:tc>
        <w:tc>
          <w:tcPr>
            <w:tcW w:w="13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396,398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356,387</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Power Solutions</w:t>
            </w:r>
          </w:p>
        </w:tc>
        <w:tc>
          <w:tcPr>
            <w:tcW w:w="1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309,516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297,947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Life Sciences</w:t>
            </w:r>
          </w:p>
        </w:tc>
        <w:tc>
          <w:tcPr>
            <w:tcW w:w="13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815,626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802,770</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and Consolidations</w:t>
            </w:r>
          </w:p>
        </w:tc>
        <w:tc>
          <w:tcPr>
            <w:tcW w:w="1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50,745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44,466</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3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1,572,285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1,501,570</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4. Inventories</w:t>
            </w:r>
          </w:p>
        </w:tc>
        <w:tc>
          <w:tcPr>
            <w:tcW w:w="13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4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Inventories are comprised of the following amounts:</w:t>
            </w:r>
          </w:p>
        </w:tc>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4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200" w:type="dxa"/>
            <w:vAlign w:val="bottom"/>
          </w:tcPr>
          <w:p>
            <w:pPr>
              <w:spacing w:after="0"/>
              <w:rPr>
                <w:sz w:val="24"/>
                <w:szCs w:val="24"/>
                <w:color w:val="auto"/>
              </w:rPr>
            </w:pPr>
          </w:p>
        </w:tc>
        <w:tc>
          <w:tcPr>
            <w:tcW w:w="150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249"/>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Raw materials</w:t>
            </w:r>
          </w:p>
        </w:tc>
        <w:tc>
          <w:tcPr>
            <w:tcW w:w="13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53,789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52,930</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 in process</w:t>
            </w:r>
          </w:p>
        </w:tc>
        <w:tc>
          <w:tcPr>
            <w:tcW w:w="1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49,051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42,578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Finished goods</w:t>
            </w:r>
          </w:p>
        </w:tc>
        <w:tc>
          <w:tcPr>
            <w:tcW w:w="13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25,686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27,107</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inventories</w:t>
            </w:r>
          </w:p>
        </w:tc>
        <w:tc>
          <w:tcPr>
            <w:tcW w:w="1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128,526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122,615</w:t>
            </w:r>
          </w:p>
        </w:tc>
        <w:tc>
          <w:tcPr>
            <w:tcW w:w="0" w:type="dxa"/>
            <w:vAlign w:val="bottom"/>
          </w:tcPr>
          <w:p>
            <w:pPr>
              <w:spacing w:after="0"/>
              <w:rPr>
                <w:sz w:val="1"/>
                <w:szCs w:val="1"/>
                <w:color w:val="auto"/>
              </w:rPr>
            </w:pPr>
          </w:p>
        </w:tc>
      </w:tr>
      <w:tr>
        <w:trPr>
          <w:trHeight w:val="27"/>
        </w:trPr>
        <w:tc>
          <w:tcPr>
            <w:tcW w:w="4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5. Goodwill</w:t>
            </w:r>
          </w:p>
        </w:tc>
        <w:tc>
          <w:tcPr>
            <w:tcW w:w="1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40" w:type="dxa"/>
            <w:vAlign w:val="bottom"/>
            <w:vMerge w:val="continu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4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shows changes in the carrying amount of goodwill.</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240" w:type="dxa"/>
            <w:vAlign w:val="bottom"/>
          </w:tcPr>
          <w:p>
            <w:pPr>
              <w:spacing w:after="0"/>
              <w:rPr>
                <w:sz w:val="24"/>
                <w:szCs w:val="24"/>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Mobile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280" w:type="dxa"/>
            <w:vAlign w:val="bottom"/>
          </w:tcPr>
          <w:p>
            <w:pPr>
              <w:spacing w:after="0"/>
              <w:rPr>
                <w:sz w:val="24"/>
                <w:szCs w:val="24"/>
                <w:color w:val="auto"/>
              </w:rPr>
            </w:pPr>
          </w:p>
        </w:tc>
        <w:tc>
          <w:tcPr>
            <w:tcW w:w="15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200" w:type="dxa"/>
            <w:vAlign w:val="bottom"/>
          </w:tcPr>
          <w:p>
            <w:pPr>
              <w:spacing w:after="0"/>
              <w:rPr>
                <w:sz w:val="24"/>
                <w:szCs w:val="24"/>
                <w:color w:val="auto"/>
              </w:rPr>
            </w:pPr>
          </w:p>
        </w:tc>
        <w:tc>
          <w:tcPr>
            <w:tcW w:w="1500" w:type="dxa"/>
            <w:vAlign w:val="bottom"/>
            <w:vMerge w:val="restart"/>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95"/>
        </w:trPr>
        <w:tc>
          <w:tcPr>
            <w:tcW w:w="424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Sciences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December 31, 2018</w:t>
            </w:r>
          </w:p>
        </w:tc>
        <w:tc>
          <w:tcPr>
            <w:tcW w:w="1300" w:type="dxa"/>
            <w:vAlign w:val="bottom"/>
            <w:tcBorders>
              <w:bottom w:val="single" w:sz="8" w:color="CCEEFF"/>
            </w:tcBorders>
            <w:shd w:val="clear" w:color="auto" w:fill="CCEEFF"/>
          </w:tcPr>
          <w:p>
            <w:pPr>
              <w:jc w:val="right"/>
              <w:ind w:right="109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94,505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344,947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439,452</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Currency impacts/Other</w:t>
            </w:r>
          </w:p>
        </w:tc>
        <w:tc>
          <w:tcPr>
            <w:tcW w:w="1300" w:type="dxa"/>
            <w:vAlign w:val="bottom"/>
          </w:tcPr>
          <w:p>
            <w:pPr>
              <w:spacing w:after="0"/>
              <w:rPr>
                <w:sz w:val="21"/>
                <w:szCs w:val="21"/>
                <w:color w:val="auto"/>
              </w:rPr>
            </w:pPr>
          </w:p>
        </w:tc>
        <w:tc>
          <w:tcPr>
            <w:tcW w:w="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3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June 30, 2019</w:t>
            </w:r>
          </w:p>
        </w:tc>
        <w:tc>
          <w:tcPr>
            <w:tcW w:w="1300" w:type="dxa"/>
            <w:vAlign w:val="bottom"/>
            <w:tcBorders>
              <w:bottom w:val="single" w:sz="8" w:color="CCEEFF"/>
            </w:tcBorders>
            <w:shd w:val="clear" w:color="auto" w:fill="CCEEFF"/>
          </w:tcPr>
          <w:p>
            <w:pPr>
              <w:jc w:val="right"/>
              <w:ind w:right="109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94,701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344,931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439,632</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Based on the closing price of a share of our common stock as of June 30, 2019, our market capitalization was in excess of the net book value of our stockholders’ equity. Subsequent to June 30, 2019, our market capitalization declined to a level less than the net book value of our stockholders’ equity. A prolonged or significant decline in market capitalization could be an indicator of additional goodwill impairment. We will continue to monitor our market capitalization to determine if an indicator of impairment exists in subsequent periods.</w:t>
      </w:r>
    </w:p>
    <w:p>
      <w:pPr>
        <w:sectPr>
          <w:pgSz w:w="11900" w:h="16838" w:orient="portrait"/>
          <w:cols w:equalWidth="0" w:num="1">
            <w:col w:w="11420"/>
          </w:cols>
          <w:pgMar w:left="240" w:top="121" w:right="239"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21" w:right="239" w:bottom="1440" w:gutter="0" w:footer="0" w:header="0"/>
          <w:type w:val="continuous"/>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During 2018, as a result of our annual goodwill impairment analysis performed during the fourth quarter of 2018, we recorded an impairment of $109.1 million in our Power Solutions group. Subsequent to the impairment, at December 31, 2018, Power Solutions reported a goodwill balance of $94.5 million. Given the carrying value of the Power Solutions group was equal to its fair value at December 31, 2018, as a result of the 2018 goodwill impairment, if actual performance of the Power Solutions group falls short of expected results, additional material impairment charges may be required. During the second quarter of 2019, we assessed for triggering events that would signify the need to perform an impairment test and concluded there were no triggering events during the period. We will continue to monitor and assess Power Solutions during 2019.</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Intangible Assets,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changes in the carrying amount of intangible assets, net.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Mobile</w:t>
            </w:r>
          </w:p>
        </w:tc>
        <w:tc>
          <w:tcPr>
            <w:tcW w:w="340" w:type="dxa"/>
            <w:vAlign w:val="bottom"/>
          </w:tcPr>
          <w:p>
            <w:pPr>
              <w:spacing w:after="0"/>
              <w:rPr>
                <w:sz w:val="13"/>
                <w:szCs w:val="13"/>
                <w:color w:val="auto"/>
              </w:rPr>
            </w:pPr>
          </w:p>
        </w:tc>
        <w:tc>
          <w:tcPr>
            <w:tcW w:w="14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9"/>
              </w:rPr>
              <w:t>Power</w:t>
            </w:r>
          </w:p>
        </w:tc>
        <w:tc>
          <w:tcPr>
            <w:tcW w:w="360" w:type="dxa"/>
            <w:vAlign w:val="bottom"/>
          </w:tcPr>
          <w:p>
            <w:pPr>
              <w:spacing w:after="0"/>
              <w:rPr>
                <w:sz w:val="13"/>
                <w:szCs w:val="13"/>
                <w:color w:val="auto"/>
              </w:rPr>
            </w:pP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400" w:type="dxa"/>
            <w:vAlign w:val="bottom"/>
          </w:tcPr>
          <w:p>
            <w:pPr>
              <w:spacing w:after="0"/>
              <w:rPr>
                <w:sz w:val="13"/>
                <w:szCs w:val="13"/>
                <w:color w:val="auto"/>
              </w:rPr>
            </w:pPr>
          </w:p>
        </w:tc>
        <w:tc>
          <w:tcPr>
            <w:tcW w:w="1300" w:type="dxa"/>
            <w:vAlign w:val="bottom"/>
            <w:vMerge w:val="restart"/>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340" w:type="dxa"/>
            <w:vAlign w:val="bottom"/>
          </w:tcPr>
          <w:p>
            <w:pPr>
              <w:spacing w:after="0"/>
              <w:rPr>
                <w:sz w:val="16"/>
                <w:szCs w:val="16"/>
                <w:color w:val="auto"/>
              </w:rPr>
            </w:pPr>
          </w:p>
        </w:tc>
        <w:tc>
          <w:tcPr>
            <w:tcW w:w="14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360" w:type="dxa"/>
            <w:vAlign w:val="bottom"/>
          </w:tcPr>
          <w:p>
            <w:pPr>
              <w:spacing w:after="0"/>
              <w:rPr>
                <w:sz w:val="16"/>
                <w:szCs w:val="16"/>
                <w:color w:val="auto"/>
              </w:rPr>
            </w:pP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Sciences</w:t>
            </w:r>
          </w:p>
        </w:tc>
        <w:tc>
          <w:tcPr>
            <w:tcW w:w="4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December 31, 2018</w:t>
            </w: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35,892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95,991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244,365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376,248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w:t>
            </w:r>
          </w:p>
        </w:tc>
        <w:tc>
          <w:tcPr>
            <w:tcW w:w="3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Currency impacts/Other</w:t>
            </w:r>
          </w:p>
        </w:tc>
        <w:tc>
          <w:tcPr>
            <w:tcW w:w="3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as of June 30, 2019</w:t>
            </w: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34,124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90,494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227,179</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351,797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Investment in Joint Venture</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own a 49% investment in Wuxi Weifu Autocam Precision Machinery Company, Ltd. (the “JV”), a joint venture located in Wuxi, China. The JV is jointly controlled and managed, and we account for it under the equity method.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activity related to our investment in the JV.</w:t>
            </w:r>
          </w:p>
        </w:tc>
        <w:tc>
          <w:tcPr>
            <w:tcW w:w="6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135"/>
        </w:trPr>
        <w:tc>
          <w:tcPr>
            <w:tcW w:w="9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December 31, 2018</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20,364</w:t>
            </w:r>
          </w:p>
        </w:tc>
      </w:tr>
      <w:tr>
        <w:trPr>
          <w:trHeight w:val="243"/>
        </w:trPr>
        <w:tc>
          <w:tcPr>
            <w:tcW w:w="9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 of earnings</w:t>
            </w:r>
          </w:p>
        </w:tc>
        <w:tc>
          <w:tcPr>
            <w:tcW w:w="6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r>
      <w:tr>
        <w:trPr>
          <w:trHeight w:val="27"/>
        </w:trPr>
        <w:tc>
          <w:tcPr>
            <w:tcW w:w="9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translation gain</w:t>
            </w:r>
          </w:p>
        </w:tc>
        <w:tc>
          <w:tcPr>
            <w:tcW w:w="6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7"/>
        </w:trPr>
        <w:tc>
          <w:tcPr>
            <w:tcW w:w="9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as of June 30, 2019</w:t>
            </w:r>
          </w:p>
        </w:tc>
        <w:tc>
          <w:tcPr>
            <w:tcW w:w="60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20,406</w:t>
            </w:r>
          </w:p>
        </w:tc>
      </w:tr>
      <w:tr>
        <w:trPr>
          <w:trHeight w:val="27"/>
        </w:trPr>
        <w:tc>
          <w:tcPr>
            <w:tcW w:w="97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97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During the fourth quarter of 2018, as a result of changing market conditions, the fair value of the JV was assessed and we recorded an impairment of $16.6 million against our investment in the JV. The fair value assessment was significantly affected by changes in our assessment of future growth rates. It is reasonably possible that material deviation of future performance from the estimates used in the 2018 valuation could result in additional impairment to our investment in the JV in subsequent periods. During the second quarter of 2019, we assessed for triggering events that would signify the need to perform an impairment test and concluded there were no triggering events during the period.</w:t>
      </w:r>
    </w:p>
    <w:p>
      <w:pPr>
        <w:spacing w:after="0" w:line="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recognized sales to the JV of less than $0.1 million and $0.1 million during the three and six months ended June 30, 2019, respectively, and $0.1 million and $0.2 million for the three and six months ended June 30, 2018,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Income Taxes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effective tax rate was (9.8)% and (12.5)% for the three months and six months ended June 30, 2019, respectively, and 19.1% and 18.2% for the three months and six months ended June 30, 2018, respectively. Our 2019 effective tax rate differs from the U.S. federal statutory tax rate of 21% principally due to a discrete tax charge of $6.0 million related to final tax regulations published by the Department of the Treasury and Internal Revenue Service on February 4, 2019. The 2019 effective tax rate was also impacted by the minimum tax on global intangible low-tax income (“GILTI”) and earnings outside the United States, which are taxed at different rates than the U.S. federal statutory tax rate of 21%. The effective tax rate for the three months ended June 30, 2019, was primarily impacted by changes in the full year forecast book income (loss) within each jurisdiction in which the Company operates.</w:t>
      </w:r>
    </w:p>
    <w:p>
      <w:pPr>
        <w:spacing w:after="0" w:line="8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Our 2018 effective tax rate differed from the U.S. federal statutory tax rate of 21% due to permanent differences including GILTI and earnings outside the United States, which were taxed at different rates than the U.S. federal statutory rate of 21%.</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Debt</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Collectively, our credit facility is comprised of a term loan with a face amount of $545.0 million, maturing on October 19, 2022 (the “Senior Secured Term Loan”); a term loan with a face amount of $300.0 million, maturing on April 3, 2021 (the Incremental Term Loan”); and a revolving line of credit with a face amount of $110.0 million, maturing on October 19, 2020 (the “Senior Secured Revolver”). The credit facility is collateralized by all of our assets.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debt balances as of June 30, 2019, and December 31, 2018.</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200" w:type="dxa"/>
            <w:vAlign w:val="bottom"/>
          </w:tcPr>
          <w:p>
            <w:pPr>
              <w:spacing w:after="0"/>
              <w:rPr>
                <w:sz w:val="16"/>
                <w:szCs w:val="16"/>
                <w:color w:val="auto"/>
              </w:rPr>
            </w:pPr>
          </w:p>
        </w:tc>
        <w:tc>
          <w:tcPr>
            <w:tcW w:w="150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49"/>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Secured Term Loan</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529,188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532,063</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Incremental Term Loan</w:t>
            </w: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273,000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279,000</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Secured Revolver</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76,382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38,720</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International lines of credit and other loans</w:t>
            </w: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9,683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9,810</w:t>
            </w: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principal</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888,253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859,593</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current maturities of long-term debt</w:t>
            </w: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25,115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31,280</w:t>
            </w: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Principal, net of current portion</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863,138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828,313</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unamortized debt issuance costs</w:t>
            </w: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12,762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16,842</w:t>
            </w: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850,376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811,471</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capitalized interest costs amounting to $0.5 million and $0.3 million in the three months ended June 30, 2019 and 2018, respectively, and $1.1 million and $0.5 million in the six months ended June 30, 2019 and 2018, respectively, related to construction in progress.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Secured Term Loan</w:t>
      </w:r>
    </w:p>
    <w:p>
      <w:pPr>
        <w:spacing w:after="0" w:line="6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Outstanding borrowings under the Senior Secured Term Loan bear interest at the greater of 0.75% or one-month London Interbank Offered Rate (“LIBOR”) plus an applicable margin of 3.75%. At June 30, 2019, the Senior Secured Term Loan bore interest at 6.15%.</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Incremental Term Loan</w:t>
      </w:r>
    </w:p>
    <w:p>
      <w:pPr>
        <w:spacing w:after="0" w:line="6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Outstanding borrowings under the Incremental Term Loan bear interest at one-month LIBOR plus an applicable margin of 3.25%. At June 30, 2019, the Incremental Term Loan bore interest of 5.65%.</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Secured Revolver</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Outstanding borrowings under the Senior Secured Revolver bear interest on a variable rate structure with borrowings bearing interest at either one-month LIBOR plus an applicable margin of 3.50% or the prime lending rate plus an applicable margin of 2.50%. At June 30, 2019, the weighted average interest rate on outstanding borrowings under the Senior Secured Revolver was 6.02%. We pay an annual commitment fee of 0.50% for unused capacity under the Senior Secured Revolver on a quarterly basis.</w:t>
      </w:r>
    </w:p>
    <w:p>
      <w:pPr>
        <w:spacing w:after="0" w:line="7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On March 15, 2019, we amended our existing credit facility (the “March 2019 amendment”) to amend the defined terms within the credit facility. We paid $0.8 million of debt issuance costs related to the March 2019 amendment, which was recorded as a direct reduction to the carrying amount of the associated long-term debt. Additionally, $2.7 million of unamortized debt issuance costs related to the modification of the credit facility were written off.</w:t>
      </w:r>
    </w:p>
    <w:p>
      <w:pPr>
        <w:spacing w:after="0" w:line="6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June 11, 2019, we amended our existing credit facility (the “June 2019 amendment”) to reduce the total available capacity under the Senior Secured Revolver from $125.0 million to $100.0 million, reduce the maximum capacity from $143.0 million to $110.0 million, and modify the consolidated net leverage ratio, as defined in the credit facility agreement, which is utilized for certain financial covenants. We paid $0.2 million of debt issuance costs related to the June 2019 amendment, which was recorded as a direct reduction to the carrying amount of the associated long-term debt.</w:t>
      </w:r>
    </w:p>
    <w:p>
      <w:pPr>
        <w:spacing w:after="0" w:line="7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had $76.4 million outstanding under the Senior Secured Revolver at June 30, 2019. Total capacity under the Senior Secured Revolver was $100.0 million as of June 30, 2019 with $11.5 million available for future borrowings after reductions for outstanding letters of credit and outstanding borrowings as of June 30, 2019. Our credit facility is subject to certain financial covenants based on a consolidated net leverage ratio. The financial covenants are effective when we have outstanding borrowings under our Senior Secured Revolver on the last day of any fiscal quarter, become more restrictive over time, and are dependent upon our operational and financial performance. If our operational or financial performance does not improve in line with our expectations, we may be required to take actions to reduce expenditures and decrease our net indebtedness to maintain compliance in future periods. We were in compliance with all covenants under our credit facility at June 30, 2019.</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Senior Secured Revolver matures on October 19, 2020, which will require us to either extend the maturity date of the Senior Secured Revolver, generate sufficient cash flow through improved operational performance or other means to pay off any outstanding balance on the Senior Secured Revolver or seek additional forms of financing prior to the maturity date. Our ability to restructure or refinance our debt will depend on the condition of the capital markets and our financial condition at such time. If we are unable to extend the maturity date or refinance amounts due under our Senior Secured Revolver, or our operational performance fails to generate sufficient cash flows, we may be required to take additional actions to address our liquidity needs.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Instruments and Hedging Activities</w:t>
      </w:r>
    </w:p>
    <w:p>
      <w:pPr>
        <w:spacing w:after="0" w:line="11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 February 2019, we entered into a $700.0 million amortizing notional amount fixed-rate interest rate swap agreement to manage the interest rate risk associated with our long-term variable-rate debt until 2022. The fixed-rate interest rate swap agreement calls for us to receive interest monthly at a variable rate equal to one-month LIBOR and to pay interest monthly at a fixed rate of 2.4575%. Refer to Note 16 for further discussion of the interest rate swap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Leases</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adopted ASC 842 on January 1, 2019, and elected the modified retrospective approach in which the new standard is applied to all leases existing at the date of adoption through a cumulative-effect adjustment of less than $0.1 million to retained deficit. Consequently, financial information is not updated, and the disclosures required under the new standard are not provided for periods prior to January 1, 2019. As part of the adoption, we elected the package of practical expedients, the short-term lease exemption, and the practical expedient to not separate lease and non-lease components permitted within ASC 842. Accordingly, we accounted for our existing operating leases as operating leases under the new standard, without reassessing (a) whether the contracts contain a lease under ASC 842, (b) whether classification of the operating leases would be different in accordance with ASC 842, or (c) whether any unamortized initial direct costs would have met the definition of initial direct costs in ASC 842 at lease commencement.</w:t>
      </w:r>
    </w:p>
    <w:p>
      <w:pPr>
        <w:spacing w:after="0" w:line="8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determine whether an arrangement is a lease at inception. Right-of-use (“ROU”) lease assets represent our right to use an underlying asset for the lease term, and lease obligations represent our obligation to make lease payments arising from the lease. ROU lease assets and obligations are recognized at the lease commencement date based on the present value of lease payments over the lease term. When the implicit rate is not readily determinable, we use the estimated incremental borrowing rate based on the information available at the lease commencement date in determining the present value of lease payments. The lease terms may include options to extend or terminate the lease when it is reasonably certain that we will exercise that option. Amortization of ROU lease assets is recognized in expense on a straight-line basis over the lease term.</w:t>
      </w:r>
    </w:p>
    <w:p>
      <w:pPr>
        <w:spacing w:after="0" w:line="80"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Short-term leases are leases having a term of twelve months or less. We recognize short-term leases on a straight-line basis and do not record a related lease asset or liability for such leases. Finance lease ROU assets consist of equipment used in the manufacturing process with terms between thirteen months and five years. Operating lease ROU assets consist of the following:</w:t>
      </w:r>
    </w:p>
    <w:p>
      <w:pPr>
        <w:spacing w:after="0" w:line="68"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used in the manufacturing process as well as office equipment with terms between thirteen months and five years; and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plants and office facilities with terms between thirteen months and 25 years.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components of lease expense for the three and six months ended June 30, 2019:</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3760" w:type="dxa"/>
            <w:vAlign w:val="bottom"/>
            <w:gridSpan w:val="2"/>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Financial Statement Line Item</w:t>
            </w:r>
          </w:p>
        </w:tc>
        <w:tc>
          <w:tcPr>
            <w:tcW w:w="19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June</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95"/>
        </w:trPr>
        <w:tc>
          <w:tcPr>
            <w:tcW w:w="3900" w:type="dxa"/>
            <w:vAlign w:val="bottom"/>
          </w:tcPr>
          <w:p>
            <w:pPr>
              <w:spacing w:after="0"/>
              <w:rPr>
                <w:sz w:val="16"/>
                <w:szCs w:val="16"/>
                <w:color w:val="auto"/>
              </w:rPr>
            </w:pPr>
          </w:p>
        </w:tc>
        <w:tc>
          <w:tcPr>
            <w:tcW w:w="376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142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30, 2019</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49"/>
        </w:trPr>
        <w:tc>
          <w:tcPr>
            <w:tcW w:w="3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 cost:</w:t>
            </w:r>
          </w:p>
        </w:tc>
        <w:tc>
          <w:tcPr>
            <w:tcW w:w="3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lease cost</w:t>
            </w:r>
          </w:p>
        </w:tc>
        <w:tc>
          <w:tcPr>
            <w:tcW w:w="3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361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683</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expense</w:t>
            </w: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40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900" w:type="dxa"/>
            <w:vAlign w:val="bottom"/>
            <w:shd w:val="clear" w:color="auto" w:fill="CCEEFF"/>
          </w:tcPr>
          <w:p>
            <w:pPr>
              <w:spacing w:after="0"/>
              <w:rPr>
                <w:sz w:val="19"/>
                <w:szCs w:val="19"/>
                <w:color w:val="auto"/>
              </w:rPr>
            </w:pPr>
          </w:p>
        </w:tc>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 and selling, general and</w:t>
            </w: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cost</w:t>
            </w:r>
          </w:p>
        </w:tc>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 expense</w:t>
            </w:r>
          </w:p>
        </w:tc>
        <w:tc>
          <w:tcPr>
            <w:tcW w:w="4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3,398</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6,833</w:t>
            </w:r>
          </w:p>
        </w:tc>
        <w:tc>
          <w:tcPr>
            <w:tcW w:w="0" w:type="dxa"/>
            <w:vAlign w:val="bottom"/>
          </w:tcPr>
          <w:p>
            <w:pPr>
              <w:spacing w:after="0"/>
              <w:rPr>
                <w:sz w:val="1"/>
                <w:szCs w:val="1"/>
                <w:color w:val="auto"/>
              </w:rPr>
            </w:pPr>
          </w:p>
        </w:tc>
      </w:tr>
      <w:tr>
        <w:trPr>
          <w:trHeight w:val="225"/>
        </w:trPr>
        <w:tc>
          <w:tcPr>
            <w:tcW w:w="3900" w:type="dxa"/>
            <w:vAlign w:val="bottom"/>
          </w:tcPr>
          <w:p>
            <w:pPr>
              <w:spacing w:after="0"/>
              <w:rPr>
                <w:sz w:val="19"/>
                <w:szCs w:val="19"/>
                <w:color w:val="auto"/>
              </w:rPr>
            </w:pPr>
          </w:p>
        </w:tc>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 and selling, general and</w:t>
            </w: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900" w:type="dxa"/>
            <w:vAlign w:val="bottom"/>
            <w:tcBorders>
              <w:bottom w:val="single" w:sz="8" w:color="CCEEFF"/>
            </w:tcBorders>
          </w:tcPr>
          <w:p>
            <w:pPr>
              <w:ind w:left="180"/>
              <w:spacing w:after="0" w:line="262" w:lineRule="exact"/>
              <w:rPr>
                <w:sz w:val="20"/>
                <w:szCs w:val="20"/>
                <w:color w:val="auto"/>
              </w:rPr>
            </w:pPr>
            <w:r>
              <w:rPr>
                <w:rFonts w:ascii="Times New Roman" w:cs="Times New Roman" w:eastAsia="Times New Roman" w:hAnsi="Times New Roman"/>
                <w:sz w:val="18"/>
                <w:szCs w:val="18"/>
                <w:color w:val="auto"/>
              </w:rPr>
              <w:t xml:space="preserve">Short-term lease cost </w:t>
            </w:r>
            <w:r>
              <w:rPr>
                <w:rFonts w:ascii="Times New Roman" w:cs="Times New Roman" w:eastAsia="Times New Roman" w:hAnsi="Times New Roman"/>
                <w:sz w:val="25"/>
                <w:szCs w:val="25"/>
                <w:color w:val="auto"/>
                <w:vertAlign w:val="superscript"/>
              </w:rPr>
              <w:t>(1)</w:t>
            </w:r>
          </w:p>
        </w:tc>
        <w:tc>
          <w:tcPr>
            <w:tcW w:w="3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administrative expense</w:t>
            </w:r>
          </w:p>
        </w:tc>
        <w:tc>
          <w:tcPr>
            <w:tcW w:w="4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57"/>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lease cost</w:t>
            </w:r>
          </w:p>
        </w:tc>
        <w:tc>
          <w:tcPr>
            <w:tcW w:w="3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3,920</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7,836</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_______________________________</w:t>
            </w: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900" w:type="dxa"/>
            <w:vAlign w:val="bottom"/>
            <w:vMerge w:val="continue"/>
          </w:tcPr>
          <w:p>
            <w:pPr>
              <w:spacing w:after="0"/>
              <w:rPr>
                <w:sz w:val="13"/>
                <w:szCs w:val="13"/>
                <w:color w:val="auto"/>
              </w:rPr>
            </w:pPr>
          </w:p>
        </w:tc>
        <w:tc>
          <w:tcPr>
            <w:tcW w:w="3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5620" w:right="5460" w:hanging="5288"/>
        <w:spacing w:after="0" w:line="492" w:lineRule="auto"/>
        <w:tabs>
          <w:tab w:leader="none" w:pos="58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Excludes expenses related to leases with a lease term of one month or less. 14</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lease-related assets and liabilities recorded on the balance sheet as of June 30, 2019:</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0" w:type="dxa"/>
            <w:vAlign w:val="bottom"/>
            <w:tcBorders>
              <w:bottom w:val="single" w:sz="8" w:color="CCEEFF"/>
            </w:tcBorders>
          </w:tcPr>
          <w:p>
            <w:pPr>
              <w:spacing w:after="0"/>
              <w:rPr>
                <w:sz w:val="16"/>
                <w:szCs w:val="16"/>
                <w:color w:val="auto"/>
              </w:rPr>
            </w:pPr>
          </w:p>
        </w:tc>
        <w:tc>
          <w:tcPr>
            <w:tcW w:w="3820" w:type="dxa"/>
            <w:vAlign w:val="bottom"/>
            <w:tcBorders>
              <w:bottom w:val="single" w:sz="8" w:color="CCEEFF"/>
            </w:tcBorders>
          </w:tcPr>
          <w:p>
            <w:pPr>
              <w:spacing w:after="0"/>
              <w:rPr>
                <w:sz w:val="16"/>
                <w:szCs w:val="16"/>
                <w:color w:val="auto"/>
              </w:rPr>
            </w:pPr>
          </w:p>
        </w:tc>
        <w:tc>
          <w:tcPr>
            <w:tcW w:w="480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4"/>
                <w:szCs w:val="14"/>
                <w:b w:val="1"/>
                <w:bCs w:val="1"/>
                <w:color w:val="auto"/>
              </w:rPr>
              <w:t>Financial Statement Line Item</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0" w:type="dxa"/>
            <w:vAlign w:val="bottom"/>
          </w:tcPr>
          <w:p>
            <w:pPr>
              <w:spacing w:after="0"/>
              <w:rPr>
                <w:sz w:val="1"/>
                <w:szCs w:val="1"/>
                <w:color w:val="auto"/>
              </w:rPr>
            </w:pPr>
          </w:p>
        </w:tc>
      </w:tr>
      <w:tr>
        <w:trPr>
          <w:trHeight w:val="249"/>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 assets and liabilities:</w:t>
            </w:r>
          </w:p>
        </w:tc>
        <w:tc>
          <w:tcPr>
            <w:tcW w:w="4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4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Operating lease assets</w:t>
            </w:r>
          </w:p>
        </w:tc>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65,300</w:t>
            </w:r>
          </w:p>
        </w:tc>
        <w:tc>
          <w:tcPr>
            <w:tcW w:w="0" w:type="dxa"/>
            <w:vAlign w:val="bottom"/>
          </w:tcPr>
          <w:p>
            <w:pPr>
              <w:spacing w:after="0"/>
              <w:rPr>
                <w:sz w:val="1"/>
                <w:szCs w:val="1"/>
                <w:color w:val="auto"/>
              </w:rPr>
            </w:pPr>
          </w:p>
        </w:tc>
      </w:tr>
      <w:tr>
        <w:trPr>
          <w:trHeight w:val="243"/>
        </w:trPr>
        <w:tc>
          <w:tcPr>
            <w:tcW w:w="44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Finance lease assets</w:t>
            </w: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13,534</w:t>
            </w:r>
          </w:p>
        </w:tc>
        <w:tc>
          <w:tcPr>
            <w:tcW w:w="0" w:type="dxa"/>
            <w:vAlign w:val="bottom"/>
          </w:tcPr>
          <w:p>
            <w:pPr>
              <w:spacing w:after="0"/>
              <w:rPr>
                <w:sz w:val="1"/>
                <w:szCs w:val="1"/>
                <w:color w:val="auto"/>
              </w:rPr>
            </w:pPr>
          </w:p>
        </w:tc>
      </w:tr>
      <w:tr>
        <w:trPr>
          <w:trHeight w:val="27"/>
        </w:trPr>
        <w:tc>
          <w:tcPr>
            <w:tcW w:w="66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lease assets</w:t>
            </w:r>
          </w:p>
        </w:tc>
        <w:tc>
          <w:tcPr>
            <w:tcW w:w="4800" w:type="dxa"/>
            <w:vAlign w:val="bottom"/>
            <w:shd w:val="clear" w:color="auto" w:fill="CCEEFF"/>
          </w:tcPr>
          <w:p>
            <w:pPr>
              <w:spacing w:after="0"/>
              <w:rPr>
                <w:sz w:val="22"/>
                <w:szCs w:val="22"/>
                <w:color w:val="auto"/>
              </w:rPr>
            </w:pPr>
          </w:p>
        </w:tc>
        <w:tc>
          <w:tcPr>
            <w:tcW w:w="42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78,834</w:t>
            </w:r>
          </w:p>
        </w:tc>
        <w:tc>
          <w:tcPr>
            <w:tcW w:w="0" w:type="dxa"/>
            <w:vAlign w:val="bottom"/>
          </w:tcPr>
          <w:p>
            <w:pPr>
              <w:spacing w:after="0"/>
              <w:rPr>
                <w:sz w:val="1"/>
                <w:szCs w:val="1"/>
                <w:color w:val="auto"/>
              </w:rPr>
            </w:pPr>
          </w:p>
        </w:tc>
      </w:tr>
      <w:tr>
        <w:trPr>
          <w:trHeight w:val="20"/>
        </w:trPr>
        <w:tc>
          <w:tcPr>
            <w:tcW w:w="66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4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Current liabilities</w:t>
            </w:r>
          </w:p>
        </w:tc>
        <w:tc>
          <w:tcPr>
            <w:tcW w:w="4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4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7,272</w:t>
            </w:r>
          </w:p>
        </w:tc>
        <w:tc>
          <w:tcPr>
            <w:tcW w:w="0" w:type="dxa"/>
            <w:vAlign w:val="bottom"/>
          </w:tcPr>
          <w:p>
            <w:pPr>
              <w:spacing w:after="0"/>
              <w:rPr>
                <w:sz w:val="1"/>
                <w:szCs w:val="1"/>
                <w:color w:val="auto"/>
              </w:rPr>
            </w:pPr>
          </w:p>
        </w:tc>
      </w:tr>
      <w:tr>
        <w:trPr>
          <w:trHeight w:val="243"/>
        </w:trPr>
        <w:tc>
          <w:tcPr>
            <w:tcW w:w="44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2,331</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Non-current liabilities</w:t>
            </w:r>
          </w:p>
        </w:tc>
        <w:tc>
          <w:tcPr>
            <w:tcW w:w="4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64,152</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6,376</w:t>
            </w:r>
          </w:p>
        </w:tc>
        <w:tc>
          <w:tcPr>
            <w:tcW w:w="0" w:type="dxa"/>
            <w:vAlign w:val="bottom"/>
          </w:tcPr>
          <w:p>
            <w:pPr>
              <w:spacing w:after="0"/>
              <w:rPr>
                <w:sz w:val="1"/>
                <w:szCs w:val="1"/>
                <w:color w:val="auto"/>
              </w:rPr>
            </w:pPr>
          </w:p>
        </w:tc>
      </w:tr>
      <w:tr>
        <w:trPr>
          <w:trHeight w:val="257"/>
        </w:trPr>
        <w:tc>
          <w:tcPr>
            <w:tcW w:w="4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lease liabilities</w:t>
            </w:r>
          </w:p>
        </w:tc>
        <w:tc>
          <w:tcPr>
            <w:tcW w:w="4800" w:type="dxa"/>
            <w:vAlign w:val="bottom"/>
          </w:tcPr>
          <w:p>
            <w:pPr>
              <w:spacing w:after="0"/>
              <w:rPr>
                <w:sz w:val="22"/>
                <w:szCs w:val="22"/>
                <w:color w:val="auto"/>
              </w:rPr>
            </w:pPr>
          </w:p>
        </w:tc>
        <w:tc>
          <w:tcPr>
            <w:tcW w:w="200" w:type="dxa"/>
            <w:vAlign w:val="bottom"/>
            <w:gridSpan w:val="2"/>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80,131</w:t>
            </w:r>
          </w:p>
        </w:tc>
        <w:tc>
          <w:tcPr>
            <w:tcW w:w="0" w:type="dxa"/>
            <w:vAlign w:val="bottom"/>
          </w:tcPr>
          <w:p>
            <w:pPr>
              <w:spacing w:after="0"/>
              <w:rPr>
                <w:sz w:val="1"/>
                <w:szCs w:val="1"/>
                <w:color w:val="auto"/>
              </w:rPr>
            </w:pPr>
          </w:p>
        </w:tc>
      </w:tr>
      <w:tr>
        <w:trPr>
          <w:trHeight w:val="20"/>
        </w:trPr>
        <w:tc>
          <w:tcPr>
            <w:tcW w:w="92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The following table contains supplemental information related to leases for the six months ended June 30, 2019:</w:t>
            </w: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928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660" w:type="dxa"/>
            <w:vAlign w:val="bottom"/>
          </w:tcPr>
          <w:p>
            <w:pPr>
              <w:spacing w:after="0"/>
              <w:rPr>
                <w:sz w:val="24"/>
                <w:szCs w:val="24"/>
                <w:color w:val="auto"/>
              </w:rPr>
            </w:pPr>
          </w:p>
        </w:tc>
        <w:tc>
          <w:tcPr>
            <w:tcW w:w="3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Cash Flows Information</w:t>
            </w:r>
          </w:p>
        </w:tc>
        <w:tc>
          <w:tcPr>
            <w:tcW w:w="4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5"/>
        </w:trPr>
        <w:tc>
          <w:tcPr>
            <w:tcW w:w="660" w:type="dxa"/>
            <w:vAlign w:val="bottom"/>
          </w:tcPr>
          <w:p>
            <w:pPr>
              <w:spacing w:after="0"/>
              <w:rPr>
                <w:sz w:val="16"/>
                <w:szCs w:val="16"/>
                <w:color w:val="auto"/>
              </w:rPr>
            </w:pPr>
          </w:p>
        </w:tc>
        <w:tc>
          <w:tcPr>
            <w:tcW w:w="3820" w:type="dxa"/>
            <w:vAlign w:val="bottom"/>
            <w:tcBorders>
              <w:bottom w:val="single" w:sz="8" w:color="CCEEFF"/>
            </w:tcBorders>
            <w:vMerge w:val="continue"/>
          </w:tcPr>
          <w:p>
            <w:pPr>
              <w:spacing w:after="0"/>
              <w:rPr>
                <w:sz w:val="16"/>
                <w:szCs w:val="16"/>
                <w:color w:val="auto"/>
              </w:rPr>
            </w:pPr>
          </w:p>
        </w:tc>
        <w:tc>
          <w:tcPr>
            <w:tcW w:w="48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0" w:type="dxa"/>
            <w:vAlign w:val="bottom"/>
          </w:tcPr>
          <w:p>
            <w:pPr>
              <w:spacing w:after="0"/>
              <w:rPr>
                <w:sz w:val="1"/>
                <w:szCs w:val="1"/>
                <w:color w:val="auto"/>
              </w:rPr>
            </w:pPr>
          </w:p>
        </w:tc>
      </w:tr>
      <w:tr>
        <w:trPr>
          <w:trHeight w:val="249"/>
        </w:trPr>
        <w:tc>
          <w:tcPr>
            <w:tcW w:w="660" w:type="dxa"/>
            <w:vAlign w:val="bottom"/>
          </w:tcPr>
          <w:p>
            <w:pPr>
              <w:spacing w:after="0"/>
              <w:rPr>
                <w:sz w:val="21"/>
                <w:szCs w:val="21"/>
                <w:color w:val="auto"/>
              </w:rPr>
            </w:pPr>
          </w:p>
        </w:tc>
        <w:tc>
          <w:tcPr>
            <w:tcW w:w="8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4800" w:type="dxa"/>
            <w:vAlign w:val="bottom"/>
          </w:tcPr>
          <w:p>
            <w:pPr>
              <w:spacing w:after="0"/>
              <w:rPr>
                <w:sz w:val="21"/>
                <w:szCs w:val="21"/>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1"/>
                <w:szCs w:val="21"/>
                <w:color w:val="auto"/>
              </w:rPr>
            </w:pPr>
          </w:p>
        </w:tc>
        <w:tc>
          <w:tcPr>
            <w:tcW w:w="17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38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4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10,667</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4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1,618</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8620" w:type="dxa"/>
            <w:vAlign w:val="bottom"/>
            <w:gridSpan w:val="2"/>
          </w:tcPr>
          <w:p>
            <w:pPr>
              <w:spacing w:after="0"/>
              <w:rPr>
                <w:sz w:val="2"/>
                <w:szCs w:val="2"/>
                <w:color w:val="auto"/>
              </w:rPr>
            </w:pPr>
          </w:p>
        </w:tc>
        <w:tc>
          <w:tcPr>
            <w:tcW w:w="2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60" w:type="dxa"/>
            <w:vAlign w:val="bottom"/>
          </w:tcPr>
          <w:p>
            <w:pPr>
              <w:spacing w:after="0"/>
              <w:rPr>
                <w:sz w:val="21"/>
                <w:szCs w:val="21"/>
                <w:color w:val="auto"/>
              </w:rPr>
            </w:pPr>
          </w:p>
        </w:tc>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2,878</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3820" w:type="dxa"/>
            <w:vAlign w:val="bottom"/>
            <w:shd w:val="clear" w:color="auto" w:fill="CCEEFF"/>
          </w:tcPr>
          <w:p>
            <w:pPr>
              <w:spacing w:after="0"/>
              <w:rPr>
                <w:sz w:val="2"/>
                <w:szCs w:val="2"/>
                <w:color w:val="auto"/>
              </w:rPr>
            </w:pPr>
          </w:p>
        </w:tc>
        <w:tc>
          <w:tcPr>
            <w:tcW w:w="4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2019, the weighted average remaining lease term and weighted-average discount rate for finance and operating leases was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20" w:type="dxa"/>
            <w:vAlign w:val="bottom"/>
            <w:gridSpan w:val="7"/>
          </w:tcPr>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Weighted-Average Remaining Lease Term</w:t>
            </w:r>
          </w:p>
        </w:tc>
        <w:tc>
          <w:tcPr>
            <w:tcW w:w="34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195"/>
        </w:trPr>
        <w:tc>
          <w:tcPr>
            <w:tcW w:w="5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Borders>
              <w:bottom w:val="single" w:sz="8" w:color="auto"/>
            </w:tcBorders>
            <w:gridSpan w:val="2"/>
          </w:tcPr>
          <w:p>
            <w:pPr>
              <w:jc w:val="center"/>
              <w:ind w:left="1128"/>
              <w:spacing w:after="0"/>
              <w:rPr>
                <w:sz w:val="20"/>
                <w:szCs w:val="20"/>
                <w:color w:val="auto"/>
              </w:rPr>
            </w:pPr>
            <w:r>
              <w:rPr>
                <w:rFonts w:ascii="Times New Roman" w:cs="Times New Roman" w:eastAsia="Times New Roman" w:hAnsi="Times New Roman"/>
                <w:sz w:val="14"/>
                <w:szCs w:val="14"/>
                <w:b w:val="1"/>
                <w:bCs w:val="1"/>
                <w:color w:val="auto"/>
              </w:rPr>
              <w:t>(years)</w:t>
            </w: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tcBorders>
              <w:bottom w:val="single" w:sz="8" w:color="auto"/>
            </w:tcBorders>
            <w:gridSpan w:val="4"/>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Weighted-Average Discount Rate</w:t>
            </w:r>
          </w:p>
        </w:tc>
      </w:tr>
      <w:tr>
        <w:trPr>
          <w:trHeight w:val="242"/>
        </w:trPr>
        <w:tc>
          <w:tcPr>
            <w:tcW w:w="72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Finance leases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7"/>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324"/>
        </w:trPr>
        <w:tc>
          <w:tcPr>
            <w:tcW w:w="7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maturities of lease liabilities in excess of twelve months as of June 30, 2019, is as follows:</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508"/>
        </w:trPr>
        <w:tc>
          <w:tcPr>
            <w:tcW w:w="5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340" w:type="dxa"/>
            <w:vAlign w:val="bottom"/>
          </w:tcPr>
          <w:p>
            <w:pPr>
              <w:spacing w:after="0"/>
              <w:rPr>
                <w:sz w:val="24"/>
                <w:szCs w:val="24"/>
                <w:color w:val="auto"/>
              </w:rPr>
            </w:pPr>
          </w:p>
        </w:tc>
        <w:tc>
          <w:tcPr>
            <w:tcW w:w="172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269"/>
        </w:trPr>
        <w:tc>
          <w:tcPr>
            <w:tcW w:w="5440" w:type="dxa"/>
            <w:vAlign w:val="bottom"/>
            <w:tcBorders>
              <w:top w:val="single" w:sz="8" w:color="auto"/>
            </w:tcBorders>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 xml:space="preserve">2019 </w:t>
            </w:r>
            <w:r>
              <w:rPr>
                <w:rFonts w:ascii="Times New Roman" w:cs="Times New Roman" w:eastAsia="Times New Roman" w:hAnsi="Times New Roman"/>
                <w:sz w:val="25"/>
                <w:szCs w:val="25"/>
                <w:color w:val="auto"/>
                <w:vertAlign w:val="superscript"/>
              </w:rPr>
              <w:t>(1)</w:t>
            </w:r>
          </w:p>
        </w:tc>
        <w:tc>
          <w:tcPr>
            <w:tcW w:w="100" w:type="dxa"/>
            <w:vAlign w:val="bottom"/>
            <w:tcBorders>
              <w:top w:val="single" w:sz="8" w:color="auto"/>
            </w:tcBorders>
            <w:shd w:val="clear" w:color="auto" w:fill="CCEEFF"/>
          </w:tcPr>
          <w:p>
            <w:pPr>
              <w:spacing w:after="0"/>
              <w:rPr>
                <w:sz w:val="23"/>
                <w:szCs w:val="23"/>
                <w:color w:val="auto"/>
              </w:rPr>
            </w:pPr>
          </w:p>
        </w:tc>
        <w:tc>
          <w:tcPr>
            <w:tcW w:w="15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6,612</w:t>
            </w:r>
          </w:p>
        </w:tc>
        <w:tc>
          <w:tcPr>
            <w:tcW w:w="10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1,542</w:t>
            </w:r>
          </w:p>
        </w:tc>
      </w:tr>
      <w:tr>
        <w:trPr>
          <w:trHeight w:val="243"/>
        </w:trPr>
        <w:tc>
          <w:tcPr>
            <w:tcW w:w="5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11,885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2,263</w:t>
            </w:r>
          </w:p>
        </w:tc>
      </w:tr>
      <w:tr>
        <w:trPr>
          <w:trHeight w:val="27"/>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11,025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2,249</w:t>
            </w:r>
          </w:p>
        </w:tc>
      </w:tr>
      <w:tr>
        <w:trPr>
          <w:trHeight w:val="243"/>
        </w:trPr>
        <w:tc>
          <w:tcPr>
            <w:tcW w:w="5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10,768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2,030</w:t>
            </w:r>
          </w:p>
        </w:tc>
      </w:tr>
      <w:tr>
        <w:trPr>
          <w:trHeight w:val="27"/>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9,233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1,118</w:t>
            </w:r>
          </w:p>
        </w:tc>
      </w:tr>
      <w:tr>
        <w:trPr>
          <w:trHeight w:val="243"/>
        </w:trPr>
        <w:tc>
          <w:tcPr>
            <w:tcW w:w="72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Pr>
          <w:p>
            <w:pPr>
              <w:spacing w:after="0"/>
              <w:rPr>
                <w:sz w:val="21"/>
                <w:szCs w:val="21"/>
                <w:color w:val="auto"/>
              </w:rPr>
            </w:pPr>
          </w:p>
        </w:tc>
        <w:tc>
          <w:tcPr>
            <w:tcW w:w="176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57,127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72</w:t>
            </w:r>
          </w:p>
        </w:tc>
      </w:tr>
      <w:tr>
        <w:trPr>
          <w:trHeight w:val="27"/>
        </w:trPr>
        <w:tc>
          <w:tcPr>
            <w:tcW w:w="7080" w:type="dxa"/>
            <w:vAlign w:val="bottom"/>
            <w:tcBorders>
              <w:bottom w:val="single" w:sz="8" w:color="CCEEFF"/>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106,650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9,274</w:t>
            </w:r>
          </w:p>
        </w:tc>
      </w:tr>
      <w:tr>
        <w:trPr>
          <w:trHeight w:val="243"/>
        </w:trPr>
        <w:tc>
          <w:tcPr>
            <w:tcW w:w="72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Less: imputed interest</w:t>
            </w:r>
          </w:p>
        </w:tc>
        <w:tc>
          <w:tcPr>
            <w:tcW w:w="300" w:type="dxa"/>
            <w:vAlign w:val="bottom"/>
          </w:tcPr>
          <w:p>
            <w:pPr>
              <w:spacing w:after="0"/>
              <w:rPr>
                <w:sz w:val="21"/>
                <w:szCs w:val="21"/>
                <w:color w:val="auto"/>
              </w:rPr>
            </w:pPr>
          </w:p>
        </w:tc>
        <w:tc>
          <w:tcPr>
            <w:tcW w:w="176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35,226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567</w:t>
            </w:r>
          </w:p>
        </w:tc>
      </w:tr>
      <w:tr>
        <w:trPr>
          <w:trHeight w:val="27"/>
        </w:trPr>
        <w:tc>
          <w:tcPr>
            <w:tcW w:w="7080" w:type="dxa"/>
            <w:vAlign w:val="bottom"/>
            <w:tcBorders>
              <w:bottom w:val="single" w:sz="8" w:color="CCEEFF"/>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lease liabilities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71,424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8,707</w:t>
            </w:r>
          </w:p>
        </w:tc>
      </w:tr>
      <w:tr>
        <w:trPr>
          <w:trHeight w:val="20"/>
        </w:trPr>
        <w:tc>
          <w:tcPr>
            <w:tcW w:w="5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For the period from July 1, 2019 to December 31, 2019.</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As of June 30, 2019, we have an additional operating lease commitment that has not yet commenced that would require us to pay a total of approximately $21.9 million base rent payments over the lease term of 15 years. This lease is expected to commence during the third quarter of 2020.</w:t>
      </w:r>
    </w:p>
    <w:p>
      <w:pPr>
        <w:spacing w:after="0" w:line="5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future minimum lease payments under operating leases with initial or non-cancelable lease terms in excess of one year prior to adoption of ASC 842 as reported in the 2018 Annual Report.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8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49"/>
        </w:trPr>
        <w:tc>
          <w:tcPr>
            <w:tcW w:w="90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13,337</w:t>
            </w: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11,515</w:t>
            </w:r>
          </w:p>
        </w:tc>
      </w:tr>
      <w:tr>
        <w:trPr>
          <w:trHeight w:val="27"/>
        </w:trPr>
        <w:tc>
          <w:tcPr>
            <w:tcW w:w="9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10,557</w:t>
            </w: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10,293</w:t>
            </w:r>
          </w:p>
        </w:tc>
      </w:tr>
      <w:tr>
        <w:trPr>
          <w:trHeight w:val="27"/>
        </w:trPr>
        <w:tc>
          <w:tcPr>
            <w:tcW w:w="9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8,752</w:t>
            </w:r>
          </w:p>
        </w:tc>
      </w:tr>
      <w:tr>
        <w:trPr>
          <w:trHeight w:val="243"/>
        </w:trPr>
        <w:tc>
          <w:tcPr>
            <w:tcW w:w="9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8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53,945</w:t>
            </w:r>
          </w:p>
        </w:tc>
      </w:tr>
      <w:tr>
        <w:trPr>
          <w:trHeight w:val="27"/>
        </w:trPr>
        <w:tc>
          <w:tcPr>
            <w:tcW w:w="9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9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minimum payments</w:t>
            </w: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108,399</w:t>
            </w:r>
          </w:p>
        </w:tc>
      </w:tr>
      <w:tr>
        <w:trPr>
          <w:trHeight w:val="20"/>
        </w:trPr>
        <w:tc>
          <w:tcPr>
            <w:tcW w:w="9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and six months ended June 30, 2018, we recognized rent expense of $2.4 million and $4.5 million,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Restructuring and Integration</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tables summarize restructuring and integration charges incurred for the three months ended June 30, 2018 and the six months ended June 30, 2019 and 2018. There were no restructuring and integration charges incurred for the three months ended June 30, 2019.</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8"/>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Three Months Ended June 30, 2018</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020" w:type="dxa"/>
            <w:vAlign w:val="bottom"/>
          </w:tcPr>
          <w:p>
            <w:pPr>
              <w:jc w:val="center"/>
              <w:ind w:left="319"/>
              <w:spacing w:after="0" w:line="149" w:lineRule="exact"/>
              <w:rPr>
                <w:sz w:val="20"/>
                <w:szCs w:val="20"/>
                <w:color w:val="auto"/>
              </w:rPr>
            </w:pPr>
            <w:r>
              <w:rPr>
                <w:rFonts w:ascii="Times New Roman" w:cs="Times New Roman" w:eastAsia="Times New Roman" w:hAnsi="Times New Roman"/>
                <w:sz w:val="14"/>
                <w:szCs w:val="14"/>
                <w:b w:val="1"/>
                <w:bCs w:val="1"/>
                <w:color w:val="auto"/>
                <w:w w:val="99"/>
              </w:rPr>
              <w:t>Mobile</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left="259"/>
              <w:spacing w:after="0" w:line="149" w:lineRule="exact"/>
              <w:rPr>
                <w:sz w:val="20"/>
                <w:szCs w:val="20"/>
                <w:color w:val="auto"/>
              </w:rPr>
            </w:pPr>
            <w:r>
              <w:rPr>
                <w:rFonts w:ascii="Times New Roman" w:cs="Times New Roman" w:eastAsia="Times New Roman" w:hAnsi="Times New Roman"/>
                <w:sz w:val="14"/>
                <w:szCs w:val="14"/>
                <w:b w:val="1"/>
                <w:bCs w:val="1"/>
                <w:color w:val="auto"/>
              </w:rPr>
              <w:t>Power</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Life</w:t>
            </w:r>
          </w:p>
        </w:tc>
        <w:tc>
          <w:tcPr>
            <w:tcW w:w="260" w:type="dxa"/>
            <w:vAlign w:val="bottom"/>
          </w:tcPr>
          <w:p>
            <w:pPr>
              <w:spacing w:after="0"/>
              <w:rPr>
                <w:sz w:val="12"/>
                <w:szCs w:val="12"/>
                <w:color w:val="auto"/>
              </w:rPr>
            </w:pPr>
          </w:p>
        </w:tc>
        <w:tc>
          <w:tcPr>
            <w:tcW w:w="15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360" w:type="dxa"/>
            <w:vAlign w:val="bottom"/>
          </w:tcPr>
          <w:p>
            <w:pPr>
              <w:spacing w:after="0"/>
              <w:rPr>
                <w:sz w:val="12"/>
                <w:szCs w:val="12"/>
                <w:color w:val="auto"/>
              </w:rPr>
            </w:pPr>
          </w:p>
        </w:tc>
        <w:tc>
          <w:tcPr>
            <w:tcW w:w="1120" w:type="dxa"/>
            <w:vAlign w:val="bottom"/>
            <w:vMerge w:val="restart"/>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66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ind w:left="319"/>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Sciences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Consolidations</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Severance and other employee costs</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1,596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1,596</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Site closure and other associated costs</w:t>
            </w:r>
          </w:p>
        </w:tc>
        <w:tc>
          <w:tcPr>
            <w:tcW w:w="10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1,596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1,591</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366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8"/>
          </w:tcPr>
          <w:p>
            <w:pPr>
              <w:jc w:val="center"/>
              <w:ind w:right="1280"/>
              <w:spacing w:after="0"/>
              <w:rPr>
                <w:sz w:val="20"/>
                <w:szCs w:val="20"/>
                <w:color w:val="auto"/>
              </w:rPr>
            </w:pPr>
            <w:r>
              <w:rPr>
                <w:rFonts w:ascii="Times New Roman" w:cs="Times New Roman" w:eastAsia="Times New Roman" w:hAnsi="Times New Roman"/>
                <w:sz w:val="14"/>
                <w:szCs w:val="14"/>
                <w:b w:val="1"/>
                <w:bCs w:val="1"/>
                <w:color w:val="auto"/>
              </w:rPr>
              <w:t>Six Months Ended June 30, 2019</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020" w:type="dxa"/>
            <w:vAlign w:val="bottom"/>
          </w:tcPr>
          <w:p>
            <w:pPr>
              <w:jc w:val="center"/>
              <w:ind w:left="319"/>
              <w:spacing w:after="0" w:line="149" w:lineRule="exact"/>
              <w:rPr>
                <w:sz w:val="20"/>
                <w:szCs w:val="20"/>
                <w:color w:val="auto"/>
              </w:rPr>
            </w:pPr>
            <w:r>
              <w:rPr>
                <w:rFonts w:ascii="Times New Roman" w:cs="Times New Roman" w:eastAsia="Times New Roman" w:hAnsi="Times New Roman"/>
                <w:sz w:val="14"/>
                <w:szCs w:val="14"/>
                <w:b w:val="1"/>
                <w:bCs w:val="1"/>
                <w:color w:val="auto"/>
                <w:w w:val="99"/>
              </w:rPr>
              <w:t>Mobile</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left="259"/>
              <w:spacing w:after="0" w:line="149" w:lineRule="exact"/>
              <w:rPr>
                <w:sz w:val="20"/>
                <w:szCs w:val="20"/>
                <w:color w:val="auto"/>
              </w:rPr>
            </w:pPr>
            <w:r>
              <w:rPr>
                <w:rFonts w:ascii="Times New Roman" w:cs="Times New Roman" w:eastAsia="Times New Roman" w:hAnsi="Times New Roman"/>
                <w:sz w:val="14"/>
                <w:szCs w:val="14"/>
                <w:b w:val="1"/>
                <w:bCs w:val="1"/>
                <w:color w:val="auto"/>
              </w:rPr>
              <w:t>Power</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Life</w:t>
            </w:r>
          </w:p>
        </w:tc>
        <w:tc>
          <w:tcPr>
            <w:tcW w:w="260" w:type="dxa"/>
            <w:vAlign w:val="bottom"/>
          </w:tcPr>
          <w:p>
            <w:pPr>
              <w:spacing w:after="0"/>
              <w:rPr>
                <w:sz w:val="12"/>
                <w:szCs w:val="12"/>
                <w:color w:val="auto"/>
              </w:rPr>
            </w:pPr>
          </w:p>
        </w:tc>
        <w:tc>
          <w:tcPr>
            <w:tcW w:w="15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360" w:type="dxa"/>
            <w:vAlign w:val="bottom"/>
          </w:tcPr>
          <w:p>
            <w:pPr>
              <w:spacing w:after="0"/>
              <w:rPr>
                <w:sz w:val="12"/>
                <w:szCs w:val="12"/>
                <w:color w:val="auto"/>
              </w:rPr>
            </w:pPr>
          </w:p>
        </w:tc>
        <w:tc>
          <w:tcPr>
            <w:tcW w:w="1120" w:type="dxa"/>
            <w:vAlign w:val="bottom"/>
            <w:vMerge w:val="restart"/>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66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ind w:left="319"/>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Sciences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Consolidations</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Severance and other employee costs</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Site closure and other associated costs</w:t>
            </w:r>
          </w:p>
        </w:tc>
        <w:tc>
          <w:tcPr>
            <w:tcW w:w="10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0"/>
        </w:trPr>
        <w:tc>
          <w:tcPr>
            <w:tcW w:w="366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8"/>
          </w:tcPr>
          <w:p>
            <w:pPr>
              <w:jc w:val="center"/>
              <w:ind w:right="1280"/>
              <w:spacing w:after="0"/>
              <w:rPr>
                <w:sz w:val="20"/>
                <w:szCs w:val="20"/>
                <w:color w:val="auto"/>
              </w:rPr>
            </w:pPr>
            <w:r>
              <w:rPr>
                <w:rFonts w:ascii="Times New Roman" w:cs="Times New Roman" w:eastAsia="Times New Roman" w:hAnsi="Times New Roman"/>
                <w:sz w:val="14"/>
                <w:szCs w:val="14"/>
                <w:b w:val="1"/>
                <w:bCs w:val="1"/>
                <w:color w:val="auto"/>
              </w:rPr>
              <w:t>Six Months Ended June 30, 2018</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020" w:type="dxa"/>
            <w:vAlign w:val="bottom"/>
          </w:tcPr>
          <w:p>
            <w:pPr>
              <w:jc w:val="center"/>
              <w:ind w:left="319"/>
              <w:spacing w:after="0" w:line="149" w:lineRule="exact"/>
              <w:rPr>
                <w:sz w:val="20"/>
                <w:szCs w:val="20"/>
                <w:color w:val="auto"/>
              </w:rPr>
            </w:pPr>
            <w:r>
              <w:rPr>
                <w:rFonts w:ascii="Times New Roman" w:cs="Times New Roman" w:eastAsia="Times New Roman" w:hAnsi="Times New Roman"/>
                <w:sz w:val="14"/>
                <w:szCs w:val="14"/>
                <w:b w:val="1"/>
                <w:bCs w:val="1"/>
                <w:color w:val="auto"/>
                <w:w w:val="99"/>
              </w:rPr>
              <w:t>Mobile</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left="259"/>
              <w:spacing w:after="0" w:line="149" w:lineRule="exact"/>
              <w:rPr>
                <w:sz w:val="20"/>
                <w:szCs w:val="20"/>
                <w:color w:val="auto"/>
              </w:rPr>
            </w:pPr>
            <w:r>
              <w:rPr>
                <w:rFonts w:ascii="Times New Roman" w:cs="Times New Roman" w:eastAsia="Times New Roman" w:hAnsi="Times New Roman"/>
                <w:sz w:val="14"/>
                <w:szCs w:val="14"/>
                <w:b w:val="1"/>
                <w:bCs w:val="1"/>
                <w:color w:val="auto"/>
              </w:rPr>
              <w:t>Power</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Life</w:t>
            </w:r>
          </w:p>
        </w:tc>
        <w:tc>
          <w:tcPr>
            <w:tcW w:w="260" w:type="dxa"/>
            <w:vAlign w:val="bottom"/>
          </w:tcPr>
          <w:p>
            <w:pPr>
              <w:spacing w:after="0"/>
              <w:rPr>
                <w:sz w:val="12"/>
                <w:szCs w:val="12"/>
                <w:color w:val="auto"/>
              </w:rPr>
            </w:pPr>
          </w:p>
        </w:tc>
        <w:tc>
          <w:tcPr>
            <w:tcW w:w="15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360" w:type="dxa"/>
            <w:vAlign w:val="bottom"/>
          </w:tcPr>
          <w:p>
            <w:pPr>
              <w:spacing w:after="0"/>
              <w:rPr>
                <w:sz w:val="12"/>
                <w:szCs w:val="12"/>
                <w:color w:val="auto"/>
              </w:rPr>
            </w:pPr>
          </w:p>
        </w:tc>
        <w:tc>
          <w:tcPr>
            <w:tcW w:w="1120" w:type="dxa"/>
            <w:vAlign w:val="bottom"/>
            <w:vMerge w:val="restart"/>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66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ind w:left="319"/>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Sciences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Consolidations</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Severance and other employee costs</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1,596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2,324</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Site closure and other associated costs</w:t>
            </w:r>
          </w:p>
        </w:tc>
        <w:tc>
          <w:tcPr>
            <w:tcW w:w="102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1,596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2,346</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restructuring and integration reserve activity for the six months ended June 30, 2019.</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Non-cash</w:t>
            </w:r>
          </w:p>
        </w:tc>
        <w:tc>
          <w:tcPr>
            <w:tcW w:w="220" w:type="dxa"/>
            <w:vAlign w:val="bottom"/>
          </w:tcPr>
          <w:p>
            <w:pPr>
              <w:spacing w:after="0"/>
              <w:rPr>
                <w:sz w:val="13"/>
                <w:szCs w:val="13"/>
                <w:color w:val="auto"/>
              </w:rPr>
            </w:pPr>
          </w:p>
        </w:tc>
        <w:tc>
          <w:tcPr>
            <w:tcW w:w="12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Cash</w:t>
            </w:r>
          </w:p>
        </w:tc>
        <w:tc>
          <w:tcPr>
            <w:tcW w:w="220" w:type="dxa"/>
            <w:vAlign w:val="bottom"/>
          </w:tcPr>
          <w:p>
            <w:pPr>
              <w:spacing w:after="0"/>
              <w:rPr>
                <w:sz w:val="13"/>
                <w:szCs w:val="13"/>
                <w:color w:val="auto"/>
              </w:rPr>
            </w:pPr>
          </w:p>
        </w:tc>
        <w:tc>
          <w:tcPr>
            <w:tcW w:w="126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Balance as of</w:t>
            </w:r>
          </w:p>
        </w:tc>
        <w:tc>
          <w:tcPr>
            <w:tcW w:w="340" w:type="dxa"/>
            <w:vAlign w:val="bottom"/>
          </w:tcPr>
          <w:p>
            <w:pPr>
              <w:spacing w:after="0"/>
              <w:rPr>
                <w:sz w:val="12"/>
                <w:szCs w:val="12"/>
                <w:color w:val="auto"/>
              </w:rPr>
            </w:pPr>
          </w:p>
        </w:tc>
        <w:tc>
          <w:tcPr>
            <w:tcW w:w="102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Charges</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Balance as of</w:t>
            </w:r>
          </w:p>
        </w:tc>
        <w:tc>
          <w:tcPr>
            <w:tcW w:w="0" w:type="dxa"/>
            <w:vAlign w:val="bottom"/>
          </w:tcPr>
          <w:p>
            <w:pPr>
              <w:spacing w:after="0"/>
              <w:rPr>
                <w:sz w:val="1"/>
                <w:szCs w:val="1"/>
                <w:color w:val="auto"/>
              </w:rPr>
            </w:pPr>
          </w:p>
        </w:tc>
      </w:tr>
      <w:tr>
        <w:trPr>
          <w:trHeight w:val="195"/>
        </w:trPr>
        <w:tc>
          <w:tcPr>
            <w:tcW w:w="35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Reductions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0" w:type="dxa"/>
            <w:vAlign w:val="bottom"/>
          </w:tcPr>
          <w:p>
            <w:pPr>
              <w:spacing w:after="0"/>
              <w:rPr>
                <w:sz w:val="1"/>
                <w:szCs w:val="1"/>
                <w:color w:val="auto"/>
              </w:rPr>
            </w:pPr>
          </w:p>
        </w:tc>
      </w:tr>
      <w:tr>
        <w:trPr>
          <w:trHeight w:val="249"/>
        </w:trPr>
        <w:tc>
          <w:tcPr>
            <w:tcW w:w="3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Severance and other employee costs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1,122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730</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Site closure and other associated costs</w:t>
            </w:r>
          </w:p>
        </w:tc>
        <w:tc>
          <w:tcPr>
            <w:tcW w:w="240" w:type="dxa"/>
            <w:vAlign w:val="bottom"/>
          </w:tcPr>
          <w:p>
            <w:pPr>
              <w:spacing w:after="0"/>
              <w:rPr>
                <w:sz w:val="21"/>
                <w:szCs w:val="21"/>
                <w:color w:val="auto"/>
              </w:rPr>
            </w:pPr>
          </w:p>
        </w:tc>
        <w:tc>
          <w:tcPr>
            <w:tcW w:w="16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1,146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730</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amount accrued for restructuring and integration costs represents what we expect to pay over the next 1.7 years. We expect to pay $0.5 million within the next twelve months.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Brazil ICMS Tax Matter</w:t>
      </w:r>
    </w:p>
    <w:p>
      <w:pPr>
        <w:spacing w:after="0" w:line="11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Prior to the acquisition of Autocam Corporation in 2014 (“Autocam”), Autocam’s Brazilian subsidiary (“Autocam Brazil”) received notification from the Brazilian tax authority regarding ICMS (state value added tax or “VAT”) tax credits claimed on intermediary materials (e.g., tooling and perishable items) used in the manufacturing process. The Brazilian tax authority notification disallowed state ICMS tax credits claimed on intermediary materials based on the argument that these items are not intrinsically related to the manufacturing processes. Autocam Brazil filed an administrative defense with the Brazilian tax authority arguing, among other matters, that it should qualify for an ICMS tax credit, contending that the intermediary materials are directly related to the manufacturing process.</w:t>
      </w:r>
    </w:p>
    <w:p>
      <w:pPr>
        <w:spacing w:after="0" w:line="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believe that we have substantial legal and factual defenses, and we plan to defend our interests in this matter vigorously. The matter encompasses several lawsuits filed with the Brazilian courts requesting declaratory actions that no tax is due or seeking a stay of execution on the collection of the tax. In 2018, we obtained a favorable decision in one of the declaratory actions for which the period for appeal has expired. We have filed actions in each court requesting dismissal of the matter based on the earlier court action. Although we anticipate a favorable resolution to all matters, we can provide no assurances that we will be successful in achieving dismissal of all pending cases. While we believe a loss is not probable, we estimate the range of possible losses related to this assessment is from $0 to $6.0 million. No amount was accrued at June 30, 2019, for this matter.</w:t>
      </w:r>
    </w:p>
    <w:p>
      <w:pPr>
        <w:spacing w:after="0" w:line="80"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We are entitled to indemnification from the former shareholders of Autocam, subject to the limitations and procedures set forth in the agreement and plan of merger relating to the Autocam acquisition. Management believes the indemnification would include amounts owed for the tax, interest, and penalties related to this matter.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Other Legal Matters</w:t>
      </w:r>
    </w:p>
    <w:p>
      <w:pPr>
        <w:spacing w:after="0" w:line="11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All other legal proceedings are of an ordinary and routine nature and are incidental to our operations. Management believes that such proceedings should not, individually or in the aggregate, have a material adverse effect on our business, financial condition, results of operations, or cash flows. In making that determination, we analyze the facts and circumstances of each case at least quarterly in consultation with our attorneys and determine a range of reasonably possible outcomes.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Revenue from Contracts with Customers</w:t>
      </w:r>
    </w:p>
    <w:p>
      <w:pPr>
        <w:spacing w:after="0" w:line="121"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Revenue is recognized when control of the good or service is transferred to the customer either at a point in time or, in limited circumstances, as our services are rendered over time. Revenue is measured as the amount of consideration we expect to receive in exchange for transferring goods or services. Sales, value add, and other taxes we collect concurrent with revenue-producing activities are excluded from revenue. Incidental items that are immaterial in the context of the contract are recognized as expense.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sales to external customers by major source.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6"/>
          </w:tcPr>
          <w:p>
            <w:pPr>
              <w:ind w:left="980"/>
              <w:spacing w:after="0"/>
              <w:rPr>
                <w:sz w:val="20"/>
                <w:szCs w:val="20"/>
                <w:color w:val="auto"/>
              </w:rPr>
            </w:pPr>
            <w:r>
              <w:rPr>
                <w:rFonts w:ascii="Times New Roman" w:cs="Times New Roman" w:eastAsia="Times New Roman" w:hAnsi="Times New Roman"/>
                <w:sz w:val="14"/>
                <w:szCs w:val="14"/>
                <w:b w:val="1"/>
                <w:bCs w:val="1"/>
                <w:color w:val="auto"/>
              </w:rPr>
              <w:t>Three Months Ended June 30, 2019</w:t>
            </w: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Mobile</w:t>
            </w:r>
          </w:p>
        </w:tc>
        <w:tc>
          <w:tcPr>
            <w:tcW w:w="300" w:type="dxa"/>
            <w:vAlign w:val="bottom"/>
          </w:tcPr>
          <w:p>
            <w:pPr>
              <w:spacing w:after="0"/>
              <w:rPr>
                <w:sz w:val="12"/>
                <w:szCs w:val="12"/>
                <w:color w:val="auto"/>
              </w:rPr>
            </w:pPr>
          </w:p>
        </w:tc>
        <w:tc>
          <w:tcPr>
            <w:tcW w:w="12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300" w:type="dxa"/>
            <w:vAlign w:val="bottom"/>
          </w:tcPr>
          <w:p>
            <w:pPr>
              <w:spacing w:after="0"/>
              <w:rPr>
                <w:sz w:val="12"/>
                <w:szCs w:val="12"/>
                <w:color w:val="auto"/>
              </w:rPr>
            </w:pPr>
          </w:p>
        </w:tc>
        <w:tc>
          <w:tcPr>
            <w:tcW w:w="12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320" w:type="dxa"/>
            <w:vAlign w:val="bottom"/>
          </w:tcPr>
          <w:p>
            <w:pPr>
              <w:spacing w:after="0"/>
              <w:rPr>
                <w:sz w:val="12"/>
                <w:szCs w:val="12"/>
                <w:color w:val="auto"/>
              </w:rPr>
            </w:pPr>
          </w:p>
        </w:tc>
        <w:tc>
          <w:tcPr>
            <w:tcW w:w="12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Intersegment</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Sales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30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30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Sciences</w:t>
            </w:r>
          </w:p>
        </w:tc>
        <w:tc>
          <w:tcPr>
            <w:tcW w:w="320" w:type="dxa"/>
            <w:vAlign w:val="bottom"/>
          </w:tcPr>
          <w:p>
            <w:pPr>
              <w:spacing w:after="0"/>
              <w:rPr>
                <w:sz w:val="16"/>
                <w:szCs w:val="16"/>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44,512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40,580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74,229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158,818</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China</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9,318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12,789</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Germany</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8,447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9,784</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Brazil</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9,636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9,716</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Mexico</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5,066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4,235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9,418</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Switzerland</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1,153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3,509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4,687</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8,443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4,854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3,157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16,454</w:t>
            </w:r>
          </w:p>
        </w:tc>
        <w:tc>
          <w:tcPr>
            <w:tcW w:w="0" w:type="dxa"/>
            <w:vAlign w:val="bottom"/>
          </w:tcPr>
          <w:p>
            <w:pPr>
              <w:spacing w:after="0"/>
              <w:rPr>
                <w:sz w:val="1"/>
                <w:szCs w:val="1"/>
                <w:color w:val="auto"/>
              </w:rPr>
            </w:pPr>
          </w:p>
        </w:tc>
      </w:tr>
      <w:tr>
        <w:trPr>
          <w:trHeight w:val="237"/>
        </w:trPr>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net sales</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79,444</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51,393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91,332</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221,666</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 2018</w:t>
            </w: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Mobile</w:t>
            </w:r>
          </w:p>
        </w:tc>
        <w:tc>
          <w:tcPr>
            <w:tcW w:w="300" w:type="dxa"/>
            <w:vAlign w:val="bottom"/>
          </w:tcPr>
          <w:p>
            <w:pPr>
              <w:spacing w:after="0"/>
              <w:rPr>
                <w:sz w:val="12"/>
                <w:szCs w:val="12"/>
                <w:color w:val="auto"/>
              </w:rPr>
            </w:pPr>
          </w:p>
        </w:tc>
        <w:tc>
          <w:tcPr>
            <w:tcW w:w="12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300" w:type="dxa"/>
            <w:vAlign w:val="bottom"/>
          </w:tcPr>
          <w:p>
            <w:pPr>
              <w:spacing w:after="0"/>
              <w:rPr>
                <w:sz w:val="12"/>
                <w:szCs w:val="12"/>
                <w:color w:val="auto"/>
              </w:rPr>
            </w:pPr>
          </w:p>
        </w:tc>
        <w:tc>
          <w:tcPr>
            <w:tcW w:w="12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320" w:type="dxa"/>
            <w:vAlign w:val="bottom"/>
          </w:tcPr>
          <w:p>
            <w:pPr>
              <w:spacing w:after="0"/>
              <w:rPr>
                <w:sz w:val="12"/>
                <w:szCs w:val="12"/>
                <w:color w:val="auto"/>
              </w:rPr>
            </w:pPr>
          </w:p>
        </w:tc>
        <w:tc>
          <w:tcPr>
            <w:tcW w:w="12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Intersegment</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Sales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30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30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Sciences</w:t>
            </w:r>
          </w:p>
        </w:tc>
        <w:tc>
          <w:tcPr>
            <w:tcW w:w="320" w:type="dxa"/>
            <w:vAlign w:val="bottom"/>
          </w:tcPr>
          <w:p>
            <w:pPr>
              <w:spacing w:after="0"/>
              <w:rPr>
                <w:sz w:val="16"/>
                <w:szCs w:val="16"/>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48,142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41,924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48,441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137,804</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China</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11,581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13,852</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Mexico</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7,236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3,348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10,751</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Brazil</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9,637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9,666</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Germany</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3,816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5,367</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Switzerland</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1,294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3,043</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8,638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3,560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3,668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15,866</w:t>
            </w:r>
          </w:p>
        </w:tc>
        <w:tc>
          <w:tcPr>
            <w:tcW w:w="0" w:type="dxa"/>
            <w:vAlign w:val="bottom"/>
          </w:tcPr>
          <w:p>
            <w:pPr>
              <w:spacing w:after="0"/>
              <w:rPr>
                <w:sz w:val="1"/>
                <w:szCs w:val="1"/>
                <w:color w:val="auto"/>
              </w:rPr>
            </w:pPr>
          </w:p>
        </w:tc>
      </w:tr>
      <w:tr>
        <w:trPr>
          <w:trHeight w:val="237"/>
        </w:trPr>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net sales</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88,079</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49,820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59,153</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196,349</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3"/>
        </w:trPr>
        <w:tc>
          <w:tcPr>
            <w:tcW w:w="34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Six Months Ended June 30, 2019</w:t>
            </w: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Mobile</w:t>
            </w:r>
          </w:p>
        </w:tc>
        <w:tc>
          <w:tcPr>
            <w:tcW w:w="300" w:type="dxa"/>
            <w:vAlign w:val="bottom"/>
          </w:tcPr>
          <w:p>
            <w:pPr>
              <w:spacing w:after="0"/>
              <w:rPr>
                <w:sz w:val="12"/>
                <w:szCs w:val="12"/>
                <w:color w:val="auto"/>
              </w:rPr>
            </w:pPr>
          </w:p>
        </w:tc>
        <w:tc>
          <w:tcPr>
            <w:tcW w:w="12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300" w:type="dxa"/>
            <w:vAlign w:val="bottom"/>
          </w:tcPr>
          <w:p>
            <w:pPr>
              <w:spacing w:after="0"/>
              <w:rPr>
                <w:sz w:val="12"/>
                <w:szCs w:val="12"/>
                <w:color w:val="auto"/>
              </w:rPr>
            </w:pPr>
          </w:p>
        </w:tc>
        <w:tc>
          <w:tcPr>
            <w:tcW w:w="12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320" w:type="dxa"/>
            <w:vAlign w:val="bottom"/>
          </w:tcPr>
          <w:p>
            <w:pPr>
              <w:spacing w:after="0"/>
              <w:rPr>
                <w:sz w:val="12"/>
                <w:szCs w:val="12"/>
                <w:color w:val="auto"/>
              </w:rPr>
            </w:pPr>
          </w:p>
        </w:tc>
        <w:tc>
          <w:tcPr>
            <w:tcW w:w="12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Intersegment</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Sales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30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30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Sciences</w:t>
            </w:r>
          </w:p>
        </w:tc>
        <w:tc>
          <w:tcPr>
            <w:tcW w:w="320" w:type="dxa"/>
            <w:vAlign w:val="bottom"/>
          </w:tcPr>
          <w:p>
            <w:pPr>
              <w:spacing w:after="0"/>
              <w:rPr>
                <w:sz w:val="16"/>
                <w:szCs w:val="16"/>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88,969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81,695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142,572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312,249</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China</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18,471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3,436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3,565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25,472</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Germany</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2,722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17,332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20,091</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Brazil</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18,018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18,167</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Mexico</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10,444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6,944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17,632</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Switzerland</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2,512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6,775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9,328</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16,383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8,748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6,852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31,983</w:t>
            </w:r>
          </w:p>
        </w:tc>
        <w:tc>
          <w:tcPr>
            <w:tcW w:w="0" w:type="dxa"/>
            <w:vAlign w:val="bottom"/>
          </w:tcPr>
          <w:p>
            <w:pPr>
              <w:spacing w:after="0"/>
              <w:rPr>
                <w:sz w:val="1"/>
                <w:szCs w:val="1"/>
                <w:color w:val="auto"/>
              </w:rPr>
            </w:pPr>
          </w:p>
        </w:tc>
      </w:tr>
      <w:tr>
        <w:trPr>
          <w:trHeight w:val="237"/>
        </w:trPr>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net sales</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157,519</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101,050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177,340</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434,922</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34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Six Months Ended June 30, 2018</w:t>
            </w: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Mobile</w:t>
            </w:r>
          </w:p>
        </w:tc>
        <w:tc>
          <w:tcPr>
            <w:tcW w:w="300" w:type="dxa"/>
            <w:vAlign w:val="bottom"/>
          </w:tcPr>
          <w:p>
            <w:pPr>
              <w:spacing w:after="0"/>
              <w:rPr>
                <w:sz w:val="12"/>
                <w:szCs w:val="12"/>
                <w:color w:val="auto"/>
              </w:rPr>
            </w:pPr>
          </w:p>
        </w:tc>
        <w:tc>
          <w:tcPr>
            <w:tcW w:w="12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300" w:type="dxa"/>
            <w:vAlign w:val="bottom"/>
          </w:tcPr>
          <w:p>
            <w:pPr>
              <w:spacing w:after="0"/>
              <w:rPr>
                <w:sz w:val="12"/>
                <w:szCs w:val="12"/>
                <w:color w:val="auto"/>
              </w:rPr>
            </w:pPr>
          </w:p>
        </w:tc>
        <w:tc>
          <w:tcPr>
            <w:tcW w:w="12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320" w:type="dxa"/>
            <w:vAlign w:val="bottom"/>
          </w:tcPr>
          <w:p>
            <w:pPr>
              <w:spacing w:after="0"/>
              <w:rPr>
                <w:sz w:val="12"/>
                <w:szCs w:val="12"/>
                <w:color w:val="auto"/>
              </w:rPr>
            </w:pPr>
          </w:p>
        </w:tc>
        <w:tc>
          <w:tcPr>
            <w:tcW w:w="12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Intersegment</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Sales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30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30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Sciences</w:t>
            </w:r>
          </w:p>
        </w:tc>
        <w:tc>
          <w:tcPr>
            <w:tcW w:w="320" w:type="dxa"/>
            <w:vAlign w:val="bottom"/>
          </w:tcPr>
          <w:p>
            <w:pPr>
              <w:spacing w:after="0"/>
              <w:rPr>
                <w:sz w:val="16"/>
                <w:szCs w:val="16"/>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97,797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82,052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78,994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257,612</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China</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23,162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2,444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1,438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27,044</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Mexico</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14,472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6,545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21,356</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Brazil</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19,522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19,601</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Germany</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3,085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3,817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6,909</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Switzerland</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2,700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4,449</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Poland</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3,971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3,990</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13,164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7,357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4,015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24,536</w:t>
            </w: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net sales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177,873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98,502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90,353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365,497</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contract liabilities from contracts with customers.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80" w:type="dxa"/>
            <w:vAlign w:val="bottom"/>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Deferred</w:t>
            </w:r>
          </w:p>
        </w:tc>
      </w:tr>
      <w:tr>
        <w:trPr>
          <w:trHeight w:val="195"/>
        </w:trPr>
        <w:tc>
          <w:tcPr>
            <w:tcW w:w="936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Revenue</w:t>
            </w:r>
          </w:p>
        </w:tc>
      </w:tr>
      <w:tr>
        <w:trPr>
          <w:trHeight w:val="249"/>
        </w:trPr>
        <w:tc>
          <w:tcPr>
            <w:tcW w:w="9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Balance at January 1, 2019</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2,974</w:t>
            </w:r>
          </w:p>
        </w:tc>
      </w:tr>
      <w:tr>
        <w:trPr>
          <w:trHeight w:val="243"/>
        </w:trPr>
        <w:tc>
          <w:tcPr>
            <w:tcW w:w="9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Balance at June 30, 2019</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2,953</w:t>
            </w:r>
          </w:p>
        </w:tc>
      </w:tr>
    </w:tbl>
    <w:p>
      <w:pPr>
        <w:spacing w:after="0" w:line="11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Revenue recognized during the three and six months ended June 30, 2019, from amounts included in deferred revenue at the beginning of the period for performance obligations satisfied or partially satisfied during the period, was approximately $0.9 million and $1.6 million, respectively.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Price Allocated to Future Performance Obligations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required to disclose the aggregate amount of transaction price that is allocated to performance obligations that have not yet been satisfied as of</w:t>
      </w:r>
    </w:p>
    <w:p>
      <w:pPr>
        <w:spacing w:after="0" w:line="2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June 30, 2019, unless our contracts meet one of the practical expedients. Our contracts met the practical expedient for a performance obligation that is part of a contract that has an original expected duration of one year or less.</w:t>
      </w:r>
    </w:p>
    <w:p>
      <w:pPr>
        <w:spacing w:after="0" w:line="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Sales Concentration</w:t>
      </w:r>
    </w:p>
    <w:p>
      <w:pPr>
        <w:spacing w:after="0" w:line="119" w:lineRule="exact"/>
        <w:rPr>
          <w:sz w:val="20"/>
          <w:szCs w:val="20"/>
          <w:color w:val="auto"/>
        </w:rPr>
      </w:pPr>
    </w:p>
    <w:p>
      <w:pPr>
        <w:ind w:left="60" w:right="220"/>
        <w:spacing w:after="0" w:line="261" w:lineRule="auto"/>
        <w:rPr>
          <w:sz w:val="20"/>
          <w:szCs w:val="20"/>
          <w:color w:val="auto"/>
        </w:rPr>
      </w:pPr>
      <w:r>
        <w:rPr>
          <w:rFonts w:ascii="Times New Roman" w:cs="Times New Roman" w:eastAsia="Times New Roman" w:hAnsi="Times New Roman"/>
          <w:sz w:val="18"/>
          <w:szCs w:val="18"/>
          <w:color w:val="auto"/>
        </w:rPr>
        <w:t>During the three months ended June 30, 2019, we recognized sales from a single customer of $23.0 million, or 10.4% of consolidated net sales. During the six months ended June 30, 2019, we recognized sales from a single customer of $45.1 million, or 10.4% of consolidated net sales. Revenues from this customer are in our Life Sciences and Power Solutions groups. No customers represented more than 10% of our net sales during the three and six months ended June 30, 2018.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Shared-Based Compensation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lists the components of share-based compensation expense by type of award.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80" w:type="dxa"/>
            <w:vAlign w:val="bottom"/>
          </w:tcPr>
          <w:p>
            <w:pPr>
              <w:spacing w:after="0"/>
              <w:rPr>
                <w:sz w:val="13"/>
                <w:szCs w:val="13"/>
                <w:color w:val="auto"/>
              </w:rPr>
            </w:pPr>
          </w:p>
        </w:tc>
      </w:tr>
      <w:tr>
        <w:trPr>
          <w:trHeight w:val="195"/>
        </w:trPr>
        <w:tc>
          <w:tcPr>
            <w:tcW w:w="42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80" w:type="dxa"/>
            <w:vAlign w:val="bottom"/>
            <w:tcBorders>
              <w:bottom w:val="single" w:sz="8" w:color="auto"/>
            </w:tcBorders>
          </w:tcPr>
          <w:p>
            <w:pPr>
              <w:spacing w:after="0"/>
              <w:rPr>
                <w:sz w:val="16"/>
                <w:szCs w:val="16"/>
                <w:color w:val="auto"/>
              </w:rPr>
            </w:pPr>
          </w:p>
        </w:tc>
      </w:tr>
      <w:tr>
        <w:trPr>
          <w:trHeight w:val="264"/>
        </w:trPr>
        <w:tc>
          <w:tcPr>
            <w:tcW w:w="424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5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options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358</w:t>
            </w: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stock</w:t>
            </w:r>
          </w:p>
        </w:tc>
        <w:tc>
          <w:tcPr>
            <w:tcW w:w="440" w:type="dxa"/>
            <w:vAlign w:val="bottom"/>
          </w:tcPr>
          <w:p>
            <w:pPr>
              <w:spacing w:after="0"/>
              <w:rPr>
                <w:sz w:val="21"/>
                <w:szCs w:val="21"/>
                <w:color w:val="auto"/>
              </w:rPr>
            </w:pPr>
          </w:p>
        </w:tc>
        <w:tc>
          <w:tcPr>
            <w:tcW w:w="132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961</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856</w:t>
            </w:r>
          </w:p>
        </w:tc>
      </w:tr>
      <w:tr>
        <w:trPr>
          <w:trHeight w:val="27"/>
        </w:trPr>
        <w:tc>
          <w:tcPr>
            <w:tcW w:w="4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Performance share units</w:t>
            </w:r>
          </w:p>
        </w:tc>
        <w:tc>
          <w:tcPr>
            <w:tcW w:w="4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1,120</w:t>
            </w: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58"/>
              <w:spacing w:after="0"/>
              <w:rPr>
                <w:sz w:val="20"/>
                <w:szCs w:val="20"/>
                <w:color w:val="auto"/>
              </w:rPr>
            </w:pPr>
            <w:r>
              <w:rPr>
                <w:rFonts w:ascii="Times New Roman" w:cs="Times New Roman" w:eastAsia="Times New Roman" w:hAnsi="Times New Roman"/>
                <w:sz w:val="18"/>
                <w:szCs w:val="18"/>
                <w:color w:val="auto"/>
              </w:rPr>
              <w:t>1,106</w:t>
            </w:r>
          </w:p>
        </w:tc>
        <w:tc>
          <w:tcPr>
            <w:tcW w:w="100" w:type="dxa"/>
            <w:vAlign w:val="bottom"/>
          </w:tcPr>
          <w:p>
            <w:pPr>
              <w:spacing w:after="0"/>
              <w:rPr>
                <w:sz w:val="20"/>
                <w:szCs w:val="20"/>
                <w:color w:val="auto"/>
              </w:rPr>
            </w:pPr>
          </w:p>
        </w:tc>
        <w:tc>
          <w:tcPr>
            <w:tcW w:w="64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1,078</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1,979</w:t>
            </w:r>
          </w:p>
        </w:tc>
        <w:tc>
          <w:tcPr>
            <w:tcW w:w="100" w:type="dxa"/>
            <w:vAlign w:val="bottom"/>
          </w:tcPr>
          <w:p>
            <w:pPr>
              <w:spacing w:after="0"/>
              <w:rPr>
                <w:sz w:val="20"/>
                <w:szCs w:val="20"/>
                <w:color w:val="auto"/>
              </w:rPr>
            </w:pPr>
          </w:p>
        </w:tc>
        <w:tc>
          <w:tcPr>
            <w:tcW w:w="62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2,334</w:t>
            </w:r>
          </w:p>
        </w:tc>
      </w:tr>
      <w:tr>
        <w:trPr>
          <w:trHeight w:val="27"/>
        </w:trPr>
        <w:tc>
          <w:tcPr>
            <w:tcW w:w="42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4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2019, we granted options to purchase 210,400 shares to certain key employees. The weighted average grant date fair value of the options granted during the six months ended June 30, 2019, was $2.77 per share. The fair value of our options cannot be determined by market value because they are not traded in an open market. Accordingly, we utilized the Black Scholes financial pricing model to estimate the fair value.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weighted average assumptions relevant to determining the fair value of stock options granted in 2019.</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180" w:type="dxa"/>
            <w:vAlign w:val="bottom"/>
            <w:tcBorders>
              <w:bottom w:val="single" w:sz="8" w:color="CCEEFF"/>
            </w:tcBorders>
          </w:tcPr>
          <w:p>
            <w:pPr>
              <w:spacing w:after="0"/>
              <w:rPr>
                <w:sz w:val="16"/>
                <w:szCs w:val="16"/>
                <w:color w:val="auto"/>
              </w:rPr>
            </w:pPr>
          </w:p>
        </w:tc>
        <w:tc>
          <w:tcPr>
            <w:tcW w:w="2240" w:type="dxa"/>
            <w:vAlign w:val="bottom"/>
            <w:tcBorders>
              <w:bottom w:val="single" w:sz="8" w:color="auto"/>
            </w:tcBorders>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49"/>
        </w:trPr>
        <w:tc>
          <w:tcPr>
            <w:tcW w:w="9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term</w:t>
            </w:r>
          </w:p>
        </w:tc>
        <w:tc>
          <w:tcPr>
            <w:tcW w:w="22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6 years</w:t>
            </w:r>
          </w:p>
        </w:tc>
      </w:tr>
      <w:tr>
        <w:trPr>
          <w:trHeight w:val="243"/>
        </w:trPr>
        <w:tc>
          <w:tcPr>
            <w:tcW w:w="9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Risk free interest rate</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7"/>
        </w:trPr>
        <w:tc>
          <w:tcPr>
            <w:tcW w:w="918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50"/>
        </w:trPr>
        <w:tc>
          <w:tcPr>
            <w:tcW w:w="9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Dividend yield</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43"/>
        </w:trPr>
        <w:tc>
          <w:tcPr>
            <w:tcW w:w="9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volatility</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49.53%</w:t>
            </w:r>
          </w:p>
        </w:tc>
      </w:tr>
      <w:tr>
        <w:trPr>
          <w:trHeight w:val="27"/>
        </w:trPr>
        <w:tc>
          <w:tcPr>
            <w:tcW w:w="918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43"/>
        </w:trPr>
        <w:tc>
          <w:tcPr>
            <w:tcW w:w="9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forfeiture rate</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7"/>
        </w:trPr>
        <w:tc>
          <w:tcPr>
            <w:tcW w:w="918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 xml:space="preserve">The expected term is derived from using the simplified method of determining stock option terms as described under the Staff Accounting Bulletin Topic 14,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The simplified method was used because sufficient historical stock option exercise experience was not available, primarily due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transformation of the management structure over the past several years.</w:t>
      </w:r>
    </w:p>
    <w:p>
      <w:pPr>
        <w:spacing w:after="0" w:line="6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average risk-free interest rate is derived from United States Department of Treasury published interest rates of daily yield curves for the same time period as the expected term.</w:t>
      </w:r>
    </w:p>
    <w:p>
      <w:pPr>
        <w:spacing w:after="0" w:line="54"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expected dividend yield is derived by a mathematical formula which uses the expected annual dividends over the expected term divided by the fair market value of our common stock at the grant date.</w:t>
      </w:r>
    </w:p>
    <w:p>
      <w:pPr>
        <w:spacing w:after="0" w:line="5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expected volatility rate is derived from our actual common stock historical volatility over the same time period as the expected term. The volatility rate is derived by a mathematical formula utilizing daily closing price data.</w:t>
      </w:r>
    </w:p>
    <w:p>
      <w:pPr>
        <w:spacing w:after="0" w:line="5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forfeiture rate is determined from examining the historical pre-vesting forfeiture patterns of past option issuances to key employees. While the forfeiture rate is not an input of the Black Scholes model for determining the fair value of the options, it is an important determinant of stock option compensation expense to be recorded.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the six months ended June 30, 2019.</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3"/>
                <w:szCs w:val="13"/>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jc w:val="center"/>
              <w:ind w:right="19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13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280" w:type="dxa"/>
            <w:vAlign w:val="bottom"/>
          </w:tcPr>
          <w:p>
            <w:pPr>
              <w:spacing w:after="0"/>
              <w:rPr>
                <w:sz w:val="12"/>
                <w:szCs w:val="12"/>
                <w:color w:val="auto"/>
              </w:rPr>
            </w:pPr>
          </w:p>
        </w:tc>
        <w:tc>
          <w:tcPr>
            <w:tcW w:w="1220" w:type="dxa"/>
            <w:vAlign w:val="bottom"/>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20" w:type="dxa"/>
            <w:vAlign w:val="bottom"/>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20" w:type="dxa"/>
            <w:vAlign w:val="bottom"/>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6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Term (years)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20" w:type="dxa"/>
            <w:vAlign w:val="bottom"/>
            <w:tcBorders>
              <w:bottom w:val="single" w:sz="8" w:color="CCEEFF"/>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January 1, 2019</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771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15.17</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7.93</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Exercised</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Forfeited or expired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24.41</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June 30, 2019</w:t>
            </w:r>
          </w:p>
        </w:tc>
        <w:tc>
          <w:tcPr>
            <w:tcW w:w="150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976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13.56</w:t>
            </w:r>
          </w:p>
        </w:tc>
        <w:tc>
          <w:tcPr>
            <w:tcW w:w="15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CCEEFF"/>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BFE4FF"/>
              <w:bottom w:val="single" w:sz="8" w:color="BFE4FF"/>
            </w:tcBorders>
            <w:shd w:val="clear" w:color="auto" w:fill="BFE4FF"/>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(1)</w:t>
            </w: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Exercisable at June 30, 2019</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580" w:type="dxa"/>
            <w:vAlign w:val="bottom"/>
            <w:gridSpan w:val="2"/>
            <w:vMerge w:val="continue"/>
          </w:tcPr>
          <w:p>
            <w:pPr>
              <w:spacing w:after="0"/>
              <w:rPr>
                <w:sz w:val="21"/>
                <w:szCs w:val="21"/>
                <w:color w:val="auto"/>
              </w:rPr>
            </w:pPr>
          </w:p>
        </w:tc>
        <w:tc>
          <w:tcPr>
            <w:tcW w:w="15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701</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14.26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(1)</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154" w:lineRule="exact"/>
        <w:rPr>
          <w:sz w:val="20"/>
          <w:szCs w:val="20"/>
          <w:color w:val="auto"/>
        </w:rPr>
      </w:pPr>
    </w:p>
    <w:p>
      <w:pPr>
        <w:ind w:left="660" w:right="2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intrinsic value is the sum of intrinsic values for each exercisable individual option grant. The intrinsic value is the amount by which the closing market price of our stock at June 30, 2019, was greater than the exercise price of any individual option grant.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11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2019, we granted 281,065 restricted stock awards to non-executive directors, officers and certain other key employees. The shares of restricted stock granted during the six months ended June 30, 2019, vest pro-rata over three years for officers and certain other key employees and over one year for non-executive directors. We determined the fair value of the shares awarded by using the closing price of our common stock as of the date of grant. The weighted average grant date value of restricted stock granted in the six months ended June 30, 2019, was $7.93 per share. Total grant-date fair value of restricted stock that vested in the six months ended June 30, 2019, was $1.5 million.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status of unvested restricted stock awards as of June 30, 2019, and changes during the six months then ended.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3"/>
                <w:szCs w:val="13"/>
                <w:color w:val="auto"/>
              </w:rPr>
            </w:pPr>
          </w:p>
        </w:tc>
        <w:tc>
          <w:tcPr>
            <w:tcW w:w="1320" w:type="dxa"/>
            <w:vAlign w:val="bottom"/>
            <w:vMerge w:val="restart"/>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Nonvested</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0" w:type="dxa"/>
            <w:vAlign w:val="bottom"/>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center"/>
              <w:ind w:right="21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320" w:type="dxa"/>
            <w:vAlign w:val="bottom"/>
          </w:tcPr>
          <w:p>
            <w:pPr>
              <w:jc w:val="center"/>
              <w:ind w:left="308"/>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center"/>
              <w:ind w:right="219"/>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320" w:type="dxa"/>
            <w:vAlign w:val="bottom"/>
          </w:tcPr>
          <w:p>
            <w:pPr>
              <w:jc w:val="center"/>
              <w:ind w:left="308"/>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center"/>
              <w:ind w:right="219"/>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79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49"/>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at January 1, 2019</w:t>
            </w:r>
          </w:p>
        </w:tc>
        <w:tc>
          <w:tcPr>
            <w:tcW w:w="13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6"/>
              </w:rPr>
              <w:t>146</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22.07</w:t>
            </w:r>
          </w:p>
        </w:tc>
        <w:tc>
          <w:tcPr>
            <w:tcW w:w="0" w:type="dxa"/>
            <w:vAlign w:val="bottom"/>
          </w:tcPr>
          <w:p>
            <w:pPr>
              <w:spacing w:after="0"/>
              <w:rPr>
                <w:sz w:val="1"/>
                <w:szCs w:val="1"/>
                <w:color w:val="auto"/>
              </w:rPr>
            </w:pPr>
          </w:p>
        </w:tc>
      </w:tr>
      <w:tr>
        <w:trPr>
          <w:trHeight w:val="243"/>
        </w:trPr>
        <w:tc>
          <w:tcPr>
            <w:tcW w:w="9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281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7.93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20.92</w:t>
            </w:r>
          </w:p>
        </w:tc>
        <w:tc>
          <w:tcPr>
            <w:tcW w:w="0" w:type="dxa"/>
            <w:vAlign w:val="bottom"/>
          </w:tcPr>
          <w:p>
            <w:pPr>
              <w:spacing w:after="0"/>
              <w:rPr>
                <w:sz w:val="1"/>
                <w:szCs w:val="1"/>
                <w:color w:val="auto"/>
              </w:rPr>
            </w:pPr>
          </w:p>
        </w:tc>
      </w:tr>
      <w:tr>
        <w:trPr>
          <w:trHeight w:val="243"/>
        </w:trPr>
        <w:tc>
          <w:tcPr>
            <w:tcW w:w="9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18.98</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at June 30, 2019</w:t>
            </w:r>
          </w:p>
        </w:tc>
        <w:tc>
          <w:tcPr>
            <w:tcW w:w="132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6"/>
              </w:rPr>
              <w:t>339</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10.74</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Share Units</w:t>
      </w:r>
    </w:p>
    <w:p>
      <w:pPr>
        <w:spacing w:after="0" w:line="11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Performance Share Units (“PSUs”) are a form of long-term incentive compensation awarded to executive officers and certain other key employees designed to directly align the interests of employees to the interests of our stockholders, and to create long-term stockholder value. PSU awards granted in 2019 were made pursuant to the NN, Inc. 2016 Omnibus Incentive Plan and a Performance Share Unit Agreement (the “2016 Omnibus Agreement”). Some PSUs are based on total shareholder return (“TSR Awards”), and other PSUs are based on return on invested capital (“ROIC Awards”).</w:t>
      </w:r>
    </w:p>
    <w:p>
      <w:pPr>
        <w:spacing w:after="0" w:line="7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TSR Awards vest, if at all, upon our achieving a specified relative total shareholder return, which will be measured against the total shareholder return of the S&amp;P SmallCap 600 Index during specified performance periods as defined in the 2016 Omnibus Agreement. The ROIC Awards vest, if at all, upon our achieving a specified average return on invested capital during the performance periods. Each performance period generally begins on January 1 of the year of grant and ends 36 months later on December 31.</w:t>
      </w:r>
    </w:p>
    <w:p>
      <w:pPr>
        <w:spacing w:after="0" w:line="7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recognize compensation expense over the performance period in which the performance and market conditions are measured. If the PSUs do not vest at the end of the performance periods, then the PSUs will expire automatically. Upon vesting, the PSUs will be settled by the issuance of shares of our common stock, subject to the executive officer’s continued employment. The actual number of shares of common stock to be issued to each award recipient at the end of the performance periods will be interpolated between a threshold and maximum payout amount based on actual performance results. No</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dividends will be paid on outstanding PSUs during the performance period; however, dividend equivalents will be paid based on the number of shares of common stock that are ultimately earned at the end of the performance periods.</w:t>
      </w:r>
    </w:p>
    <w:p>
      <w:pPr>
        <w:spacing w:after="0" w:line="5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With respect to the TSR Awards, a participant will earn 50% of the target number of PSUs for “Threshold Performance,” 100% of the target number of PSUs for “Target Performance,” and 150% of the target number of PSUs for “Maximum Performance.” With respect to the ROIC Awards, a participant will earn 35% of the target number of PSUs for “Threshold Performance,” 100% of the target number of PSUs for “Target Performance,” and 150% of the target number of PSUs for “Maximum Performance. For performance levels falling between the values shown below, the percentages will be determined by interpolation.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goals with respect to TSR Awards and ROIC Awards granted in 2019.</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TSR Awards:</w:t>
            </w:r>
          </w:p>
        </w:tc>
        <w:tc>
          <w:tcPr>
            <w:tcW w:w="2000" w:type="dxa"/>
            <w:vAlign w:val="bottom"/>
          </w:tcPr>
          <w:p>
            <w:pPr>
              <w:jc w:val="center"/>
              <w:ind w:left="364"/>
              <w:spacing w:after="0"/>
              <w:rPr>
                <w:sz w:val="20"/>
                <w:szCs w:val="20"/>
                <w:color w:val="auto"/>
              </w:rPr>
            </w:pPr>
            <w:r>
              <w:rPr>
                <w:rFonts w:ascii="Times New Roman" w:cs="Times New Roman" w:eastAsia="Times New Roman" w:hAnsi="Times New Roman"/>
                <w:sz w:val="14"/>
                <w:szCs w:val="14"/>
                <w:b w:val="1"/>
                <w:bCs w:val="1"/>
                <w:color w:val="auto"/>
              </w:rPr>
              <w:t>Threshold Performance</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Target Performance</w:t>
            </w:r>
          </w:p>
        </w:tc>
        <w:tc>
          <w:tcPr>
            <w:tcW w:w="2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Performance</w:t>
            </w:r>
          </w:p>
        </w:tc>
        <w:tc>
          <w:tcPr>
            <w:tcW w:w="0" w:type="dxa"/>
            <w:vAlign w:val="bottom"/>
          </w:tcPr>
          <w:p>
            <w:pPr>
              <w:spacing w:after="0"/>
              <w:rPr>
                <w:sz w:val="1"/>
                <w:szCs w:val="1"/>
                <w:color w:val="auto"/>
              </w:rPr>
            </w:pPr>
          </w:p>
        </w:tc>
      </w:tr>
      <w:tr>
        <w:trPr>
          <w:trHeight w:val="160"/>
        </w:trPr>
        <w:tc>
          <w:tcPr>
            <w:tcW w:w="3980" w:type="dxa"/>
            <w:vAlign w:val="bottom"/>
            <w:gridSpan w:val="4"/>
            <w:vMerge w:val="continue"/>
          </w:tcPr>
          <w:p>
            <w:pPr>
              <w:spacing w:after="0"/>
              <w:rPr>
                <w:sz w:val="13"/>
                <w:szCs w:val="13"/>
                <w:color w:val="auto"/>
              </w:rPr>
            </w:pPr>
          </w:p>
        </w:tc>
        <w:tc>
          <w:tcPr>
            <w:tcW w:w="2000" w:type="dxa"/>
            <w:vAlign w:val="bottom"/>
          </w:tcPr>
          <w:p>
            <w:pPr>
              <w:jc w:val="center"/>
              <w:ind w:left="364"/>
              <w:spacing w:after="0" w:line="160" w:lineRule="exact"/>
              <w:rPr>
                <w:sz w:val="20"/>
                <w:szCs w:val="20"/>
                <w:color w:val="auto"/>
              </w:rPr>
            </w:pPr>
            <w:r>
              <w:rPr>
                <w:rFonts w:ascii="Times New Roman" w:cs="Times New Roman" w:eastAsia="Times New Roman" w:hAnsi="Times New Roman"/>
                <w:sz w:val="14"/>
                <w:szCs w:val="14"/>
                <w:b w:val="1"/>
                <w:bCs w:val="1"/>
                <w:color w:val="auto"/>
              </w:rPr>
              <w:t>(50% of Shares)</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2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(100% of Shares)</w:t>
            </w:r>
          </w:p>
        </w:tc>
        <w:tc>
          <w:tcPr>
            <w:tcW w:w="25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(150% of Shares)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2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98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 grants</w:t>
            </w:r>
          </w:p>
        </w:tc>
        <w:tc>
          <w:tcPr>
            <w:tcW w:w="2000" w:type="dxa"/>
            <w:vAlign w:val="bottom"/>
            <w:tcBorders>
              <w:bottom w:val="single" w:sz="8" w:color="CCEEFF"/>
            </w:tcBorders>
            <w:shd w:val="clear" w:color="auto" w:fill="CCEEFF"/>
          </w:tcPr>
          <w:p>
            <w:pPr>
              <w:jc w:val="center"/>
              <w:ind w:left="364"/>
              <w:spacing w:after="0"/>
              <w:rPr>
                <w:sz w:val="20"/>
                <w:szCs w:val="20"/>
                <w:color w:val="auto"/>
              </w:rPr>
            </w:pPr>
            <w:r>
              <w:rPr>
                <w:rFonts w:ascii="Times New Roman" w:cs="Times New Roman" w:eastAsia="Times New Roman" w:hAnsi="Times New Roman"/>
                <w:sz w:val="18"/>
                <w:szCs w:val="18"/>
                <w:color w:val="auto"/>
                <w:w w:val="99"/>
              </w:rPr>
              <w:t>35th Percentile</w:t>
            </w: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50th Percentile</w:t>
            </w:r>
          </w:p>
        </w:tc>
        <w:tc>
          <w:tcPr>
            <w:tcW w:w="2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75th Percentile</w:t>
            </w:r>
          </w:p>
        </w:tc>
        <w:tc>
          <w:tcPr>
            <w:tcW w:w="0" w:type="dxa"/>
            <w:vAlign w:val="bottom"/>
          </w:tcPr>
          <w:p>
            <w:pPr>
              <w:spacing w:after="0"/>
              <w:rPr>
                <w:sz w:val="1"/>
                <w:szCs w:val="1"/>
                <w:color w:val="auto"/>
              </w:rPr>
            </w:pPr>
          </w:p>
        </w:tc>
      </w:tr>
      <w:tr>
        <w:trPr>
          <w:trHeight w:val="434"/>
        </w:trPr>
        <w:tc>
          <w:tcPr>
            <w:tcW w:w="3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ROIC Awards:</w:t>
            </w:r>
          </w:p>
        </w:tc>
        <w:tc>
          <w:tcPr>
            <w:tcW w:w="2000" w:type="dxa"/>
            <w:vAlign w:val="bottom"/>
          </w:tcPr>
          <w:p>
            <w:pPr>
              <w:jc w:val="center"/>
              <w:ind w:left="364"/>
              <w:spacing w:after="0"/>
              <w:rPr>
                <w:sz w:val="20"/>
                <w:szCs w:val="20"/>
                <w:color w:val="auto"/>
              </w:rPr>
            </w:pPr>
            <w:r>
              <w:rPr>
                <w:rFonts w:ascii="Times New Roman" w:cs="Times New Roman" w:eastAsia="Times New Roman" w:hAnsi="Times New Roman"/>
                <w:sz w:val="14"/>
                <w:szCs w:val="14"/>
                <w:b w:val="1"/>
                <w:bCs w:val="1"/>
                <w:color w:val="auto"/>
              </w:rPr>
              <w:t>Threshold Performance</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Target Performance</w:t>
            </w:r>
          </w:p>
        </w:tc>
        <w:tc>
          <w:tcPr>
            <w:tcW w:w="2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Performance</w:t>
            </w:r>
          </w:p>
        </w:tc>
        <w:tc>
          <w:tcPr>
            <w:tcW w:w="0" w:type="dxa"/>
            <w:vAlign w:val="bottom"/>
          </w:tcPr>
          <w:p>
            <w:pPr>
              <w:spacing w:after="0"/>
              <w:rPr>
                <w:sz w:val="1"/>
                <w:szCs w:val="1"/>
                <w:color w:val="auto"/>
              </w:rPr>
            </w:pPr>
          </w:p>
        </w:tc>
      </w:tr>
      <w:tr>
        <w:trPr>
          <w:trHeight w:val="160"/>
        </w:trPr>
        <w:tc>
          <w:tcPr>
            <w:tcW w:w="3980" w:type="dxa"/>
            <w:vAlign w:val="bottom"/>
            <w:gridSpan w:val="4"/>
            <w:vMerge w:val="continue"/>
          </w:tcPr>
          <w:p>
            <w:pPr>
              <w:spacing w:after="0"/>
              <w:rPr>
                <w:sz w:val="13"/>
                <w:szCs w:val="13"/>
                <w:color w:val="auto"/>
              </w:rPr>
            </w:pPr>
          </w:p>
        </w:tc>
        <w:tc>
          <w:tcPr>
            <w:tcW w:w="2000" w:type="dxa"/>
            <w:vAlign w:val="bottom"/>
          </w:tcPr>
          <w:p>
            <w:pPr>
              <w:jc w:val="center"/>
              <w:ind w:left="364"/>
              <w:spacing w:after="0" w:line="160" w:lineRule="exact"/>
              <w:rPr>
                <w:sz w:val="20"/>
                <w:szCs w:val="20"/>
                <w:color w:val="auto"/>
              </w:rPr>
            </w:pPr>
            <w:r>
              <w:rPr>
                <w:rFonts w:ascii="Times New Roman" w:cs="Times New Roman" w:eastAsia="Times New Roman" w:hAnsi="Times New Roman"/>
                <w:sz w:val="14"/>
                <w:szCs w:val="14"/>
                <w:b w:val="1"/>
                <w:bCs w:val="1"/>
                <w:color w:val="auto"/>
              </w:rPr>
              <w:t>(35% of Shares)</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2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(100% of Shares)</w:t>
            </w:r>
          </w:p>
        </w:tc>
        <w:tc>
          <w:tcPr>
            <w:tcW w:w="25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(150% of Shares)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CCEEFF"/>
            </w:tcBorders>
          </w:tcPr>
          <w:p>
            <w:pPr>
              <w:spacing w:after="0" w:line="20" w:lineRule="exact"/>
              <w:rPr>
                <w:sz w:val="1"/>
                <w:szCs w:val="1"/>
                <w:color w:val="auto"/>
              </w:rPr>
            </w:pPr>
          </w:p>
        </w:tc>
        <w:tc>
          <w:tcPr>
            <w:tcW w:w="302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3980" w:type="dxa"/>
            <w:vAlign w:val="bottom"/>
            <w:gridSpan w:val="4"/>
            <w:shd w:val="clear" w:color="auto" w:fill="CCEEFF"/>
          </w:tcPr>
          <w:p>
            <w:pPr>
              <w:ind w:left="40"/>
              <w:spacing w:after="0" w:line="264" w:lineRule="exact"/>
              <w:rPr>
                <w:sz w:val="20"/>
                <w:szCs w:val="20"/>
                <w:color w:val="auto"/>
              </w:rPr>
            </w:pPr>
            <w:r>
              <w:rPr>
                <w:rFonts w:ascii="Times New Roman" w:cs="Times New Roman" w:eastAsia="Times New Roman" w:hAnsi="Times New Roman"/>
                <w:sz w:val="18"/>
                <w:szCs w:val="18"/>
                <w:color w:val="auto"/>
              </w:rPr>
              <w:t xml:space="preserve">2019 grants </w:t>
            </w:r>
            <w:r>
              <w:rPr>
                <w:rFonts w:ascii="Times New Roman" w:cs="Times New Roman" w:eastAsia="Times New Roman" w:hAnsi="Times New Roman"/>
                <w:sz w:val="25"/>
                <w:szCs w:val="25"/>
                <w:color w:val="auto"/>
                <w:vertAlign w:val="superscript"/>
              </w:rPr>
              <w:t>(1)</w:t>
            </w:r>
          </w:p>
        </w:tc>
        <w:tc>
          <w:tcPr>
            <w:tcW w:w="200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22"/>
                <w:szCs w:val="22"/>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22"/>
                <w:szCs w:val="22"/>
                <w:color w:val="auto"/>
              </w:rPr>
            </w:pP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660" w:right="8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ROIC Awards granted in 2019, the denominator of the calculation is different than in prior years, and therefore the target percentages are not comparable to historical target percentages.</w:t>
      </w:r>
    </w:p>
    <w:p>
      <w:pPr>
        <w:spacing w:after="0" w:line="54"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 xml:space="preserve">We estimate the grant date fair value of TSR Awards using the Monte Carlo simulation model, as the total shareholder return metric is considered a market condition under ASC Topic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The grant date fair value of ROIC Awards is based on the closing price of a share of our common stock on the date of grant.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number of awards granted and the grant date fair value of each award in the period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TSR Awards</w:t>
            </w: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40" w:type="dxa"/>
            <w:vAlign w:val="bottom"/>
            <w:tcBorders>
              <w:bottom w:val="single" w:sz="8" w:color="auto"/>
            </w:tcBorders>
            <w:gridSpan w:val="4"/>
          </w:tcPr>
          <w:p>
            <w:pPr>
              <w:jc w:val="right"/>
              <w:ind w:right="1282"/>
              <w:spacing w:after="0"/>
              <w:rPr>
                <w:sz w:val="20"/>
                <w:szCs w:val="20"/>
                <w:color w:val="auto"/>
              </w:rPr>
            </w:pPr>
            <w:r>
              <w:rPr>
                <w:rFonts w:ascii="Times New Roman" w:cs="Times New Roman" w:eastAsia="Times New Roman" w:hAnsi="Times New Roman"/>
                <w:sz w:val="14"/>
                <w:szCs w:val="14"/>
                <w:b w:val="1"/>
                <w:bCs w:val="1"/>
                <w:color w:val="auto"/>
              </w:rPr>
              <w:t>ROIC Awards</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vMerge w:val="restart"/>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4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40" w:type="dxa"/>
            <w:vAlign w:val="bottom"/>
          </w:tcPr>
          <w:p>
            <w:pPr>
              <w:spacing w:after="0"/>
              <w:rPr>
                <w:sz w:val="12"/>
                <w:szCs w:val="12"/>
                <w:color w:val="auto"/>
              </w:rPr>
            </w:pPr>
          </w:p>
        </w:tc>
        <w:tc>
          <w:tcPr>
            <w:tcW w:w="1580" w:type="dxa"/>
            <w:vAlign w:val="bottom"/>
            <w:vMerge w:val="restart"/>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49"/>
        </w:trPr>
        <w:tc>
          <w:tcPr>
            <w:tcW w:w="4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Award Year</w:t>
            </w:r>
          </w:p>
        </w:tc>
        <w:tc>
          <w:tcPr>
            <w:tcW w:w="13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4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18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020" w:type="dxa"/>
            <w:vAlign w:val="bottom"/>
            <w:gridSpan w:val="2"/>
            <w:vMerge w:val="continue"/>
          </w:tcPr>
          <w:p>
            <w:pPr>
              <w:spacing w:after="0"/>
              <w:rPr>
                <w:sz w:val="16"/>
                <w:szCs w:val="16"/>
                <w:color w:val="auto"/>
              </w:rPr>
            </w:pPr>
          </w:p>
        </w:tc>
        <w:tc>
          <w:tcPr>
            <w:tcW w:w="132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6"/>
                <w:szCs w:val="16"/>
                <w:color w:val="auto"/>
              </w:rPr>
            </w:pPr>
          </w:p>
        </w:tc>
        <w:tc>
          <w:tcPr>
            <w:tcW w:w="158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0" w:type="dxa"/>
            <w:vAlign w:val="bottom"/>
          </w:tcPr>
          <w:p>
            <w:pPr>
              <w:spacing w:after="0"/>
              <w:rPr>
                <w:sz w:val="1"/>
                <w:szCs w:val="1"/>
                <w:color w:val="auto"/>
              </w:rPr>
            </w:pPr>
          </w:p>
        </w:tc>
      </w:tr>
      <w:tr>
        <w:trPr>
          <w:trHeight w:val="242"/>
        </w:trPr>
        <w:tc>
          <w:tcPr>
            <w:tcW w:w="39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Borders>
              <w:top w:val="single" w:sz="8" w:color="CCEEFF"/>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96"/>
              </w:rPr>
              <w:t>136</w:t>
            </w:r>
          </w:p>
        </w:tc>
        <w:tc>
          <w:tcPr>
            <w:tcW w:w="12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tcBorders>
              <w:top w:val="single" w:sz="8" w:color="CCEEFF"/>
            </w:tcBorders>
            <w:shd w:val="clear" w:color="auto" w:fill="CCEEFF"/>
          </w:tcPr>
          <w:p>
            <w:pPr>
              <w:spacing w:after="0"/>
              <w:rPr>
                <w:sz w:val="21"/>
                <w:szCs w:val="21"/>
                <w:color w:val="auto"/>
              </w:rPr>
            </w:pPr>
          </w:p>
        </w:tc>
        <w:tc>
          <w:tcPr>
            <w:tcW w:w="17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7.93</w:t>
            </w:r>
          </w:p>
        </w:tc>
        <w:tc>
          <w:tcPr>
            <w:tcW w:w="0" w:type="dxa"/>
            <w:vAlign w:val="bottom"/>
          </w:tcPr>
          <w:p>
            <w:pPr>
              <w:spacing w:after="0"/>
              <w:rPr>
                <w:sz w:val="1"/>
                <w:szCs w:val="1"/>
                <w:color w:val="auto"/>
              </w:rPr>
            </w:pPr>
          </w:p>
        </w:tc>
      </w:tr>
      <w:tr>
        <w:trPr>
          <w:trHeight w:val="27"/>
        </w:trPr>
        <w:tc>
          <w:tcPr>
            <w:tcW w:w="3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recognize expense for ROIC Awards based on the probable outcome of the associated performance condition. We generally recognize an expense for ROIC Awards based on the Target Performance threshold of 100% because, at the date of grant, the Target Performance is the probable level of performance achievement.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status of unvested PSUs as of June 30, 2019, and changes during the six months then ended.</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40" w:type="dxa"/>
            <w:vAlign w:val="bottom"/>
          </w:tcPr>
          <w:p>
            <w:pPr>
              <w:spacing w:after="0"/>
              <w:rPr>
                <w:sz w:val="16"/>
                <w:szCs w:val="16"/>
                <w:color w:val="auto"/>
              </w:rPr>
            </w:pPr>
          </w:p>
        </w:tc>
        <w:tc>
          <w:tcPr>
            <w:tcW w:w="3560" w:type="dxa"/>
            <w:vAlign w:val="bottom"/>
            <w:tcBorders>
              <w:bottom w:val="single" w:sz="8" w:color="auto"/>
            </w:tcBorders>
            <w:gridSpan w:val="5"/>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Nonvested TSR Awards</w:t>
            </w:r>
          </w:p>
        </w:tc>
        <w:tc>
          <w:tcPr>
            <w:tcW w:w="100" w:type="dxa"/>
            <w:vAlign w:val="bottom"/>
          </w:tcPr>
          <w:p>
            <w:pPr>
              <w:spacing w:after="0"/>
              <w:rPr>
                <w:sz w:val="16"/>
                <w:szCs w:val="16"/>
                <w:color w:val="auto"/>
              </w:rPr>
            </w:pPr>
          </w:p>
        </w:tc>
        <w:tc>
          <w:tcPr>
            <w:tcW w:w="3520" w:type="dxa"/>
            <w:vAlign w:val="bottom"/>
            <w:tcBorders>
              <w:bottom w:val="single" w:sz="8" w:color="auto"/>
            </w:tcBorders>
            <w:gridSpan w:val="4"/>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Nonvested ROIC Awards</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320" w:type="dxa"/>
            <w:vAlign w:val="bottom"/>
            <w:vMerge w:val="restart"/>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1720" w:type="dxa"/>
            <w:vAlign w:val="bottom"/>
            <w:vMerge w:val="restart"/>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424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49"/>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at January 1, 2019</w:t>
            </w:r>
          </w:p>
        </w:tc>
        <w:tc>
          <w:tcPr>
            <w:tcW w:w="13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w:t>
            </w: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26.84</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100</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24.39</w:t>
            </w:r>
          </w:p>
        </w:tc>
        <w:tc>
          <w:tcPr>
            <w:tcW w:w="0" w:type="dxa"/>
            <w:vAlign w:val="bottom"/>
          </w:tcPr>
          <w:p>
            <w:pPr>
              <w:spacing w:after="0"/>
              <w:rPr>
                <w:sz w:val="1"/>
                <w:szCs w:val="1"/>
                <w:color w:val="auto"/>
              </w:rPr>
            </w:pPr>
          </w:p>
        </w:tc>
      </w:tr>
      <w:tr>
        <w:trPr>
          <w:trHeight w:val="243"/>
        </w:trPr>
        <w:tc>
          <w:tcPr>
            <w:tcW w:w="5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tcPr>
          <w:p>
            <w:pPr>
              <w:spacing w:after="0"/>
              <w:rPr>
                <w:sz w:val="21"/>
                <w:szCs w:val="21"/>
                <w:color w:val="auto"/>
              </w:rPr>
            </w:pPr>
          </w:p>
        </w:tc>
        <w:tc>
          <w:tcPr>
            <w:tcW w:w="17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7.93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Nonvested at June 30, 2019</w:t>
            </w:r>
          </w:p>
        </w:tc>
        <w:tc>
          <w:tcPr>
            <w:tcW w:w="132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230</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16.47</w:t>
            </w:r>
          </w:p>
        </w:tc>
        <w:tc>
          <w:tcPr>
            <w:tcW w:w="100" w:type="dxa"/>
            <w:vAlign w:val="bottom"/>
          </w:tcPr>
          <w:p>
            <w:pPr>
              <w:spacing w:after="0"/>
              <w:rPr>
                <w:sz w:val="22"/>
                <w:szCs w:val="22"/>
                <w:color w:val="auto"/>
              </w:rPr>
            </w:pPr>
          </w:p>
        </w:tc>
        <w:tc>
          <w:tcPr>
            <w:tcW w:w="172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274</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13.93</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Net Income (Loss) Per Share</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0" w:type="dxa"/>
            <w:vAlign w:val="bottom"/>
          </w:tcPr>
          <w:p>
            <w:pPr>
              <w:spacing w:after="0"/>
              <w:rPr>
                <w:sz w:val="13"/>
                <w:szCs w:val="13"/>
                <w:color w:val="auto"/>
              </w:rPr>
            </w:pPr>
          </w:p>
        </w:tc>
      </w:tr>
      <w:tr>
        <w:trPr>
          <w:trHeight w:val="195"/>
        </w:trPr>
        <w:tc>
          <w:tcPr>
            <w:tcW w:w="47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r>
      <w:tr>
        <w:trPr>
          <w:trHeight w:val="264"/>
        </w:trPr>
        <w:tc>
          <w:tcPr>
            <w:tcW w:w="47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Numerator:</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(6,697)</w:t>
            </w:r>
          </w:p>
        </w:tc>
        <w:tc>
          <w:tcPr>
            <w:tcW w:w="10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(24,511)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(25,297)</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(30,494)</w:t>
            </w:r>
          </w:p>
        </w:tc>
      </w:tr>
      <w:tr>
        <w:trPr>
          <w:trHeight w:val="27"/>
        </w:trPr>
        <w:tc>
          <w:tcPr>
            <w:tcW w:w="4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Denominator:</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980" w:type="dxa"/>
            <w:vAlign w:val="bottom"/>
          </w:tcPr>
          <w:p>
            <w:pPr>
              <w:spacing w:after="0"/>
              <w:rPr>
                <w:sz w:val="21"/>
                <w:szCs w:val="21"/>
                <w:color w:val="auto"/>
              </w:rPr>
            </w:pPr>
          </w:p>
        </w:tc>
        <w:tc>
          <w:tcPr>
            <w:tcW w:w="6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42,028</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27,696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42,000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27,632</w:t>
            </w:r>
          </w:p>
        </w:tc>
      </w:tr>
      <w:tr>
        <w:trPr>
          <w:trHeight w:val="27"/>
        </w:trPr>
        <w:tc>
          <w:tcPr>
            <w:tcW w:w="4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Effect of dilutive stock options</w:t>
            </w:r>
          </w:p>
        </w:tc>
        <w:tc>
          <w:tcPr>
            <w:tcW w:w="9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Diluted shares outstanding</w:t>
            </w:r>
          </w:p>
        </w:tc>
        <w:tc>
          <w:tcPr>
            <w:tcW w:w="9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42,028</w:t>
            </w:r>
          </w:p>
        </w:tc>
        <w:tc>
          <w:tcPr>
            <w:tcW w:w="1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27,696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42,000</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27,632</w:t>
            </w:r>
          </w:p>
        </w:tc>
      </w:tr>
      <w:tr>
        <w:trPr>
          <w:trHeight w:val="67"/>
        </w:trPr>
        <w:tc>
          <w:tcPr>
            <w:tcW w:w="4700" w:type="dxa"/>
            <w:vAlign w:val="bottom"/>
            <w:tcBorders>
              <w:bottom w:val="single" w:sz="8" w:color="CCEEFF"/>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r>
      <w:tr>
        <w:trPr>
          <w:trHeight w:val="231"/>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Per common share net loss:</w:t>
            </w:r>
          </w:p>
        </w:tc>
        <w:tc>
          <w:tcPr>
            <w:tcW w:w="9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Basic net loss per share</w:t>
            </w:r>
          </w:p>
        </w:tc>
        <w:tc>
          <w:tcPr>
            <w:tcW w:w="980" w:type="dxa"/>
            <w:vAlign w:val="bottom"/>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7"/>
        </w:trPr>
        <w:tc>
          <w:tcPr>
            <w:tcW w:w="4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Diluted net loss per share</w:t>
            </w:r>
          </w:p>
        </w:tc>
        <w:tc>
          <w:tcPr>
            <w:tcW w:w="980" w:type="dxa"/>
            <w:vAlign w:val="bottom"/>
            <w:tcBorders>
              <w:bottom w:val="single" w:sz="8" w:color="CCEEFF"/>
            </w:tcBorders>
            <w:shd w:val="clear" w:color="auto" w:fill="CCEEFF"/>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dividends declared per share</w:t>
            </w:r>
          </w:p>
        </w:tc>
        <w:tc>
          <w:tcPr>
            <w:tcW w:w="980" w:type="dxa"/>
            <w:vAlign w:val="bottom"/>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0.14</w:t>
            </w:r>
          </w:p>
        </w:tc>
      </w:tr>
    </w:tbl>
    <w:p>
      <w:pPr>
        <w:spacing w:after="0" w:line="17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calculation of diluted net loss per share for the three and six months ended June 30, 2019, excludes 0.8 million and 0.8 million, respectively, of potentially dilutive stock options, which had the effect of being anti-dilutive. The calculation of diluted net loss per share for the three and six months ended June 30, 2018, excludes 0.8 million and 0.8 million, respectively, of potentially dilutive stock options, which had the effect of being anti-dilutive. Given the net loss for the three and six months ended June 30, 2019 and 2018, all options are considered anti-dilutive and were excluded from the calculation of diluted net loss per share.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Fair Value Measurements</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Fair value is an exit price representing the expected amount that an entity would receive to sell an asset or pay to transfer a liability in an orderly transaction with market participants at the measurement date. We followed consistent methods and assumptions to estimate fair values as more fully described in the 2018 Annual Report.</w:t>
      </w:r>
    </w:p>
    <w:p>
      <w:pPr>
        <w:spacing w:after="0" w:line="6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financial instruments that are subject to fair value disclosure consist of cash and cash equivalents, accounts receivable, accounts payable, derivatives, and long-term debt. As of June 30, 2019, the carrying values of these financial instruments approximated fair value. The fair value of floating-rate debt approximates the carrying amount because the interest rates paid are based on short-term maturities. The fair value of our outstanding fixed-rate debt included in the “International lines of credit and other loans” line item within Note 9 to these Notes to Condensed Consolidated Financial Statements was $9.5 million and $10.4 million as of June 30, 2019 and December 31, 2018, respectively. These fair values represent Level 2 under the three-tier hierarchy described above. The book value of our outstanding fixed-rate debt included in the “International lines of credit and other loans” line item within Note 9 to these Notes to Condensed Consolidated Financial Statements was $9.4 million and $9.8 million as of June 30, 2019 and December 31, 2018, respectively.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Recurring Fair Value Measurements</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Fair value principles prioritize valuation inputs across three broad levels.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assumptions used to measure assets and liabilities at fair value. An asset or liability’s classification within the various levels is determined based on the lowest level input that is significant to the fair value measurement.</w:t>
      </w:r>
    </w:p>
    <w:p>
      <w:pPr>
        <w:spacing w:after="0" w:line="76"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We manage our exposure to fluctuations in interest rates using a mix of fixed and variable rate debt. On February 8, 2019, we entered into a $700.0 million fixed-rate interest rate swap agreement that changed the LIBOR-based portion of the interest rate on a portion of our variable rate debt to a fixed rate of 2.4575% (the “interest rate swap”). The term of the interest rate swap is from the effective date of February 12, 2019, through the termination date of October 19, 2022 (the “interest rate swap term”). The interest rate swap effectively mitigates our exposures to the risks and variability of changes in LIBOR.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notional amount of the interest rate swap will decrease over the interest rate swap term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0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Notional Amount</w:t>
            </w:r>
          </w:p>
        </w:tc>
      </w:tr>
      <w:tr>
        <w:trPr>
          <w:trHeight w:val="249"/>
        </w:trPr>
        <w:tc>
          <w:tcPr>
            <w:tcW w:w="7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February 12,</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2019</w:t>
            </w:r>
          </w:p>
        </w:tc>
        <w:tc>
          <w:tcPr>
            <w:tcW w:w="16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9"/>
              </w:rPr>
              <w:t>- December 30, 2020</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700,000</w:t>
            </w:r>
          </w:p>
        </w:tc>
      </w:tr>
      <w:tr>
        <w:trPr>
          <w:trHeight w:val="243"/>
        </w:trPr>
        <w:tc>
          <w:tcPr>
            <w:tcW w:w="7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2020</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December 30,</w:t>
            </w: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2021</w:t>
            </w:r>
          </w:p>
        </w:tc>
        <w:tc>
          <w:tcPr>
            <w:tcW w:w="28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466,667</w:t>
            </w:r>
          </w:p>
        </w:tc>
      </w:tr>
      <w:tr>
        <w:trPr>
          <w:trHeight w:val="27"/>
        </w:trPr>
        <w:tc>
          <w:tcPr>
            <w:tcW w:w="8960" w:type="dxa"/>
            <w:vAlign w:val="bottom"/>
            <w:gridSpan w:val="3"/>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3"/>
        </w:trPr>
        <w:tc>
          <w:tcPr>
            <w:tcW w:w="8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December 31, 2021 - October 19,</w:t>
            </w:r>
          </w:p>
        </w:tc>
        <w:tc>
          <w:tcPr>
            <w:tcW w:w="5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9"/>
              </w:rPr>
              <w:t>2022</w:t>
            </w:r>
          </w:p>
        </w:tc>
        <w:tc>
          <w:tcPr>
            <w:tcW w:w="280" w:type="dxa"/>
            <w:vAlign w:val="bottom"/>
            <w:shd w:val="clear" w:color="auto" w:fill="CCEEFF"/>
          </w:tcPr>
          <w:p>
            <w:pPr>
              <w:spacing w:after="0"/>
              <w:rPr>
                <w:sz w:val="21"/>
                <w:szCs w:val="21"/>
                <w:color w:val="auto"/>
              </w:rPr>
            </w:pP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233,333</w:t>
            </w:r>
          </w:p>
        </w:tc>
      </w:tr>
      <w:tr>
        <w:trPr>
          <w:trHeight w:val="27"/>
        </w:trPr>
        <w:tc>
          <w:tcPr>
            <w:tcW w:w="74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objective of the interest rate swap is to eliminate the variability of cash flows in interest payments on the first $700.0 million of variable rate debt attributable to changes in benchmark one-month LIBOR interest rates. The hedged risk is the interest rate risk exposure to changes in interest payments, attributable to changes in benchmark one-month LIBOR interest rates over the interest rate swap term. If one-month LIBOR is greater than the minimum percentage under the Senior Secured Term Loan, the changes in cash flows of the interest rate swap are expected to exactly offset changes in cash flows of the variable rate debt. The interest rate swap is designated as a cash flow hedge.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2019, we reported a $10.8 million loss, net of tax, in accumulated other comprehensive income related to the interest rate swap.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shows the liabilities measured at fair value on a recurring basis for the interest rate swap as of June 30, 2019.</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20" w:type="dxa"/>
            <w:vAlign w:val="bottom"/>
            <w:tcBorders>
              <w:bottom w:val="single" w:sz="8" w:color="auto"/>
            </w:tcBorders>
            <w:gridSpan w:val="6"/>
          </w:tcPr>
          <w:p>
            <w:pPr>
              <w:jc w:val="center"/>
              <w:ind w:left="1021"/>
              <w:spacing w:after="0"/>
              <w:rPr>
                <w:sz w:val="20"/>
                <w:szCs w:val="20"/>
                <w:color w:val="auto"/>
              </w:rPr>
            </w:pPr>
            <w:r>
              <w:rPr>
                <w:rFonts w:ascii="Times New Roman" w:cs="Times New Roman" w:eastAsia="Times New Roman" w:hAnsi="Times New Roman"/>
                <w:sz w:val="14"/>
                <w:szCs w:val="14"/>
                <w:b w:val="1"/>
                <w:bCs w:val="1"/>
                <w:color w:val="auto"/>
              </w:rPr>
              <w:t>Fair Value Measurements as of June 30, 2019</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200" w:type="dxa"/>
            <w:vAlign w:val="bottom"/>
          </w:tcPr>
          <w:p>
            <w:pPr>
              <w:spacing w:after="0"/>
              <w:rPr>
                <w:sz w:val="12"/>
                <w:szCs w:val="12"/>
                <w:color w:val="auto"/>
              </w:rPr>
            </w:pPr>
          </w:p>
        </w:tc>
        <w:tc>
          <w:tcPr>
            <w:tcW w:w="16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 Unobservable</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2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tcPr>
          <w:p>
            <w:pPr>
              <w:spacing w:after="0"/>
              <w:rPr>
                <w:sz w:val="12"/>
                <w:szCs w:val="12"/>
                <w:color w:val="auto"/>
              </w:rPr>
            </w:pPr>
          </w:p>
        </w:tc>
        <w:tc>
          <w:tcPr>
            <w:tcW w:w="17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Pr>
          <w:p>
            <w:pPr>
              <w:spacing w:after="0"/>
              <w:rPr>
                <w:sz w:val="12"/>
                <w:szCs w:val="12"/>
                <w:color w:val="auto"/>
              </w:rPr>
            </w:pPr>
          </w:p>
        </w:tc>
        <w:tc>
          <w:tcPr>
            <w:tcW w:w="16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500" w:type="dxa"/>
            <w:vAlign w:val="bottom"/>
          </w:tcPr>
          <w:p>
            <w:pPr>
              <w:spacing w:after="0"/>
              <w:rPr>
                <w:sz w:val="12"/>
                <w:szCs w:val="12"/>
                <w:color w:val="auto"/>
              </w:rPr>
            </w:pPr>
          </w:p>
        </w:tc>
        <w:tc>
          <w:tcPr>
            <w:tcW w:w="1200" w:type="dxa"/>
            <w:vAlign w:val="bottom"/>
          </w:tcPr>
          <w:p>
            <w:pPr>
              <w:jc w:val="center"/>
              <w:ind w:right="437"/>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95"/>
        </w:trPr>
        <w:tc>
          <w:tcPr>
            <w:tcW w:w="60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417"/>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49"/>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Derivative liability - other current 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CCEEFF"/>
            </w:tcBorders>
            <w:gridSpan w:val="2"/>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4,244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Derivative liability - other non-current liabilities</w:t>
            </w:r>
          </w:p>
        </w:tc>
        <w:tc>
          <w:tcPr>
            <w:tcW w:w="120" w:type="dxa"/>
            <w:vAlign w:val="bottom"/>
          </w:tcPr>
          <w:p>
            <w:pPr>
              <w:spacing w:after="0"/>
              <w:rPr>
                <w:sz w:val="21"/>
                <w:szCs w:val="21"/>
                <w:color w:val="auto"/>
              </w:rPr>
            </w:pPr>
          </w:p>
        </w:tc>
        <w:tc>
          <w:tcPr>
            <w:tcW w:w="17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9,671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13,915</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inputs for determining fair value of the interest rate swap are classified as Level 2 inputs. Level 2 fair value is based on estimates using standard pricing models. These standard pricing models use inputs which are derived from or corroborated by observable market data such as interest rate yield curves, index forward curves, discount curves, and volatility surfaces. Counterparty to this derivative contract is a highly rated financial institution which we believe carries only a minimal risk of nonperformance.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2018, we had no interest rate swap agreements or other derivative financial instruments outstanding.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Subsequent Event</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202124"/>
        </w:rPr>
        <w:t>On August 8, 2019, we signed a definitive agreement to sell our former headquarters building in Johnson City, Tennessee, for net proceeds of approximately $4 million. We anticipate the closing of this sale will occur during the third quarter of 2019 and result in no material gain or loss as a result of the disposition.</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NN, Inc. is a global diversified industrial company that combines advanced engineering and production capabilities with in-depth materials science expertise to design and manufacture high-precision components and assemblies for the medical, aerospace and defense, electrical, automotive, and general industrial markets. As used in this Quarterly Report, the terms “NN,” the “Company,” “we,” “our,” or “us” refer to NN, Inc. and its subsidiaries. As of June 30, 2019, we had 51 facilities in North America, Europe, South America, and China.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This Quarterly Report contains forward-looking statements that are made pursuant to the safe harbor provisions of the Private Securities Litigation Reform Act of 1995. These statements may discuss goals, intentions and expectations as to future trends, plans, events, results of operations or financial condition, or state other information relating to NN, Inc., based on current beliefs of management as well as assumptions made by, and information currently available to, management. Forward-looking statements generally will be accompanied by words such as “anticipate,” “believe,” “could,” “estimate,” “expect,” “forecast,” “guidance,” “intend,” “may,” “possible,” “potential,” “predict,” “project” or other similar words, phrases or expressions. Forward-looking statements involve a number of risks and uncertainties that are outside of management’s control and that may</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cause actual results to be materially different from such forward-looking statements. Such factors include, among others, general economic conditions and economic conditions in the industrial sector, competitive influences, risks that current customers will commence or increase captive production, risks of capacity underutilization, quality issues, availability of raw materials, currency and other risks associated with international trade, our dependence on certain major customers, the impact of acquisitions and divestitures, the level of our indebtedness, the restrictions contained in our debt agreements, our ability to obtain financing at favorable rates, if at all, and to refinance existing debt as it matures, unanticipated difficulties integrating acquisitions, new laws and governmental regulations, and other risk factors and cautionary statements listed from time-to-time in our periodic reports filed with the Securities and Exchange Commission. We disclaim any obligation to update any such factors or to publicly announce the result of any revisions to any of the forward-looking statements included herein or therein to reflect future events or developments.</w:t>
      </w:r>
    </w:p>
    <w:p>
      <w:pPr>
        <w:spacing w:after="0" w:line="7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For additional information concerning such risk factors and cautionary statements, please see the section titled “Item 1A. Risk Factors” in the 2018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Factors That May Influence Results of Operations</w:t>
      </w:r>
    </w:p>
    <w:p>
      <w:pPr>
        <w:spacing w:after="0" w:line="11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paragraphs describe factors that have influenced results of operations for the six months ended June 30, 2019, that management believes are important to provide an understanding of the business and results of operations, or that may influence operations in the future.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Management Structure</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2018, we implemented a new enterprise and management structure designed to accelerate growth and further balance our portfolio by aligning our strategic assets and businesses. Our businesses were reorganized into the Mobile Solutions, Power Solutions, and Life Sciences groups and are based principally on the end markets they serve. Mobile Solutions is focused on growth in the general industrial and automotive end markets. Power Solutions is focused on growth in the electrical and aerospace and defense end markets. Life Sciences is focused on growth in the medical end market.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Acquisitions</w:t>
      </w:r>
    </w:p>
    <w:p>
      <w:pPr>
        <w:spacing w:after="0" w:line="117" w:lineRule="exact"/>
        <w:rPr>
          <w:sz w:val="20"/>
          <w:szCs w:val="20"/>
          <w:color w:val="auto"/>
        </w:rPr>
      </w:pPr>
    </w:p>
    <w:p>
      <w:pPr>
        <w:jc w:val="both"/>
        <w:ind w:right="580"/>
        <w:spacing w:after="0" w:line="266" w:lineRule="auto"/>
        <w:rPr>
          <w:sz w:val="20"/>
          <w:szCs w:val="20"/>
          <w:color w:val="auto"/>
        </w:rPr>
      </w:pPr>
      <w:r>
        <w:rPr>
          <w:rFonts w:ascii="Times New Roman" w:cs="Times New Roman" w:eastAsia="Times New Roman" w:hAnsi="Times New Roman"/>
          <w:sz w:val="18"/>
          <w:szCs w:val="18"/>
          <w:color w:val="auto"/>
        </w:rPr>
        <w:t>In February 2018, we acquired 100% of the assets of Bridgemedica, LLC (“Bridgemedica”). Bridgemedica is a medical device company that provides concept to supply solutions through design, development engineering, and manufacturing. Operating results of Bridgemedica are reported in our Life Sciences group.</w:t>
      </w:r>
    </w:p>
    <w:p>
      <w:pPr>
        <w:spacing w:after="0" w:line="68"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In May 2018, we acquired 100% of the stock of PMG Intermediate Holding Corporation, the parent company of Paragon Medical, Inc. (“Paragon Medical”). Paragon Medical is a medical device manufacturer that focuses on the orthopedic, case and tray, implant, and instrument markets. Operating results of Paragon Medical are reported in our Life Sciences group.</w:t>
      </w:r>
    </w:p>
    <w:p>
      <w:pPr>
        <w:spacing w:after="0" w:line="68"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In August 2018, we acquired 100% of the capital stock of Southern California Technical Arts, Inc. (“Technical Arts”). Technical Arts is an industrial machining company that manufactures tight tolerance metal components and assemblies. The acquisition of Technical Arts expands our presence in the aerospace and defense end market. Operating results of Technical Arts are reported in our Power Solutions group.</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121" w:right="25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June 30, 2019, compared to the Three Months Ended June 30, 2018</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5"/>
          </w:tcPr>
          <w:p>
            <w:pPr>
              <w:jc w:val="right"/>
              <w:ind w:right="1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80" w:type="dxa"/>
            <w:vAlign w:val="bottom"/>
            <w:tcBorders>
              <w:bottom w:val="single" w:sz="8" w:color="auto"/>
            </w:tcBorders>
          </w:tcPr>
          <w:p>
            <w:pPr>
              <w:spacing w:after="0"/>
              <w:rPr>
                <w:sz w:val="16"/>
                <w:szCs w:val="16"/>
                <w:color w:val="auto"/>
              </w:rPr>
            </w:pPr>
          </w:p>
        </w:tc>
      </w:tr>
      <w:tr>
        <w:trPr>
          <w:trHeight w:val="264"/>
        </w:trPr>
        <w:tc>
          <w:tcPr>
            <w:tcW w:w="52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80" w:type="dxa"/>
            <w:vAlign w:val="bottom"/>
            <w:tcBorders>
              <w:bottom w:val="single" w:sz="8" w:color="auto"/>
            </w:tcBorders>
          </w:tcPr>
          <w:p>
            <w:pPr>
              <w:spacing w:after="0"/>
              <w:rPr>
                <w:sz w:val="22"/>
                <w:szCs w:val="22"/>
                <w:color w:val="auto"/>
              </w:rPr>
            </w:pPr>
          </w:p>
        </w:tc>
      </w:tr>
      <w:tr>
        <w:trPr>
          <w:trHeight w:val="249"/>
        </w:trPr>
        <w:tc>
          <w:tcPr>
            <w:tcW w:w="5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221,666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196,349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25,317</w:t>
            </w: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Acquisitions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i w:val="1"/>
                <w:iCs w:val="1"/>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19,457</w:t>
            </w: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i w:val="1"/>
                <w:iCs w:val="1"/>
                <w:color w:val="auto"/>
              </w:rPr>
              <w:t>Volume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7,579</w:t>
            </w:r>
          </w:p>
        </w:tc>
      </w:tr>
      <w:tr>
        <w:trPr>
          <w:trHeight w:val="243"/>
        </w:trPr>
        <w:tc>
          <w:tcPr>
            <w:tcW w:w="522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Foreign exchange effects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(2,371)</w:t>
            </w: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i w:val="1"/>
                <w:iCs w:val="1"/>
                <w:color w:val="auto"/>
              </w:rPr>
              <w:t>Price/mix/inflation/other</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652</w:t>
            </w:r>
          </w:p>
        </w:tc>
      </w:tr>
      <w:tr>
        <w:trPr>
          <w:trHeight w:val="225"/>
        </w:trPr>
        <w:tc>
          <w:tcPr>
            <w:tcW w:w="5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sales (exclusive of depreciation and amortization shown</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4"/>
        </w:trPr>
        <w:tc>
          <w:tcPr>
            <w:tcW w:w="5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separately below)</w:t>
            </w:r>
          </w:p>
        </w:tc>
        <w:tc>
          <w:tcPr>
            <w:tcW w:w="36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163,513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148,640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14,873</w:t>
            </w: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i w:val="1"/>
                <w:iCs w:val="1"/>
                <w:color w:val="auto"/>
              </w:rPr>
              <w:t>Acquisitions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i w:val="1"/>
                <w:iCs w:val="1"/>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13,159</w:t>
            </w:r>
          </w:p>
        </w:tc>
      </w:tr>
      <w:tr>
        <w:trPr>
          <w:trHeight w:val="243"/>
        </w:trPr>
        <w:tc>
          <w:tcPr>
            <w:tcW w:w="522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Volume</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6,757</w:t>
            </w: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i w:val="1"/>
                <w:iCs w:val="1"/>
                <w:color w:val="auto"/>
              </w:rPr>
              <w:t>Foreign exchange effects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(1,882)</w:t>
            </w:r>
          </w:p>
        </w:tc>
      </w:tr>
      <w:tr>
        <w:trPr>
          <w:trHeight w:val="243"/>
        </w:trPr>
        <w:tc>
          <w:tcPr>
            <w:tcW w:w="522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Cost reduction projects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(5,637)</w:t>
            </w: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i w:val="1"/>
                <w:iCs w:val="1"/>
                <w:color w:val="auto"/>
              </w:rPr>
              <w:t>Inflation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2,958</w:t>
            </w:r>
          </w:p>
        </w:tc>
      </w:tr>
      <w:tr>
        <w:trPr>
          <w:trHeight w:val="243"/>
        </w:trPr>
        <w:tc>
          <w:tcPr>
            <w:tcW w:w="522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Mix/other</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(482)</w:t>
            </w: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26,743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26,641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102</w:t>
            </w: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25"/>
        </w:trPr>
        <w:tc>
          <w:tcPr>
            <w:tcW w:w="5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Acquisition related costs excluded from selling, general and</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4"/>
        </w:trPr>
        <w:tc>
          <w:tcPr>
            <w:tcW w:w="5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administrative expense</w:t>
            </w:r>
          </w:p>
        </w:tc>
        <w:tc>
          <w:tcPr>
            <w:tcW w:w="3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3,437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(3,437)</w:t>
            </w: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22,924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16,258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6,666</w:t>
            </w: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314</w:t>
            </w: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Restructuring and integration expense, net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1,591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5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r>
      <w:tr>
        <w:trPr>
          <w:trHeight w:val="237"/>
        </w:trPr>
        <w:tc>
          <w:tcPr>
            <w:tcW w:w="5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8,098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8,390</w:t>
            </w: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13,958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15,988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on extinguishment of debt and write-off of debt issuance costs</w:t>
            </w:r>
          </w:p>
        </w:tc>
        <w:tc>
          <w:tcPr>
            <w:tcW w:w="3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12,938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(12,938)</w:t>
            </w: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1,887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5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r>
      <w:tr>
        <w:trPr>
          <w:trHeight w:val="205"/>
        </w:trPr>
        <w:tc>
          <w:tcPr>
            <w:tcW w:w="522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Loss before (provision) benefit for income taxes and share of net</w:t>
            </w: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4"/>
        </w:trPr>
        <w:tc>
          <w:tcPr>
            <w:tcW w:w="5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from joint venture</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(31,105)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25,188</w:t>
            </w: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5,947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(6,524)</w:t>
            </w: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 of net income (loss) from joint venture</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69"/>
        </w:trPr>
        <w:tc>
          <w:tcPr>
            <w:tcW w:w="5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17,814</w:t>
            </w:r>
          </w:p>
        </w:tc>
        <w:tc>
          <w:tcPr>
            <w:tcW w:w="5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bl>
    <w:p>
      <w:pPr>
        <w:spacing w:after="0" w:line="8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increased by $25.3 million, or 13%, in the three months ended June 30, 2019, compared to the three months ended June 30, 2018,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$19.5 million of net sales attributable to the 2018 business acquisitions as well as an increase in volume of $7.6 million, as a result of an increase in core volume in the medical end market partially offset by lower demand within the automotive end market. The increase in net sales was partially offset by unfavorable foreign exchange effects of $2.4 million, primarily in Brazil and China.</w:t>
      </w:r>
    </w:p>
    <w:p>
      <w:pPr>
        <w:spacing w:after="0" w:line="7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Cost of Sales. </w:t>
      </w:r>
      <w:r>
        <w:rPr>
          <w:rFonts w:ascii="Times New Roman" w:cs="Times New Roman" w:eastAsia="Times New Roman" w:hAnsi="Times New Roman"/>
          <w:sz w:val="18"/>
          <w:szCs w:val="18"/>
          <w:color w:val="auto"/>
        </w:rPr>
        <w:t>Cost of sales increased by $14.9 million, or 10%, in the three months ended June 30, 2019, compared to the three months ended June 30, 2018,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$13.2 million in cost of sales attributable to the 2018 business acquisitions. The increase in cost of sales was partially offset by favorable foreign exchange effects of $1.9 million and $5.6 million in cost savings from production process improvement projects. Material and labor inflation contributed $3.0 million to the increase in cost of sales.</w:t>
      </w:r>
    </w:p>
    <w:p>
      <w:pPr>
        <w:spacing w:after="0" w:line="7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 </w:t>
      </w:r>
      <w:r>
        <w:rPr>
          <w:rFonts w:ascii="Times New Roman" w:cs="Times New Roman" w:eastAsia="Times New Roman" w:hAnsi="Times New Roman"/>
          <w:sz w:val="18"/>
          <w:szCs w:val="18"/>
          <w:color w:val="auto"/>
        </w:rPr>
        <w:t>Selling, general and administrative expense increased by $0.1 million during the three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2019, compared to the three months ended June 30, 2018, primarily due to the 2018 business acquisitions, which collectively contributed $2.2 million to selling, general and administrative expense during the three months ended June 30, 2019, as well as severance and employee-related costs associated with the closure of the Johnson City, Tennessee, shared service center in June 2019 and the chief financial officer transition. These increases were offset by lower costs for professional services as a result of our strategic initiatives, including integration of recent acquisitions.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Acquisition Related Costs Excluded from Selling, General and Administrative Expense. </w:t>
      </w:r>
      <w:r>
        <w:rPr>
          <w:rFonts w:ascii="Times New Roman" w:cs="Times New Roman" w:eastAsia="Times New Roman" w:hAnsi="Times New Roman"/>
          <w:sz w:val="18"/>
          <w:szCs w:val="18"/>
          <w:color w:val="auto"/>
        </w:rPr>
        <w:t>Acquisition related costs decreased during the three months ended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2019, compared to the three months ended June 30, 2018, as there was no business acquisition activity during the three months ended June 30, 2019.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three months ended June 30, 2018, included professional service costs incurred in connection with the 2018 business acquisitions.</w:t>
      </w:r>
    </w:p>
    <w:p>
      <w:pPr>
        <w:sectPr>
          <w:pgSz w:w="11900" w:h="16838" w:orient="portrait"/>
          <w:cols w:equalWidth="0" w:num="1">
            <w:col w:w="11400"/>
          </w:cols>
          <w:pgMar w:left="240" w:top="121" w:right="259" w:bottom="1440" w:gutter="0" w:footer="0" w:header="0"/>
        </w:sect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00"/>
          </w:cols>
          <w:pgMar w:left="240" w:top="121" w:right="259" w:bottom="1440" w:gutter="0" w:footer="0" w:header="0"/>
          <w:type w:val="continuous"/>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increased during the three months ended June 30, 2019, compared to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2018, consistent with additions to intangible assets and property, plant and equipment, including $2.8 million from the 2018 business acquisitions. The increase in depreciation and amortization includes the effects of related fair value adjustments to certain property, plant and equipment and the addition of intangible assets, principally for customer relationships and trade names.</w:t>
      </w:r>
    </w:p>
    <w:p>
      <w:pPr>
        <w:spacing w:after="0" w:line="7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Restructuring and Integration Expense. </w:t>
      </w:r>
      <w:r>
        <w:rPr>
          <w:rFonts w:ascii="Times New Roman" w:cs="Times New Roman" w:eastAsia="Times New Roman" w:hAnsi="Times New Roman"/>
          <w:sz w:val="18"/>
          <w:szCs w:val="18"/>
          <w:color w:val="auto"/>
        </w:rPr>
        <w:t>Restructuring and integration expense decreased during the three months ended June 30, 2019, compared to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2018, primarily due to employee severance costs incurred in connection with the Paragon Medical acquisition in 2018. Note 11 in the Notes to Condensed Consolidated Financial Statements provides more information regarding the effects of restructuring and integration on our operating results.</w:t>
      </w:r>
    </w:p>
    <w:p>
      <w:pPr>
        <w:spacing w:after="0" w:line="72"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decreased by $2.0 million during the three months ended June 30, 2019, compared to the three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2018, primarily due to the $200.0 million secured second lien term loan facility (“Second Lien Facility”), which was executed in May 2018 and repaid in full in September 2018.</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60" w:type="dxa"/>
            <w:vAlign w:val="bottom"/>
            <w:tcBorders>
              <w:bottom w:val="single" w:sz="8" w:color="auto"/>
            </w:tcBorders>
          </w:tcPr>
          <w:p>
            <w:pPr>
              <w:spacing w:after="0"/>
              <w:rPr>
                <w:sz w:val="16"/>
                <w:szCs w:val="16"/>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660" w:type="dxa"/>
            <w:vAlign w:val="bottom"/>
            <w:tcBorders>
              <w:bottom w:val="single" w:sz="8" w:color="auto"/>
            </w:tcBorders>
          </w:tcPr>
          <w:p>
            <w:pPr>
              <w:spacing w:after="0"/>
              <w:rPr>
                <w:sz w:val="22"/>
                <w:szCs w:val="22"/>
                <w:color w:val="auto"/>
              </w:rPr>
            </w:pPr>
          </w:p>
        </w:tc>
      </w:tr>
      <w:tr>
        <w:trPr>
          <w:trHeight w:val="249"/>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on debt</w:t>
            </w: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13,067</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14,875</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1,162</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1,225</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Capitalized interest</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w:t>
            </w:r>
          </w:p>
        </w:tc>
      </w:tr>
      <w:tr>
        <w:trPr>
          <w:trHeight w:val="27"/>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interest expense</w:t>
            </w: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13,958</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15,988</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Loss on Extinguishment of Debt and Write-off of Unamortized Debt Issuance Costs. </w:t>
      </w:r>
      <w:r>
        <w:rPr>
          <w:rFonts w:ascii="Times New Roman" w:cs="Times New Roman" w:eastAsia="Times New Roman" w:hAnsi="Times New Roman"/>
          <w:sz w:val="18"/>
          <w:szCs w:val="18"/>
          <w:color w:val="auto"/>
        </w:rPr>
        <w:t>Loss on extinguishment of debt and write-off of unamortized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issuance costs decreased during the three months ended June 30, 2019, compared to the three months ended June 30, 2018, due to costs written off associated with the Second Lien Facility and amendment to the existing credit facility in May 2018.</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Other (income) expense, net. </w:t>
      </w:r>
      <w:r>
        <w:rPr>
          <w:rFonts w:ascii="Times New Roman" w:cs="Times New Roman" w:eastAsia="Times New Roman" w:hAnsi="Times New Roman"/>
          <w:sz w:val="18"/>
          <w:szCs w:val="18"/>
          <w:color w:val="auto"/>
        </w:rPr>
        <w:t>Other (income) expense, net decreased during the three months ended June 30, 2019, compared to the three months ended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2018, primarily due to unfavorable foreign exchange effects associated with intercompany borrowings during the three months ended June 30, 2018.</w:t>
      </w:r>
    </w:p>
    <w:p>
      <w:pPr>
        <w:spacing w:after="0" w:line="97" w:lineRule="exact"/>
        <w:rPr>
          <w:sz w:val="20"/>
          <w:szCs w:val="20"/>
          <w:color w:val="auto"/>
        </w:rPr>
      </w:pPr>
    </w:p>
    <w:p>
      <w:pPr>
        <w:ind w:right="3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Provision/Benefit for Income Taxes. </w:t>
      </w:r>
      <w:r>
        <w:rPr>
          <w:rFonts w:ascii="Times New Roman" w:cs="Times New Roman" w:eastAsia="Times New Roman" w:hAnsi="Times New Roman"/>
          <w:sz w:val="18"/>
          <w:szCs w:val="18"/>
          <w:color w:val="auto"/>
        </w:rPr>
        <w:t>Our effective tax rate was (9.8)% for the three months ended June 30, 2019, compared to 19.1%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2018. Note 8 in the Notes to Condensed Consolidated Financial Statements describes the components of income taxes for each period presented.</w:t>
      </w:r>
    </w:p>
    <w:p>
      <w:pPr>
        <w:spacing w:after="0" w:line="65" w:lineRule="exact"/>
        <w:rPr>
          <w:sz w:val="20"/>
          <w:szCs w:val="20"/>
          <w:color w:val="auto"/>
        </w:rPr>
      </w:pPr>
    </w:p>
    <w:p>
      <w:pPr>
        <w:ind w:right="5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Share of Net Income from Joint Venture. </w:t>
      </w:r>
      <w:r>
        <w:rPr>
          <w:rFonts w:ascii="Times New Roman" w:cs="Times New Roman" w:eastAsia="Times New Roman" w:hAnsi="Times New Roman"/>
          <w:sz w:val="18"/>
          <w:szCs w:val="18"/>
          <w:color w:val="auto"/>
        </w:rPr>
        <w:t>Our share of net income from a Chinese joint venture in our Mobile Solutions group decreased by $0.9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price and volume decreases resulting from reduced demand in the Chinese automotive market.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Results by Segment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MOBILE SOLUTIONS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52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60" w:type="dxa"/>
            <w:vAlign w:val="bottom"/>
            <w:tcBorders>
              <w:bottom w:val="single" w:sz="8" w:color="auto"/>
            </w:tcBorders>
          </w:tcPr>
          <w:p>
            <w:pPr>
              <w:spacing w:after="0"/>
              <w:rPr>
                <w:sz w:val="22"/>
                <w:szCs w:val="22"/>
                <w:color w:val="auto"/>
              </w:rPr>
            </w:pPr>
          </w:p>
        </w:tc>
      </w:tr>
      <w:tr>
        <w:trPr>
          <w:trHeight w:val="249"/>
        </w:trPr>
        <w:tc>
          <w:tcPr>
            <w:tcW w:w="5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79,444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88,079</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574"/>
              <w:spacing w:after="0"/>
              <w:rPr>
                <w:sz w:val="20"/>
                <w:szCs w:val="20"/>
                <w:color w:val="auto"/>
              </w:rPr>
            </w:pPr>
            <w:r>
              <w:rPr>
                <w:rFonts w:ascii="Times New Roman" w:cs="Times New Roman" w:eastAsia="Times New Roman" w:hAnsi="Times New Roman"/>
                <w:sz w:val="18"/>
                <w:szCs w:val="18"/>
                <w:color w:val="auto"/>
              </w:rPr>
              <w:t>(8,635)</w:t>
            </w: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Volume</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20" w:type="dxa"/>
            <w:vAlign w:val="bottom"/>
          </w:tcPr>
          <w:p>
            <w:pPr>
              <w:jc w:val="right"/>
              <w:ind w:right="394"/>
              <w:spacing w:after="0"/>
              <w:rPr>
                <w:sz w:val="20"/>
                <w:szCs w:val="20"/>
                <w:color w:val="auto"/>
              </w:rPr>
            </w:pPr>
            <w:r>
              <w:rPr>
                <w:rFonts w:ascii="Times New Roman" w:cs="Times New Roman" w:eastAsia="Times New Roman" w:hAnsi="Times New Roman"/>
                <w:sz w:val="18"/>
                <w:szCs w:val="18"/>
                <w:i w:val="1"/>
                <w:i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(7,264)</w:t>
            </w: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i w:val="1"/>
                <w:iCs w:val="1"/>
                <w:color w:val="auto"/>
              </w:rPr>
              <w:t>Foreign exchange effects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(1,823)</w:t>
            </w:r>
          </w:p>
        </w:tc>
      </w:tr>
      <w:tr>
        <w:trPr>
          <w:trHeight w:val="243"/>
        </w:trPr>
        <w:tc>
          <w:tcPr>
            <w:tcW w:w="522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Price/mix/inflation/other</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452</w:t>
            </w: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5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4,092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7,380</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8"/>
                <w:szCs w:val="18"/>
                <w:color w:val="auto"/>
              </w:rPr>
              <w:t>(3,288)</w:t>
            </w:r>
          </w:p>
        </w:tc>
        <w:tc>
          <w:tcPr>
            <w:tcW w:w="860" w:type="dxa"/>
            <w:vAlign w:val="bottom"/>
            <w:shd w:val="clear" w:color="auto" w:fill="CCEEFF"/>
          </w:tcPr>
          <w:p>
            <w:pPr>
              <w:spacing w:after="0"/>
              <w:rPr>
                <w:sz w:val="21"/>
                <w:szCs w:val="21"/>
                <w:color w:val="auto"/>
              </w:rPr>
            </w:pPr>
          </w:p>
        </w:tc>
      </w:tr>
      <w:tr>
        <w:trPr>
          <w:trHeight w:val="27"/>
        </w:trPr>
        <w:tc>
          <w:tcPr>
            <w:tcW w:w="52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Net sales decreased during the three months ended June 30, 2019, compared to the three months ended June 30, 2018, primarily due to lower demand within the North American and Chinese automotive markets, unfavorable foreign exchange effects, and the impact of reduced demand for components associated with programs nearing the end of life.</w:t>
      </w:r>
    </w:p>
    <w:p>
      <w:pPr>
        <w:spacing w:after="0" w:line="6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Income from operations decreased by $3.3 million compared to prior year due to lost variable margin on the above-referenced sales volume decline and costs associated with the launch of new fuel systems business within our European operations. These unfavorable impacts were partially offset by fixed cost reduction actions taken in response to the decline in sales volume.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 SOLUTIONS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264"/>
        </w:trPr>
        <w:tc>
          <w:tcPr>
            <w:tcW w:w="52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0" w:type="dxa"/>
            <w:vAlign w:val="bottom"/>
            <w:tcBorders>
              <w:bottom w:val="single" w:sz="8" w:color="auto"/>
            </w:tcBorders>
          </w:tcPr>
          <w:p>
            <w:pPr>
              <w:spacing w:after="0"/>
              <w:rPr>
                <w:sz w:val="22"/>
                <w:szCs w:val="22"/>
                <w:color w:val="auto"/>
              </w:rPr>
            </w:pPr>
          </w:p>
        </w:tc>
      </w:tr>
      <w:tr>
        <w:trPr>
          <w:trHeight w:val="249"/>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51,393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49,820</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654"/>
              <w:spacing w:after="0"/>
              <w:rPr>
                <w:sz w:val="20"/>
                <w:szCs w:val="20"/>
                <w:color w:val="auto"/>
              </w:rPr>
            </w:pPr>
            <w:r>
              <w:rPr>
                <w:rFonts w:ascii="Times New Roman" w:cs="Times New Roman" w:eastAsia="Times New Roman" w:hAnsi="Times New Roman"/>
                <w:sz w:val="18"/>
                <w:szCs w:val="18"/>
                <w:color w:val="auto"/>
              </w:rPr>
              <w:t>1,573</w:t>
            </w: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Acquisitions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80" w:type="dxa"/>
            <w:vAlign w:val="bottom"/>
          </w:tcPr>
          <w:p>
            <w:pPr>
              <w:jc w:val="right"/>
              <w:ind w:right="434"/>
              <w:spacing w:after="0"/>
              <w:rPr>
                <w:sz w:val="20"/>
                <w:szCs w:val="20"/>
                <w:color w:val="auto"/>
              </w:rPr>
            </w:pPr>
            <w:r>
              <w:rPr>
                <w:rFonts w:ascii="Times New Roman" w:cs="Times New Roman" w:eastAsia="Times New Roman" w:hAnsi="Times New Roman"/>
                <w:sz w:val="18"/>
                <w:szCs w:val="18"/>
                <w:i w:val="1"/>
                <w:iCs w:val="1"/>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1,719</w:t>
            </w:r>
          </w:p>
        </w:tc>
      </w:tr>
      <w:tr>
        <w:trPr>
          <w:trHeight w:val="27"/>
        </w:trPr>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Volume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219</w:t>
            </w:r>
          </w:p>
        </w:tc>
      </w:tr>
      <w:tr>
        <w:trPr>
          <w:trHeight w:val="243"/>
        </w:trPr>
        <w:tc>
          <w:tcPr>
            <w:tcW w:w="526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Foreign exchange effects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(365)</w:t>
            </w:r>
          </w:p>
        </w:tc>
      </w:tr>
      <w:tr>
        <w:trPr>
          <w:trHeight w:val="27"/>
        </w:trPr>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3"/>
        </w:trPr>
        <w:tc>
          <w:tcPr>
            <w:tcW w:w="5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5,682</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594"/>
              <w:spacing w:after="0"/>
              <w:rPr>
                <w:sz w:val="20"/>
                <w:szCs w:val="20"/>
                <w:color w:val="auto"/>
              </w:rPr>
            </w:pPr>
            <w:r>
              <w:rPr>
                <w:rFonts w:ascii="Times New Roman" w:cs="Times New Roman" w:eastAsia="Times New Roman" w:hAnsi="Times New Roman"/>
                <w:sz w:val="18"/>
                <w:szCs w:val="18"/>
                <w:color w:val="auto"/>
              </w:rPr>
              <w:t>(318)</w:t>
            </w:r>
          </w:p>
        </w:tc>
        <w:tc>
          <w:tcPr>
            <w:tcW w:w="800" w:type="dxa"/>
            <w:vAlign w:val="bottom"/>
            <w:shd w:val="clear" w:color="auto" w:fill="CCEEFF"/>
          </w:tcPr>
          <w:p>
            <w:pPr>
              <w:spacing w:after="0"/>
              <w:rPr>
                <w:sz w:val="21"/>
                <w:szCs w:val="21"/>
                <w:color w:val="auto"/>
              </w:rPr>
            </w:pPr>
          </w:p>
        </w:tc>
      </w:tr>
      <w:tr>
        <w:trPr>
          <w:trHeight w:val="27"/>
        </w:trPr>
        <w:tc>
          <w:tcPr>
            <w:tcW w:w="52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Net sales increased during the three months ended June 30, 2019, compared to the three months ended June 30, 2018, primarily due to $1.7 million of net sales attributable to the Technical Arts acquisition. The increase in net sales was partially offset by unfavorable foreign exchange effects.</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Income from operations decreased by $0.3 million compared to prior year primarily due to higher selling, general and administrative expenses associated with the 2018 business group resegmentation.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 SCIENCES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64"/>
        </w:trPr>
        <w:tc>
          <w:tcPr>
            <w:tcW w:w="52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80" w:type="dxa"/>
            <w:vAlign w:val="bottom"/>
            <w:tcBorders>
              <w:bottom w:val="single" w:sz="8" w:color="auto"/>
            </w:tcBorders>
          </w:tcPr>
          <w:p>
            <w:pPr>
              <w:spacing w:after="0"/>
              <w:rPr>
                <w:sz w:val="22"/>
                <w:szCs w:val="22"/>
                <w:color w:val="auto"/>
              </w:rPr>
            </w:pPr>
          </w:p>
        </w:tc>
      </w:tr>
      <w:tr>
        <w:trPr>
          <w:trHeight w:val="249"/>
        </w:trPr>
        <w:tc>
          <w:tcPr>
            <w:tcW w:w="5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91,332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59,153</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614"/>
              <w:spacing w:after="0"/>
              <w:rPr>
                <w:sz w:val="20"/>
                <w:szCs w:val="20"/>
                <w:color w:val="auto"/>
              </w:rPr>
            </w:pPr>
            <w:r>
              <w:rPr>
                <w:rFonts w:ascii="Times New Roman" w:cs="Times New Roman" w:eastAsia="Times New Roman" w:hAnsi="Times New Roman"/>
                <w:sz w:val="18"/>
                <w:szCs w:val="18"/>
                <w:color w:val="auto"/>
                <w:w w:val="96"/>
              </w:rPr>
              <w:t>32,179</w:t>
            </w: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Acquisitions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0" w:type="dxa"/>
            <w:vAlign w:val="bottom"/>
          </w:tcPr>
          <w:p>
            <w:pPr>
              <w:jc w:val="right"/>
              <w:ind w:right="374"/>
              <w:spacing w:after="0"/>
              <w:rPr>
                <w:sz w:val="20"/>
                <w:szCs w:val="20"/>
                <w:color w:val="auto"/>
              </w:rPr>
            </w:pPr>
            <w:r>
              <w:rPr>
                <w:rFonts w:ascii="Times New Roman" w:cs="Times New Roman" w:eastAsia="Times New Roman" w:hAnsi="Times New Roman"/>
                <w:sz w:val="18"/>
                <w:szCs w:val="18"/>
                <w:i w:val="1"/>
                <w:iCs w:val="1"/>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17,738</w:t>
            </w: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i w:val="1"/>
                <w:iCs w:val="1"/>
                <w:color w:val="auto"/>
              </w:rPr>
              <w:t>Volume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14,624</w:t>
            </w:r>
          </w:p>
        </w:tc>
      </w:tr>
      <w:tr>
        <w:trPr>
          <w:trHeight w:val="243"/>
        </w:trPr>
        <w:tc>
          <w:tcPr>
            <w:tcW w:w="522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Foreign exchange effects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(183)</w:t>
            </w: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5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9,305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2,041</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614"/>
              <w:spacing w:after="0"/>
              <w:rPr>
                <w:sz w:val="20"/>
                <w:szCs w:val="20"/>
                <w:color w:val="auto"/>
              </w:rPr>
            </w:pPr>
            <w:r>
              <w:rPr>
                <w:rFonts w:ascii="Times New Roman" w:cs="Times New Roman" w:eastAsia="Times New Roman" w:hAnsi="Times New Roman"/>
                <w:sz w:val="18"/>
                <w:szCs w:val="18"/>
                <w:color w:val="auto"/>
              </w:rPr>
              <w:t>7,264</w:t>
            </w:r>
          </w:p>
        </w:tc>
        <w:tc>
          <w:tcPr>
            <w:tcW w:w="880" w:type="dxa"/>
            <w:vAlign w:val="bottom"/>
            <w:shd w:val="clear" w:color="auto" w:fill="CCEEFF"/>
          </w:tcPr>
          <w:p>
            <w:pPr>
              <w:spacing w:after="0"/>
              <w:rPr>
                <w:sz w:val="21"/>
                <w:szCs w:val="21"/>
                <w:color w:val="auto"/>
              </w:rPr>
            </w:pPr>
          </w:p>
        </w:tc>
      </w:tr>
      <w:tr>
        <w:trPr>
          <w:trHeight w:val="27"/>
        </w:trPr>
        <w:tc>
          <w:tcPr>
            <w:tcW w:w="52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Net sales increased during the three months ended June 30, 2019, compared to the three months ended June 30, 2018, primarily due to $17.7 million of net sales attributable to the Paragon Medical acquisition as well as a $14.6 million increase in core volume.</w:t>
      </w:r>
    </w:p>
    <w:p>
      <w:pPr>
        <w:spacing w:after="0" w:line="54"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Income from operations increased by $7.3 million compared to prior year primarily due to an increase in sales volume as well as the Paragon Medical acquisition.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121" w:right="25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June 30, 2019, compared to the Six Months Ended June 30, 2018</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7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264"/>
        </w:trPr>
        <w:tc>
          <w:tcPr>
            <w:tcW w:w="52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00" w:type="dxa"/>
            <w:vAlign w:val="bottom"/>
            <w:tcBorders>
              <w:bottom w:val="single" w:sz="8" w:color="auto"/>
            </w:tcBorders>
          </w:tcPr>
          <w:p>
            <w:pPr>
              <w:spacing w:after="0"/>
              <w:rPr>
                <w:sz w:val="22"/>
                <w:szCs w:val="22"/>
                <w:color w:val="auto"/>
              </w:rPr>
            </w:pPr>
          </w:p>
        </w:tc>
      </w:tr>
      <w:tr>
        <w:trPr>
          <w:trHeight w:val="249"/>
        </w:trPr>
        <w:tc>
          <w:tcPr>
            <w:tcW w:w="5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434,922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365,497</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69,425</w:t>
            </w: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Acquisitions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i w:val="1"/>
                <w:iCs w:val="1"/>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74,705</w:t>
            </w: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i w:val="1"/>
                <w:iCs w:val="1"/>
                <w:color w:val="auto"/>
              </w:rPr>
              <w:t>Volume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(1,184)</w:t>
            </w:r>
          </w:p>
        </w:tc>
      </w:tr>
      <w:tr>
        <w:trPr>
          <w:trHeight w:val="243"/>
        </w:trPr>
        <w:tc>
          <w:tcPr>
            <w:tcW w:w="522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Foreign exchange effects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(5,244)</w:t>
            </w: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i w:val="1"/>
                <w:iCs w:val="1"/>
                <w:color w:val="auto"/>
              </w:rPr>
              <w:t>Price/mix/inflation/other</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1,148</w:t>
            </w:r>
          </w:p>
        </w:tc>
      </w:tr>
      <w:tr>
        <w:trPr>
          <w:trHeight w:val="225"/>
        </w:trPr>
        <w:tc>
          <w:tcPr>
            <w:tcW w:w="5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sales (exclusive of depreciation and amortization shown</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4"/>
        </w:trPr>
        <w:tc>
          <w:tcPr>
            <w:tcW w:w="5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separately below)</w:t>
            </w:r>
          </w:p>
        </w:tc>
        <w:tc>
          <w:tcPr>
            <w:tcW w:w="36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324,782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275,084</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49,698</w:t>
            </w: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i w:val="1"/>
                <w:iCs w:val="1"/>
                <w:color w:val="auto"/>
              </w:rPr>
              <w:t>Acquisitions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i w:val="1"/>
                <w:iCs w:val="1"/>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51,024</w:t>
            </w:r>
          </w:p>
        </w:tc>
      </w:tr>
      <w:tr>
        <w:trPr>
          <w:trHeight w:val="243"/>
        </w:trPr>
        <w:tc>
          <w:tcPr>
            <w:tcW w:w="522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Volume</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1,689</w:t>
            </w: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i w:val="1"/>
                <w:iCs w:val="1"/>
                <w:color w:val="auto"/>
              </w:rPr>
              <w:t>Foreign exchange effects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(4,286)</w:t>
            </w:r>
          </w:p>
        </w:tc>
      </w:tr>
      <w:tr>
        <w:trPr>
          <w:trHeight w:val="243"/>
        </w:trPr>
        <w:tc>
          <w:tcPr>
            <w:tcW w:w="522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Cost reduction projects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(11,676)</w:t>
            </w: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i w:val="1"/>
                <w:iCs w:val="1"/>
                <w:color w:val="auto"/>
              </w:rPr>
              <w:t>Inflation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5,154</w:t>
            </w:r>
          </w:p>
        </w:tc>
      </w:tr>
      <w:tr>
        <w:trPr>
          <w:trHeight w:val="243"/>
        </w:trPr>
        <w:tc>
          <w:tcPr>
            <w:tcW w:w="522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Mix/other</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7,793</w:t>
            </w: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54,868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48,818</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6,050</w:t>
            </w: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25"/>
        </w:trPr>
        <w:tc>
          <w:tcPr>
            <w:tcW w:w="5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Acquisition related costs excluded from selling, general and</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4"/>
        </w:trPr>
        <w:tc>
          <w:tcPr>
            <w:tcW w:w="5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administrative expense</w:t>
            </w:r>
          </w:p>
        </w:tc>
        <w:tc>
          <w:tcPr>
            <w:tcW w:w="3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5,213</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(5,213)</w:t>
            </w: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46,349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30,539</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15,810</w:t>
            </w: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140</w:t>
            </w:r>
          </w:p>
        </w:tc>
        <w:tc>
          <w:tcPr>
            <w:tcW w:w="5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Restructuring and integration expense, net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2,346</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5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r>
      <w:tr>
        <w:trPr>
          <w:trHeight w:val="237"/>
        </w:trPr>
        <w:tc>
          <w:tcPr>
            <w:tcW w:w="5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8,699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3,401</w:t>
            </w:r>
          </w:p>
        </w:tc>
        <w:tc>
          <w:tcPr>
            <w:tcW w:w="10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5,298</w:t>
            </w: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27,759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27,984</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on extinguishment of debt and write-off of debt issuance costs</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12,938</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(10,239)</w:t>
            </w:r>
          </w:p>
        </w:tc>
        <w:tc>
          <w:tcPr>
            <w:tcW w:w="5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1,574</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5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r>
      <w:tr>
        <w:trPr>
          <w:trHeight w:val="205"/>
        </w:trPr>
        <w:tc>
          <w:tcPr>
            <w:tcW w:w="522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Loss before (provision) benefit for income taxes and share of net</w:t>
            </w: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4"/>
        </w:trPr>
        <w:tc>
          <w:tcPr>
            <w:tcW w:w="5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from joint venture</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(39,095)</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16,550</w:t>
            </w: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7,123</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(9,941)</w:t>
            </w: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 of net income (loss) from joint venture</w:t>
            </w: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1,478</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5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5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69"/>
        </w:trPr>
        <w:tc>
          <w:tcPr>
            <w:tcW w:w="5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(30,494)</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5,197</w:t>
            </w:r>
          </w:p>
        </w:tc>
        <w:tc>
          <w:tcPr>
            <w:tcW w:w="5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r>
    </w:tbl>
    <w:p>
      <w:pPr>
        <w:spacing w:after="0" w:line="8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increased by $69.4 million, or 19.0%, in the six months ended June 30, 2019, compared to the six months ended June 30, 2018,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to $74.7 million of net sales attributable to the 2018 business acquisitions. The increase in net sales was partially offset by a decrease in volume of $1.2 million, primarily as a result of lower demand within the automotive end market as well as unfavorable foreign exchange effects of $5.2 million, primarily in Brazil and China.</w:t>
      </w:r>
    </w:p>
    <w:p>
      <w:pPr>
        <w:spacing w:after="0" w:line="7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Cost of Sales. </w:t>
      </w:r>
      <w:r>
        <w:rPr>
          <w:rFonts w:ascii="Times New Roman" w:cs="Times New Roman" w:eastAsia="Times New Roman" w:hAnsi="Times New Roman"/>
          <w:sz w:val="18"/>
          <w:szCs w:val="18"/>
          <w:color w:val="auto"/>
        </w:rPr>
        <w:t>Cost of sales increased by $49.7 million, or 18.1%, in the six months ended June 30, 2019, compared to the six months ended June 30, 2018,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$51.0 million in cost of sales attributable to the 2018 business acquisitions as well as an increase in volume of $1.7 million. The increase in cost of sales was partially offset by favorable foreign exchange effects of $4.3 million and $11.7 million in cost savings from production process improvement projects. Material and labor inflation as well as mix, primarily in our Mobile Solutions business, contributed $5.2 million and $7.5 million, respectively, to the increase in cost of sales.</w:t>
      </w:r>
    </w:p>
    <w:p>
      <w:pPr>
        <w:spacing w:after="0" w:line="7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 </w:t>
      </w:r>
      <w:r>
        <w:rPr>
          <w:rFonts w:ascii="Times New Roman" w:cs="Times New Roman" w:eastAsia="Times New Roman" w:hAnsi="Times New Roman"/>
          <w:sz w:val="18"/>
          <w:szCs w:val="18"/>
          <w:color w:val="auto"/>
        </w:rPr>
        <w:t>Selling, general and administrative expense increased by $6.1 million during the six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2019, compared to the six months ended June 30, 2018, primarily due to the 2018 business acquisitions which collectively contributed $7.3 million to selling, general and administrative expense during the six months ended June 30, 2019. The increase was partially offset by lower costs for professional services as a result of our strategic initiatives, including integration of recent acquisitions.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Acquisition Related Costs Excluded from Selling, General and Administrative Expense. </w:t>
      </w:r>
      <w:r>
        <w:rPr>
          <w:rFonts w:ascii="Times New Roman" w:cs="Times New Roman" w:eastAsia="Times New Roman" w:hAnsi="Times New Roman"/>
          <w:sz w:val="18"/>
          <w:szCs w:val="18"/>
          <w:color w:val="auto"/>
        </w:rPr>
        <w:t>Acquisition related costs decreased during the six months ended</w:t>
      </w:r>
    </w:p>
    <w:p>
      <w:pPr>
        <w:spacing w:after="0" w:line="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June 30, 2019, compared to the six months ended June 30, 2018, as there was no business acquisition activity during the six months ended June 30, 2019. The six months ended June 30, 2018, included professional service costs incurred in connection with the 2018 business acquisitions.</w:t>
      </w:r>
    </w:p>
    <w:p>
      <w:pPr>
        <w:sectPr>
          <w:pgSz w:w="11900" w:h="16838" w:orient="portrait"/>
          <w:cols w:equalWidth="0" w:num="1">
            <w:col w:w="11420"/>
          </w:cols>
          <w:pgMar w:left="240" w:top="121" w:right="239"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21" w:right="239" w:bottom="1440" w:gutter="0" w:footer="0" w:header="0"/>
          <w:type w:val="continuous"/>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increased during the six months ended June 30, 2019, compared to the six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2018, consistent with additions to intangible assets and property, plant and equipment, including $11.8 million from the 2018 business acquisitions. The increase in depreciation and amortization includes the effects of related fair value adjustments to certain property, plant and equipment and the addition of intangible assets, principally for customer relationships and trade names.</w:t>
      </w:r>
    </w:p>
    <w:p>
      <w:pPr>
        <w:spacing w:after="0" w:line="72"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Restructuring and Integration Expense. </w:t>
      </w:r>
      <w:r>
        <w:rPr>
          <w:rFonts w:ascii="Times New Roman" w:cs="Times New Roman" w:eastAsia="Times New Roman" w:hAnsi="Times New Roman"/>
          <w:sz w:val="18"/>
          <w:szCs w:val="18"/>
          <w:color w:val="auto"/>
        </w:rPr>
        <w:t>Restructuring and integration expense decreased during the six months ended June 30, 2019, compared to the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2018, primarily due to employee severance costs incurred in connection with implementing our new enterprise and management structure as well as the Paragon Medical acquisition in 2018. Note 11 in the Notes to Condensed Consolidated Financial Statements provides more information regarding the effects of restructuring and integration on our operating results.</w:t>
      </w:r>
    </w:p>
    <w:p>
      <w:pPr>
        <w:spacing w:after="0" w:line="72" w:lineRule="exact"/>
        <w:rPr>
          <w:sz w:val="20"/>
          <w:szCs w:val="20"/>
          <w:color w:val="auto"/>
        </w:rPr>
      </w:pPr>
    </w:p>
    <w:p>
      <w:pPr>
        <w:jc w:val="both"/>
        <w:ind w:right="2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decreased by $0.2 million during the six months ended June 30, 2019, compared to the six months ended June 30, 2018,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the $200.0 million secured second lien term loan facility (“Second Lien Facility”), which was executed in May 2018 and repaid in full in September 2018.</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60" w:type="dxa"/>
            <w:vAlign w:val="bottom"/>
            <w:tcBorders>
              <w:bottom w:val="single" w:sz="8" w:color="auto"/>
            </w:tcBorders>
          </w:tcPr>
          <w:p>
            <w:pPr>
              <w:spacing w:after="0"/>
              <w:rPr>
                <w:sz w:val="16"/>
                <w:szCs w:val="16"/>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660" w:type="dxa"/>
            <w:vAlign w:val="bottom"/>
            <w:tcBorders>
              <w:bottom w:val="single" w:sz="8" w:color="auto"/>
            </w:tcBorders>
          </w:tcPr>
          <w:p>
            <w:pPr>
              <w:spacing w:after="0"/>
              <w:rPr>
                <w:sz w:val="22"/>
                <w:szCs w:val="22"/>
                <w:color w:val="auto"/>
              </w:rPr>
            </w:pPr>
          </w:p>
        </w:tc>
      </w:tr>
      <w:tr>
        <w:trPr>
          <w:trHeight w:val="249"/>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on debt</w:t>
            </w: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26,185</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25,839</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2,354</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2,313</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Capitalized interest</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290</w:t>
            </w:r>
          </w:p>
        </w:tc>
      </w:tr>
      <w:tr>
        <w:trPr>
          <w:trHeight w:val="27"/>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interest expense</w:t>
            </w: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27,759</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27,984</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Loss on Extinguishment of Debt and Write-off of Unamortized Debt Issuance Costs. </w:t>
      </w:r>
      <w:r>
        <w:rPr>
          <w:rFonts w:ascii="Times New Roman" w:cs="Times New Roman" w:eastAsia="Times New Roman" w:hAnsi="Times New Roman"/>
          <w:sz w:val="18"/>
          <w:szCs w:val="18"/>
          <w:color w:val="auto"/>
        </w:rPr>
        <w:t>Loss on extinguishment of debt and write-off of unamortized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issuance costs decreased during the six months ended June 30, 2019, compared to the six months ended June 30, 2018, due to costs written off associated with the Second Lien Facility and amendment to the existing credit facility in May 2018 offset by costs written off associated with the March 2019 amendment to the credit facility.</w:t>
      </w:r>
    </w:p>
    <w:p>
      <w:pPr>
        <w:spacing w:after="0" w:line="72"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 expense, net. </w:t>
      </w:r>
      <w:r>
        <w:rPr>
          <w:rFonts w:ascii="Times New Roman" w:cs="Times New Roman" w:eastAsia="Times New Roman" w:hAnsi="Times New Roman"/>
          <w:sz w:val="18"/>
          <w:szCs w:val="18"/>
          <w:color w:val="auto"/>
        </w:rPr>
        <w:t>Other (income) expense, net decreased during the six months ended June 30, 2019, compared to the six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2018, primarily due to unfavorable foreign exchange effects associated with intercompany borrowings during the six months ended June 30, 2018.</w:t>
      </w:r>
    </w:p>
    <w:p>
      <w:pPr>
        <w:spacing w:after="0" w:line="50" w:lineRule="exact"/>
        <w:rPr>
          <w:sz w:val="20"/>
          <w:szCs w:val="20"/>
          <w:color w:val="auto"/>
        </w:rPr>
      </w:pPr>
    </w:p>
    <w:p>
      <w:pPr>
        <w:ind w:right="120"/>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Provision/Benefit for Income Taxes. </w:t>
      </w:r>
      <w:r>
        <w:rPr>
          <w:rFonts w:ascii="Times New Roman" w:cs="Times New Roman" w:eastAsia="Times New Roman" w:hAnsi="Times New Roman"/>
          <w:sz w:val="17"/>
          <w:szCs w:val="17"/>
          <w:color w:val="auto"/>
        </w:rPr>
        <w:t>Our effective tax rate was (12.5)% for the six months ended June 30, 2019, compared to 18.2% for the six months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June 30, 2018. Note 8 in the Notes to Condensed Consolidated Financial Statements describes the components of income taxes for each period presented.</w:t>
      </w:r>
    </w:p>
    <w:p>
      <w:pPr>
        <w:spacing w:after="0" w:line="27" w:lineRule="exact"/>
        <w:rPr>
          <w:sz w:val="20"/>
          <w:szCs w:val="20"/>
          <w:color w:val="auto"/>
        </w:rPr>
      </w:pPr>
    </w:p>
    <w:p>
      <w:pPr>
        <w:ind w:right="5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Share of Net Income from Joint Venture. </w:t>
      </w:r>
      <w:r>
        <w:rPr>
          <w:rFonts w:ascii="Times New Roman" w:cs="Times New Roman" w:eastAsia="Times New Roman" w:hAnsi="Times New Roman"/>
          <w:sz w:val="18"/>
          <w:szCs w:val="18"/>
          <w:color w:val="auto"/>
        </w:rPr>
        <w:t>Our share of net income from a Chinese joint venture in our Mobile Solutions group decreased by $1.4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price and volume decreases resulting from reduced demand in the Chinese automotive market.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Results by Segment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MOBILE SOLUTIONS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64"/>
        </w:trPr>
        <w:tc>
          <w:tcPr>
            <w:tcW w:w="52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20" w:type="dxa"/>
            <w:vAlign w:val="bottom"/>
            <w:tcBorders>
              <w:bottom w:val="single" w:sz="8" w:color="auto"/>
            </w:tcBorders>
          </w:tcPr>
          <w:p>
            <w:pPr>
              <w:spacing w:after="0"/>
              <w:rPr>
                <w:sz w:val="22"/>
                <w:szCs w:val="22"/>
                <w:color w:val="auto"/>
              </w:rPr>
            </w:pPr>
          </w:p>
        </w:tc>
      </w:tr>
      <w:tr>
        <w:trPr>
          <w:trHeight w:val="249"/>
        </w:trPr>
        <w:tc>
          <w:tcPr>
            <w:tcW w:w="5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157,519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177,873</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514"/>
              <w:spacing w:after="0"/>
              <w:rPr>
                <w:sz w:val="20"/>
                <w:szCs w:val="20"/>
                <w:color w:val="auto"/>
              </w:rPr>
            </w:pPr>
            <w:r>
              <w:rPr>
                <w:rFonts w:ascii="Times New Roman" w:cs="Times New Roman" w:eastAsia="Times New Roman" w:hAnsi="Times New Roman"/>
                <w:sz w:val="18"/>
                <w:szCs w:val="18"/>
                <w:color w:val="auto"/>
              </w:rPr>
              <w:t>(20,354)</w:t>
            </w: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Volume</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40" w:type="dxa"/>
            <w:vAlign w:val="bottom"/>
          </w:tcPr>
          <w:p>
            <w:pPr>
              <w:jc w:val="right"/>
              <w:ind w:right="334"/>
              <w:spacing w:after="0"/>
              <w:rPr>
                <w:sz w:val="20"/>
                <w:szCs w:val="20"/>
                <w:color w:val="auto"/>
              </w:rPr>
            </w:pPr>
            <w:r>
              <w:rPr>
                <w:rFonts w:ascii="Times New Roman" w:cs="Times New Roman" w:eastAsia="Times New Roman" w:hAnsi="Times New Roman"/>
                <w:sz w:val="18"/>
                <w:szCs w:val="18"/>
                <w:i w:val="1"/>
                <w:i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(16,561)</w:t>
            </w: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i w:val="1"/>
                <w:iCs w:val="1"/>
                <w:color w:val="auto"/>
              </w:rPr>
              <w:t>Foreign exchange effects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(4,697)</w:t>
            </w:r>
          </w:p>
        </w:tc>
      </w:tr>
      <w:tr>
        <w:trPr>
          <w:trHeight w:val="243"/>
        </w:trPr>
        <w:tc>
          <w:tcPr>
            <w:tcW w:w="522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Price/mix/inflation/other</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904</w:t>
            </w: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5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8,199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17,165</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8"/>
                <w:szCs w:val="18"/>
                <w:color w:val="auto"/>
              </w:rPr>
              <w:t>(8,966)</w:t>
            </w:r>
          </w:p>
        </w:tc>
        <w:tc>
          <w:tcPr>
            <w:tcW w:w="920" w:type="dxa"/>
            <w:vAlign w:val="bottom"/>
            <w:shd w:val="clear" w:color="auto" w:fill="CCEEFF"/>
          </w:tcPr>
          <w:p>
            <w:pPr>
              <w:spacing w:after="0"/>
              <w:rPr>
                <w:sz w:val="21"/>
                <w:szCs w:val="21"/>
                <w:color w:val="auto"/>
              </w:rPr>
            </w:pPr>
          </w:p>
        </w:tc>
      </w:tr>
      <w:tr>
        <w:trPr>
          <w:trHeight w:val="27"/>
        </w:trPr>
        <w:tc>
          <w:tcPr>
            <w:tcW w:w="52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Net sales decreased during the during the six months ended June 30, 2019, compared to the six months ended June 30, 2018, primarily due to lower demand within the North American and Chinese automotive markets, unfavorable foreign exchange effects, and the impact of reduced demand for components associated with programs nearing the end of life.</w:t>
      </w:r>
    </w:p>
    <w:p>
      <w:pPr>
        <w:spacing w:after="0" w:line="6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Income from operations decreased by $9.0 million compared to prior year due to lost variable margin on the above-referenced sales volume decline and costs associated with the launch of new fuel systems business within our European operations. These unfavorable impacts were partially offset by fixed cost reduction actions taken in response to the decline in sales volume.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 SOLUTIONS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264"/>
        </w:trPr>
        <w:tc>
          <w:tcPr>
            <w:tcW w:w="52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0" w:type="dxa"/>
            <w:vAlign w:val="bottom"/>
            <w:tcBorders>
              <w:bottom w:val="single" w:sz="8" w:color="auto"/>
            </w:tcBorders>
          </w:tcPr>
          <w:p>
            <w:pPr>
              <w:spacing w:after="0"/>
              <w:rPr>
                <w:sz w:val="22"/>
                <w:szCs w:val="22"/>
                <w:color w:val="auto"/>
              </w:rPr>
            </w:pPr>
          </w:p>
        </w:tc>
      </w:tr>
      <w:tr>
        <w:trPr>
          <w:trHeight w:val="249"/>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101,050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98,502</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654"/>
              <w:spacing w:after="0"/>
              <w:rPr>
                <w:sz w:val="20"/>
                <w:szCs w:val="20"/>
                <w:color w:val="auto"/>
              </w:rPr>
            </w:pPr>
            <w:r>
              <w:rPr>
                <w:rFonts w:ascii="Times New Roman" w:cs="Times New Roman" w:eastAsia="Times New Roman" w:hAnsi="Times New Roman"/>
                <w:sz w:val="18"/>
                <w:szCs w:val="18"/>
                <w:color w:val="auto"/>
              </w:rPr>
              <w:t>2,548</w:t>
            </w: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Acquisitions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40" w:type="dxa"/>
            <w:vAlign w:val="bottom"/>
          </w:tcPr>
          <w:p>
            <w:pPr>
              <w:jc w:val="right"/>
              <w:ind w:right="434"/>
              <w:spacing w:after="0"/>
              <w:rPr>
                <w:sz w:val="20"/>
                <w:szCs w:val="20"/>
                <w:color w:val="auto"/>
              </w:rPr>
            </w:pPr>
            <w:r>
              <w:rPr>
                <w:rFonts w:ascii="Times New Roman" w:cs="Times New Roman" w:eastAsia="Times New Roman" w:hAnsi="Times New Roman"/>
                <w:sz w:val="18"/>
                <w:szCs w:val="18"/>
                <w:i w:val="1"/>
                <w:iCs w:val="1"/>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3,331</w:t>
            </w:r>
          </w:p>
        </w:tc>
      </w:tr>
      <w:tr>
        <w:trPr>
          <w:trHeight w:val="27"/>
        </w:trPr>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Volume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(418)</w:t>
            </w:r>
          </w:p>
        </w:tc>
      </w:tr>
      <w:tr>
        <w:trPr>
          <w:trHeight w:val="243"/>
        </w:trPr>
        <w:tc>
          <w:tcPr>
            <w:tcW w:w="526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Foreign exchange effects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(365)</w:t>
            </w:r>
          </w:p>
        </w:tc>
      </w:tr>
      <w:tr>
        <w:trPr>
          <w:trHeight w:val="27"/>
        </w:trPr>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3"/>
        </w:trPr>
        <w:tc>
          <w:tcPr>
            <w:tcW w:w="5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9,506</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11,233</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594"/>
              <w:spacing w:after="0"/>
              <w:rPr>
                <w:sz w:val="20"/>
                <w:szCs w:val="20"/>
                <w:color w:val="auto"/>
              </w:rPr>
            </w:pPr>
            <w:r>
              <w:rPr>
                <w:rFonts w:ascii="Times New Roman" w:cs="Times New Roman" w:eastAsia="Times New Roman" w:hAnsi="Times New Roman"/>
                <w:sz w:val="18"/>
                <w:szCs w:val="18"/>
                <w:color w:val="auto"/>
              </w:rPr>
              <w:t>(1,727)</w:t>
            </w:r>
          </w:p>
        </w:tc>
        <w:tc>
          <w:tcPr>
            <w:tcW w:w="800" w:type="dxa"/>
            <w:vAlign w:val="bottom"/>
            <w:shd w:val="clear" w:color="auto" w:fill="CCEEFF"/>
          </w:tcPr>
          <w:p>
            <w:pPr>
              <w:spacing w:after="0"/>
              <w:rPr>
                <w:sz w:val="21"/>
                <w:szCs w:val="21"/>
                <w:color w:val="auto"/>
              </w:rPr>
            </w:pPr>
          </w:p>
        </w:tc>
      </w:tr>
      <w:tr>
        <w:trPr>
          <w:trHeight w:val="27"/>
        </w:trPr>
        <w:tc>
          <w:tcPr>
            <w:tcW w:w="52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Net sales increased during the during the six months ended June 30, 2019, compared to the six months ended June 30, 2018, primarily due to $3.3 million of net sales attributable to the Technical Arts acquisition. The increase in net sales was partially offset by lower demand in the electrical products end market.</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Income from operations decreased by $1.7 million compared to prior year primarily due to higher selling, general and administrative expenses associated with the 2018 business group resegmentation and lower demand in the electrical products end market.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 SCIENCES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64"/>
        </w:trPr>
        <w:tc>
          <w:tcPr>
            <w:tcW w:w="52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80" w:type="dxa"/>
            <w:vAlign w:val="bottom"/>
            <w:tcBorders>
              <w:bottom w:val="single" w:sz="8" w:color="auto"/>
            </w:tcBorders>
          </w:tcPr>
          <w:p>
            <w:pPr>
              <w:spacing w:after="0"/>
              <w:rPr>
                <w:sz w:val="22"/>
                <w:szCs w:val="22"/>
                <w:color w:val="auto"/>
              </w:rPr>
            </w:pPr>
          </w:p>
        </w:tc>
      </w:tr>
      <w:tr>
        <w:trPr>
          <w:trHeight w:val="249"/>
        </w:trPr>
        <w:tc>
          <w:tcPr>
            <w:tcW w:w="5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177,340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90,353</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614"/>
              <w:spacing w:after="0"/>
              <w:rPr>
                <w:sz w:val="20"/>
                <w:szCs w:val="20"/>
                <w:color w:val="auto"/>
              </w:rPr>
            </w:pPr>
            <w:r>
              <w:rPr>
                <w:rFonts w:ascii="Times New Roman" w:cs="Times New Roman" w:eastAsia="Times New Roman" w:hAnsi="Times New Roman"/>
                <w:sz w:val="18"/>
                <w:szCs w:val="18"/>
                <w:color w:val="auto"/>
              </w:rPr>
              <w:t>86,987</w:t>
            </w: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Acquisitions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60" w:type="dxa"/>
            <w:vAlign w:val="bottom"/>
          </w:tcPr>
          <w:p>
            <w:pPr>
              <w:jc w:val="right"/>
              <w:ind w:right="374"/>
              <w:spacing w:after="0"/>
              <w:rPr>
                <w:sz w:val="20"/>
                <w:szCs w:val="20"/>
                <w:color w:val="auto"/>
              </w:rPr>
            </w:pPr>
            <w:r>
              <w:rPr>
                <w:rFonts w:ascii="Times New Roman" w:cs="Times New Roman" w:eastAsia="Times New Roman" w:hAnsi="Times New Roman"/>
                <w:sz w:val="18"/>
                <w:szCs w:val="18"/>
                <w:i w:val="1"/>
                <w:iCs w:val="1"/>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71,374</w:t>
            </w: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i w:val="1"/>
                <w:iCs w:val="1"/>
                <w:color w:val="auto"/>
              </w:rPr>
              <w:t>Volume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15,795</w:t>
            </w:r>
          </w:p>
        </w:tc>
      </w:tr>
      <w:tr>
        <w:trPr>
          <w:trHeight w:val="243"/>
        </w:trPr>
        <w:tc>
          <w:tcPr>
            <w:tcW w:w="522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Foreign exchange effects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(182)</w:t>
            </w:r>
          </w:p>
        </w:tc>
      </w:tr>
      <w:tr>
        <w:trPr>
          <w:trHeight w:val="27"/>
        </w:trPr>
        <w:tc>
          <w:tcPr>
            <w:tcW w:w="5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5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13,151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6,245</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614"/>
              <w:spacing w:after="0"/>
              <w:rPr>
                <w:sz w:val="20"/>
                <w:szCs w:val="20"/>
                <w:color w:val="auto"/>
              </w:rPr>
            </w:pPr>
            <w:r>
              <w:rPr>
                <w:rFonts w:ascii="Times New Roman" w:cs="Times New Roman" w:eastAsia="Times New Roman" w:hAnsi="Times New Roman"/>
                <w:sz w:val="18"/>
                <w:szCs w:val="18"/>
                <w:color w:val="auto"/>
              </w:rPr>
              <w:t>6,906</w:t>
            </w:r>
          </w:p>
        </w:tc>
        <w:tc>
          <w:tcPr>
            <w:tcW w:w="880" w:type="dxa"/>
            <w:vAlign w:val="bottom"/>
            <w:shd w:val="clear" w:color="auto" w:fill="CCEEFF"/>
          </w:tcPr>
          <w:p>
            <w:pPr>
              <w:spacing w:after="0"/>
              <w:rPr>
                <w:sz w:val="21"/>
                <w:szCs w:val="21"/>
                <w:color w:val="auto"/>
              </w:rPr>
            </w:pPr>
          </w:p>
        </w:tc>
      </w:tr>
      <w:tr>
        <w:trPr>
          <w:trHeight w:val="27"/>
        </w:trPr>
        <w:tc>
          <w:tcPr>
            <w:tcW w:w="52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Net sales increased during the six months ended June 30, 2019, compared to the six months ended June 30, 2018, primarily due to $71.4 million of net sales attributable to the Paragon Medical and Bridgemedica acquisitions as well as a $15.8 million increase in core volume.</w:t>
      </w:r>
    </w:p>
    <w:p>
      <w:pPr>
        <w:spacing w:after="0" w:line="5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Income from operations increased by $6.9 million compared to prior year primarily due to an increase in sales volume as well as the Paragon Medical and Bridgemedica acquisitions.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Financial Condition from December 31, 2018, to June 30, 2019</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From December 31, 2018, to June 30, 2019, total assets increased by $70.7 million primarily due to the initial recognition of operating lease assets as of January 1, 2019, pursuant to ASC 842. Overall, accounts receivable increased consistently with sales growth. Inventories increased as our plants prepare for third and fourth quarter sales. Days inventory outstanding decreased by approximately one day as our businesses met expected customer demand on a timely basis and due to managing procurement based on market price projections.</w:t>
      </w:r>
    </w:p>
    <w:p>
      <w:pPr>
        <w:spacing w:after="0" w:line="7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From December 31, 2018, to June 30, 2019, total liabilities increased by $111.1 million, primarily due to the initial recognition of operating lease liabilities as of January 1, 2019, pursuant to ASC 842, an increased balance in our Senior Secured Revolver used to fund operations, and recognition of the fair value of the interest rate swap.</w:t>
      </w:r>
    </w:p>
    <w:p>
      <w:pPr>
        <w:spacing w:after="0" w:line="6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Working capital, which consists principally of cash, accounts receivable, inventories, and other current assets offset by accounts payable, accrued payroll costs, income taxes payable, current maturities of long-term debt, current portion of lease liabilities, and other current liabilities, was $169.4 million as of June 30, 2019, compared to $151.8 million as of December 31, 2018. The increase in working capital was due primarily to the increase in accounts receivable and inventories consistent with our sales growth and a decrease in accounts payable due a decrease in days payable outstanding offset by the initial recognition of operating lease liabilities.</w:t>
      </w:r>
    </w:p>
    <w:p>
      <w:pPr>
        <w:spacing w:after="0" w:line="76"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Cash provided by operations was $4.4 million for the six months ended June 30, 2019, compared with cash used by operations of $19.4 million for the six months ended June 30, 2018. The difference was primarily due to higher receipts from operating revenues as a result of the increase in net sales as well as changes in net working capital during the six months ended June 30, 2019 compared to the six months ended June 30, 2018.</w:t>
      </w:r>
    </w:p>
    <w:p>
      <w:pPr>
        <w:spacing w:after="0" w:line="6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Cash used by investing activities was $19.8 million for the six months ended June 30, 2019, compared with cash used by investing activities of $421.7 million for the six months ended June 30, 2018. The decrease was primarily due to cash paid for</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140"/>
        <w:spacing w:after="0" w:line="323" w:lineRule="auto"/>
        <w:rPr>
          <w:sz w:val="20"/>
          <w:szCs w:val="20"/>
          <w:color w:val="auto"/>
        </w:rPr>
      </w:pPr>
      <w:r>
        <w:rPr>
          <w:rFonts w:ascii="Times New Roman" w:cs="Times New Roman" w:eastAsia="Times New Roman" w:hAnsi="Times New Roman"/>
          <w:sz w:val="18"/>
          <w:szCs w:val="18"/>
          <w:color w:val="auto"/>
        </w:rPr>
        <w:t>the Paragon Medical and Bridgemedica acquisitions in 2018 partially offset by cash received from the liquidation of the short-term investment during 2019. Cash provided by financing activities was $19.7 million for the six months ended June 30, 2019, compared with cash provided by financing activities of</w:t>
      </w:r>
    </w:p>
    <w:p>
      <w:pPr>
        <w:spacing w:after="0" w:line="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$240.7 million for the six months ended June 30, 2018. The difference was primarily due to proceeds from the Second Lien Facility used to partially finance the Paragon Medical acquisition in 2018.</w:t>
      </w:r>
    </w:p>
    <w:p>
      <w:pPr>
        <w:spacing w:after="0" w:line="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During 2018, as a result of our annual goodwill impairment analysis performed during the fourth quarter of 2018, we recorded an impairment of $109.1 million in our Power Solutions group. Subsequent to the impairment, at December 31, 2018, Power Solutions reported a goodwill balance of $94.5 million. Given the carrying value of the Power Solutions group was equal to its fair value at December 31, 2018 as a result of the 2018 goodwill impairment, if actual performance of the Power Solutions group falls short of expected results, additional material impairment charges may be required. During the second quarter of 2019, we assessed for triggering events that would signify the need to perform an impairment test and concluded there were no triggering events during the period. We will continue to monitor and assess Power Solutions during 2019.</w:t>
      </w:r>
    </w:p>
    <w:p>
      <w:pPr>
        <w:spacing w:after="0" w:line="80"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Based on the closing price of a share of our common stock as of June 30, 2019, our market capitalization was in excess of the net book value of our stockholders’ equity. Subsequent to June 30, 2019, our market capitalization declined to a level less than the net book value of our stockholders’ equity. A prolonged or significant decline in market capitalization could be an indicator of additional goodwill impairment. We will continue to monitor our market capitalization to determine if an indicator of impairment exists in subsequent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of June 30, 2019, we had $22.1 million of cash and $11.5 million of unused borrowing capacity under our Senior Secured Revolver. We believe that these sources of cash and funds generated from our consolidated operations will provide sufficient cash flow to service the required debt and interest payments under our existing credit facility and to fund our operating activities, capital expenditure requirements, and dividend payments.</w:t>
      </w:r>
    </w:p>
    <w:p>
      <w:pPr>
        <w:spacing w:after="0" w:line="6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arrangements with customers typically provide that payments are due within 30 to 60 days following the date of shipment. We invoice and receive payment from many of our customers in euros as well as other currencies. Additionally, we are party to various third party and intercompany loans, payables, and receivables denominated in currencies other than the U.S. dollar. As a result of these sales, loans, payables, and receivables, we are exposed to foreign exchange transaction and translation risk. Various strategies to manage this risk are available to management, including producing and selling in local currencies and hedging programs. As of June 30, 2019, no currency derivatives were in place. In addition, a strengthening of the U.S. dollar and/or euro against foreign currencies could impair our ability to compete with international competitors for foreign as well as domestic sales.</w:t>
      </w:r>
    </w:p>
    <w:p>
      <w:pPr>
        <w:spacing w:after="0" w:line="8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For the next twelve months, we do not expect the sum of capital expenditures and assets procured under finance leases to materially change from 2018 spending levels, the majority of which relate to new or expanded business or continuous improvement programs. We believe that funds generated from continuing operations and borrowings from the Senior Secured Revolver will be sufficient to finance capital expenditures, working capital, and operational needs through this period.</w:t>
      </w:r>
    </w:p>
    <w:p>
      <w:pPr>
        <w:spacing w:after="0" w:line="7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June 2016, voters in the United Kingdom approved an advisory referendum to withdraw from the European Union, commonly referred to as “Brexit.” The uncertainty surrounding the terms of the United Kingdom’s withdrawal and the timing (deadline to leave was extended to October 31, 2019), could adversely impact consumer and investor confidence, and the level of consumer purchases of discretionary items and retail products, including our products. Any of these effects, among others, could materially adversely affect our business, results of operations, and financial condition. We will continue to monitor and evaluate the potential effect Brexit has on our business, results of operations, and financial condition.</w:t>
      </w:r>
    </w:p>
    <w:p>
      <w:pPr>
        <w:spacing w:after="0" w:line="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February 8, 2019, we entered into a $700.0 million fixed-rate interest rate swap agreement (the “interest rate swap”) that changed the LIBOR-based portion of the interest rate on a portion of our variable rate debt to a fixed rate of 2.4575%. The term of the interest rate swap is from the effective date of February 12, 2019, through the termination date of October 19, 2022, with a declining notional amount over the term of the interest rate swap. Refer to Note 16 in the Notes to Condensed Consolidated Financial Statements for further discussion about the interest rate swap.</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11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Aggregate principal amounts outstanding under our Senior Secured Term Loan, Incremental Term Loan, and Senior Secured Revolver as of June 30, 2019, were $878.6 million (without regard to unamortized debt issuance costs). As of June 30, 2019, we had unused borrowing capacity of $11.5 million under the Senior Secured Revolver, subject to certain limitations. This amount of borrowing capacity is net of $12.1 million of outstanding letters of credit at June 30, 2019, which are considered as usage of the Senior Secured Revolver.</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380"/>
          </w:cols>
          <w:pgMar w:left="240" w:top="121" w:right="27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Collectively, our Senior Secured Term Loan, Incremental Term Loan, and Senior Secured Revolver comprise our credit facility. On June 11, 2019, we amended our existing credit facility to reduce the total available capacity under the Senior Secured Revolver from $125.0 million to $100.0 million, reduce the maximum capacity from $143.0 million to $110.0 million, and modify the consolidated net leverage ratio, as defined in the credit facility agreement. Total available capacity under the Senior Secured Revolver was $100.0 million as of June 30, 2019. The Senior Secured Revolver matures on October 19, 2020.</w:t>
      </w:r>
    </w:p>
    <w:p>
      <w:pPr>
        <w:spacing w:after="0" w:line="5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Senior Secured Term Loan requires quarterly principal payments of $1.4 million through October 19, 2022, with the remaining principal amount due on the maturity date. If one-month LIBOR is less than 0.75%, then we pay 4.50% per annum in interest. If one-month LIBOR exceeds 0.75%, then we pay the variable one-month LIBOR plus an applicable margin of 3.75%. Based on the outstanding balance and interest rate in effect at June 30, 2019, annual interest payments would have been $32.6 million.</w:t>
      </w:r>
    </w:p>
    <w:p>
      <w:pPr>
        <w:spacing w:after="0" w:line="72"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The Incremental Term Loan requires quarterly principal payments of $3.0 million through April 3, 2021, with the remaining principal amount due on the maturity date. The Incremental Term Loan bears interest at the variable one-month LIBOR plus an applicable margin of 3.25%. Based on the outstanding balance and interest rate in effect at June 30, 2019, annual interest payments would have been $15.4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Senior Secured Revolver bears interest on a variable rate structure with borrowings bearing interest at either one-month LIBOR plus an applicable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margin of 3.50% or the prime lending rate plus an applicable margin of 2.50%. Based on the outstanding balance and weighted average interest rate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2019, annual interest payments would have been $4.6 million. We pay a quarterly commitment fee at an annual rate of 0.50% on the Senior Secured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Revolver for unused borrowing capacity.</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Covenants</w:t>
      </w:r>
    </w:p>
    <w:p>
      <w:pPr>
        <w:spacing w:after="0" w:line="11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had $76.4 million outstanding under the Senior Secured Revolver at June 30, 2019. Total capacity under the Senior Secured Revolver was $100.0 million as of June 30, 2019 with $11.5 million available for future borrowings after reductions for outstanding letters of credit and outstanding borrowings as of June 30, 2019. Our credit facility is subject to certain financial covenants based on a consolidated net leverage ratio. The financial covenants are effective when we have outstanding borrowings under our Senior Secured Revolver on the last day of any fiscal quarter, become more restrictive over time, and are dependent upon our operational and financial performance. If our operational or financial performance does not improve in line with our expectations, we may be required to take actions to reduce expenditures and decrease our net indebtedness to maintain compliance in future periods. We were in compliance with all covenants under our credit facility at June 30, 2019.</w:t>
      </w:r>
    </w:p>
    <w:p>
      <w:pPr>
        <w:spacing w:after="0" w:line="8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Senior Secured Revolver matures on October 19, 2020, which will require us to either extend the maturity date of the Senior Secured Revolver, generate sufficient cash flow through improved operational performance or other means to pay off any outstanding balance on the Senior Secured Revolver or seek additional forms of financing prior to the maturity date. Our ability to restructure or refinance our debt will depend on the condition of the capital markets and our financial condition at such time. If we are unable to extend the maturity date or refinance amounts due under our Senior Secured Revolver, or our operational performance fails to generate sufficient cash flows, we may be required to take additional actions to address our liquidity needs.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Fluctuation in Quarterly Results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General economic conditions impact our business and financial results, and certain businesses experience seasonal and other trends related to the industries and end markets that they serve. For example, European sales are often weaker in the summer months as customers slow production, medical device sales are often stronger in the fourth calendar quarter, and sales to original equipment manufacturers are often stronger immediately preceding and following the launch of new products. However, as a whole, we are not materially impacted by seasonality.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We are not a party to any off-balance sheet arrangements that have, or are reasonably likely to have, a material current or future effect on our financial condition, revenues or expenses, results of operations, liquidity, capital expenditures, or capital resources.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critical accounting policies, including the assumptions and judgments underlying them, are disclosed in the 2018 Annual Report, including those policies as discussed in Note 1 to the Notes to Consolidated Financial Statements included in the 2018 Annual Report. There have been no changes to these policies during the six months ended June 30, 2019, except as discussed in Note 1 to the Notes to Condensed Consolidated Financial Statements included in this Quarterly Report.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 in the Notes to Condensed Consolidated Financial Statements included in this Quarterly Report.</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Quantitative and Qualitative Disclosures About Market Risk</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are exposed to changes in financial market conditions in the normal course of business due to use of certain financial instruments as well as transacting business in various foreign currencies. To mitigate the exposure to these market risks, we have established policies, procedures, and internal processes governing the management of financial market risks. We are exposed to changes in interest rates primarily as a result of borrowing activities.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Variable Rate Debt</w:t>
      </w: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At June 30, 2019, we had $529.2 million of principal outstanding under the variable rate Senior Secured Term Loan, without regard to debt issuance costs. At June 30, 2019, a one-percent increase in the interest rate charged on outstanding variable rate borrowings under the Senior Secured Term Loan would result in interest expense increasing annually by approximately $5.3 million.</w:t>
      </w:r>
    </w:p>
    <w:p>
      <w:pPr>
        <w:spacing w:after="0" w:line="6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At June 30, 2019, we had $273.0 million of principal outstanding under the Incremental Term Loan, without regard to debt issuance costs. At June 30, 2019, a one-percent increase in the interest rate charged on outstanding variable rate borrowings under the Incremental Term Loan would result in interest expense increasing annually by approximately $2.7 million.</w:t>
      </w:r>
    </w:p>
    <w:p>
      <w:pPr>
        <w:spacing w:after="0" w:line="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At June 30, 2019, we had $76.4 million of principal outstanding under the Senior Secured Revolver, without regard to debt issuance costs. At June 30, 2019, a one-percent increase in the interest rate charged on outstanding variable rate borrowings under the Senior Secured Revolver would result in interest expense increasing annually by approximately $0.8 million.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Swaps and Hedging Activities</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policy is to manage interest expense using a mix of fixed and variable rate debt. In February 2019, we entered into a $700.0 million fixed-rate interest rate swap agreement that changed the LIBOR-based portion of the interest rate on a portion of our variable rate debt to a fixed rate of 2.4575%. The term of the interest rate swap is from the effective date of February 12, 2019, through the termination date of October 19, 2022, with a declining notional amount over the term of the interest rate swap. Refer to Note 16 in the Notes to Condensed Consolidated Financial Statements for further discussion about the interest rate swap. The nature and amount of borrowings may vary as a result of future business requirements, market conditions, and other factors.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21"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Translation of our operating cash flows denominated in foreign currencies is impacted by changes in foreign exchange rates. We participate in various third party and intercompany loans, payables, and receivables denominated in currencies other than the U.S. dollar. To help reduce exposure to foreign currency fluctuation, we have incurred debt in euros in the past. From time to time, we may use foreign currency derivatives to hedge currency exposures when these exposures meet certain discretionary levels. We did not hold a position in any foreign currency derivatives as of June 30, 2019.</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Under the supervision and with the participation of management, including our principal executive officer and principal financial officer, we evaluated the effectiveness of disclosure controls and procedures (as defined in Rule 13a-15(e) and 15d-15(e) of the Securities Exchange Act of 1934, as amended (the “Exchange Act”)). Based upon that evaluation, as a result of the material weakness in internal control over financial reporting described below, our principal executive officer and principal financial officer concluded that our disclosure controls and procedures were not effective as of June 30, 2019,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management, including the principal executive officer and principal financial officer, as appropriate, to allow for timely decisions regarding required disclosure.</w:t>
      </w:r>
    </w:p>
    <w:p>
      <w:pPr>
        <w:spacing w:after="0" w:line="8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7"/>
          <w:szCs w:val="17"/>
          <w:color w:val="auto"/>
        </w:rPr>
        <w:t>Our Chief Financial Officer resigned effective July 12, 2019, and as a result, our Chief Executive Officer is currently the acting principal financial officer.</w:t>
      </w: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Previously Identified Material Weakness in Internal Control Over Financial Reporting</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would not be prevented or detected on a timely basis.</w:t>
      </w:r>
    </w:p>
    <w:p>
      <w:pPr>
        <w:spacing w:after="0" w:line="5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did not maintain an effective control environment due to a lack of a sufficient complement of personnel with an appropriate level of knowledge, experience, and training commensurate with our financial reporting requirements. This material weakness resulted in immaterial errors to other current assets; property, plant and equipment, net; goodwill; investment in joint venture; other non-current assets; accounts payable; accrued salaries, wages and benefits; other current liabilities; deferred tax liabilities; accumulated other comprehensive income; selling, general and administrative expense; depreciation and amortization; other operating expense/income; write-off of unamortized debt issuance costs; provision/benefit for income taxes; comprehensive income/loss; and cash flows in our consolidated financial statements for the years ended December 31, 2017, 2016, and 2015. These immaterial errors also resulted in a revision to previously issued financial statements for the periods December 31, 2017 and December 31, 2016. Additionally, this material weakness could result in a misstatement of substantially all account balances or disclosures that would result in a material misstatement to the annual or interim consolidated financial statements that would not be prevented or detected.</w:t>
      </w:r>
    </w:p>
    <w:p>
      <w:pPr>
        <w:spacing w:after="0" w:line="8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Notwithstanding the material weakness, our principal executive officer and principal financial officer concluded that our condensed consolidated financial statements in this Quarterly Report present fairly, and in all material respects, our financial position, results of operations, and cash flows for the periods presented in conformity with U.S. GAAP.</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Status of Remediation Efforts for the Unremediated Material Weakness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 ensure we have a sufficient complement of resources within our finance department, we continue to hire qualified personnel for critical finance roles. After we integrate these professionals into our control environment, we expect that the remediation of this material weakness will be completed.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have materially affected, or are reasonably likely to materially affect, our internal control over financial reporting during the fiscal quarter ended June 30, 2019.</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8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Brazil ICMS Tax Matter</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Prior to the acquisition of Autocam Corporation in 2014 (“Autocam”), Autocam’s Brazilian subsidiary (“Autocam Brazil”) received notification from the Brazilian tax authority regarding ICMS (state value added tax or “VAT”) tax credits claimed on intermediary materials (e.g., tooling and perishable items) used in the manufacturing process. The Brazilian tax authority notification disallowed state ICMS tax credits claimed on intermediary materials based on the argument that these items are not intrinsically related to the manufacturing processes. Autocam Brazil filed an administrative defense with the Brazilian tax authority arguing, among other matters, that it should qualify for an ICMS tax credit, contending that the intermediary materials are directly related to the manufacturing process.</w:t>
      </w:r>
    </w:p>
    <w:p>
      <w:pPr>
        <w:spacing w:after="0" w:line="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believe that we have substantial legal and factual defenses, and we plan to defend our interests in this matter vigorously. The matter encompasses several lawsuits filed with the Brazilian courts requesting declaratory actions that no tax is due or seeking a stay of execution on the collection of the tax. In 2018, we obtained a favorable decision in one of the declaratory actions for which the period for appeal has expired. We have filed actions in each court requesting dismissal of the matter based on the earlier court action. Although we anticipate a favorable resolution to all matters, we can provide no assurances that we will be successful in achieving dismissal of all pending cases. While we believe a loss is not probable, we estimate the range of possible losses related to this assessment is from $0 to $6.0 million. No amount was accrued at June 30, 2019, for this matter.</w:t>
      </w:r>
    </w:p>
    <w:p>
      <w:pPr>
        <w:spacing w:after="0" w:line="8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are entitled to indemnification from the former shareholders of Autocam, subject to the limitations and procedures set forth in the agreement and plan of merger relating to the Autocam acquisition. Management believes the indemnification would include amounts owed for the tax, interest, and penalties related to this matter.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Other Legal Matters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All other legal proceedings are of an ordinary and routine nature and are incidental to our operations. Management believes that such proceedings should not, individually or in the aggregate, have a material adverse effect on our business, financial condition, results of operations, or cash flows. In making that determination, we analyze the facts and circumstances of each case at least quarterly in consultation with our attorneys and determine a range of reasonably possible outcomes.</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disclosed in the 2018 Annual Report under Item 1A. “Risk Factors.”</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380"/>
          </w:cols>
          <w:pgMar w:left="240" w:top="121" w:right="27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1300" w:type="dxa"/>
            <w:vAlign w:val="bottom"/>
            <w:gridSpan w:val="3"/>
          </w:tcPr>
          <w:p>
            <w:pPr>
              <w:spacing w:after="0"/>
              <w:rPr>
                <w:rFonts w:ascii="Times New Roman" w:cs="Times New Roman" w:eastAsia="Times New Roman" w:hAnsi="Times New Roman"/>
                <w:sz w:val="18"/>
                <w:szCs w:val="18"/>
                <w:color w:val="0000EE"/>
                <w:w w:val="99"/>
              </w:rPr>
            </w:pPr>
            <w:hyperlink w:anchor="page2">
              <w:r>
                <w:rPr>
                  <w:rFonts w:ascii="Times New Roman" w:cs="Times New Roman" w:eastAsia="Times New Roman" w:hAnsi="Times New Roman"/>
                  <w:sz w:val="18"/>
                  <w:szCs w:val="18"/>
                  <w:color w:val="0000EE"/>
                  <w:w w:val="99"/>
                </w:rPr>
                <w:t>Table of Contents</w:t>
              </w:r>
            </w:hyperlink>
          </w:p>
        </w:tc>
        <w:tc>
          <w:tcPr>
            <w:tcW w:w="80" w:type="dxa"/>
            <w:vAlign w:val="bottom"/>
          </w:tcPr>
          <w:p>
            <w:pPr>
              <w:spacing w:after="0"/>
              <w:rPr>
                <w:sz w:val="17"/>
                <w:szCs w:val="17"/>
                <w:color w:val="auto"/>
              </w:rPr>
            </w:pPr>
          </w:p>
        </w:tc>
        <w:tc>
          <w:tcPr>
            <w:tcW w:w="10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128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2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286"/>
        </w:trPr>
        <w:tc>
          <w:tcPr>
            <w:tcW w:w="13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0" w:type="dxa"/>
            <w:vAlign w:val="bottom"/>
          </w:tcPr>
          <w:p>
            <w:pPr>
              <w:spacing w:after="0"/>
              <w:rPr>
                <w:sz w:val="24"/>
                <w:szCs w:val="24"/>
                <w:color w:val="auto"/>
              </w:rPr>
            </w:pPr>
          </w:p>
        </w:tc>
        <w:tc>
          <w:tcPr>
            <w:tcW w:w="10040" w:type="dxa"/>
            <w:vAlign w:val="bottom"/>
            <w:vMerge w:val="restart"/>
          </w:tcPr>
          <w:p>
            <w:pPr>
              <w:ind w:left="46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5"/>
        </w:trPr>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6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10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08" w:right="239" w:bottom="1440" w:gutter="0" w:footer="0" w:header="0"/>
        </w:sectPr>
      </w:pP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3.2</w:t>
      </w:r>
    </w:p>
    <w:p>
      <w:pPr>
        <w:spacing w:after="0" w:line="200" w:lineRule="exact"/>
        <w:rPr>
          <w:sz w:val="20"/>
          <w:szCs w:val="20"/>
          <w:color w:val="auto"/>
        </w:rPr>
      </w:pPr>
    </w:p>
    <w:p>
      <w:pPr>
        <w:spacing w:after="0" w:line="3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3.3</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10.3*</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10.4</w:t>
      </w:r>
    </w:p>
    <w:p>
      <w:pPr>
        <w:spacing w:after="0" w:line="2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10.5</w:t>
      </w:r>
    </w:p>
    <w:p>
      <w:pPr>
        <w:spacing w:after="0" w:line="2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10.6</w:t>
      </w:r>
    </w:p>
    <w:p>
      <w:pPr>
        <w:spacing w:after="0" w:line="2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10.7</w:t>
      </w:r>
    </w:p>
    <w:p>
      <w:pPr>
        <w:spacing w:after="0" w:line="2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31.1</w:t>
      </w: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32.1</w:t>
      </w:r>
    </w:p>
    <w:p>
      <w:pPr>
        <w:spacing w:after="0" w:line="2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101.INS</w:t>
      </w:r>
    </w:p>
    <w:p>
      <w:pPr>
        <w:spacing w:after="0" w:line="2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101.SCH</w:t>
      </w:r>
    </w:p>
    <w:p>
      <w:pPr>
        <w:spacing w:after="0" w:line="2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101.CAL</w:t>
      </w:r>
    </w:p>
    <w:p>
      <w:pPr>
        <w:spacing w:after="0" w:line="2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101.LAB</w:t>
      </w:r>
    </w:p>
    <w:p>
      <w:pPr>
        <w:spacing w:after="0" w:line="2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101.PRE</w:t>
      </w:r>
    </w:p>
    <w:p>
      <w:pPr>
        <w:spacing w:after="0" w:line="2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101.DEF</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ind w:right="80"/>
        <w:spacing w:after="0" w:line="282" w:lineRule="auto"/>
        <w:rPr>
          <w:rFonts w:ascii="Times New Roman" w:cs="Times New Roman" w:eastAsia="Times New Roman" w:hAnsi="Times New Roman"/>
          <w:sz w:val="18"/>
          <w:szCs w:val="18"/>
          <w:color w:val="0000FF"/>
        </w:rPr>
      </w:pPr>
      <w:hyperlink r:id="rId30">
        <w:r>
          <w:rPr>
            <w:rFonts w:ascii="Times New Roman" w:cs="Times New Roman" w:eastAsia="Times New Roman" w:hAnsi="Times New Roman"/>
            <w:sz w:val="18"/>
            <w:szCs w:val="18"/>
            <w:u w:val="single" w:color="auto"/>
            <w:color w:val="0000FF"/>
          </w:rPr>
          <w:t>Certificate of Amendment to Restated Certificate of Incorporation of NN, Inc</w:t>
        </w:r>
      </w:hyperlink>
      <w:r>
        <w:rPr>
          <w:rFonts w:ascii="Times New Roman" w:cs="Times New Roman" w:eastAsia="Times New Roman" w:hAnsi="Times New Roman"/>
          <w:sz w:val="18"/>
          <w:szCs w:val="18"/>
          <w:u w:val="single" w:color="auto"/>
          <w:color w:val="0563C1"/>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563C1"/>
        </w:rPr>
        <w:t>(Declassification)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(incorporated by reference to Exhibit 3.1</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to NN, Inc.’s Current Report on Form 8-K filed on May 20, 2019)</w:t>
      </w:r>
    </w:p>
    <w:p>
      <w:pPr>
        <w:spacing w:after="0" w:line="200" w:lineRule="exact"/>
        <w:rPr>
          <w:sz w:val="20"/>
          <w:szCs w:val="20"/>
          <w:color w:val="auto"/>
        </w:rPr>
      </w:pPr>
    </w:p>
    <w:p>
      <w:pPr>
        <w:spacing w:after="0" w:line="353" w:lineRule="exact"/>
        <w:rPr>
          <w:sz w:val="20"/>
          <w:szCs w:val="20"/>
          <w:color w:val="auto"/>
        </w:rPr>
      </w:pPr>
    </w:p>
    <w:p>
      <w:pPr>
        <w:ind w:right="180"/>
        <w:spacing w:after="0" w:line="282" w:lineRule="auto"/>
        <w:rPr>
          <w:rFonts w:ascii="Times New Roman" w:cs="Times New Roman" w:eastAsia="Times New Roman" w:hAnsi="Times New Roman"/>
          <w:sz w:val="18"/>
          <w:szCs w:val="18"/>
          <w:color w:val="0000FF"/>
        </w:rPr>
      </w:pPr>
      <w:hyperlink r:id="rId31">
        <w:r>
          <w:rPr>
            <w:rFonts w:ascii="Times New Roman" w:cs="Times New Roman" w:eastAsia="Times New Roman" w:hAnsi="Times New Roman"/>
            <w:sz w:val="18"/>
            <w:szCs w:val="18"/>
            <w:u w:val="single" w:color="auto"/>
            <w:color w:val="0000FF"/>
          </w:rPr>
          <w:t>Certificate of Amendment to Restated Certificate of Incorporation of NN, Inc.</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u w:val="single" w:color="auto"/>
          <w:color w:val="0563C1"/>
        </w:rPr>
        <w:t>(Share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563C1"/>
        </w:rPr>
        <w:t>Increase)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(incorporated by reference to Exhibit 3.2</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to NN, Inc.’s Current Report on Form 8-K filed on May 20, 2019)</w:t>
      </w:r>
    </w:p>
    <w:p>
      <w:pPr>
        <w:spacing w:after="0" w:line="283" w:lineRule="exact"/>
        <w:rPr>
          <w:sz w:val="20"/>
          <w:szCs w:val="20"/>
          <w:color w:val="auto"/>
        </w:rPr>
      </w:pPr>
    </w:p>
    <w:p>
      <w:pPr>
        <w:ind w:right="460"/>
        <w:spacing w:after="0" w:line="282" w:lineRule="auto"/>
        <w:rPr>
          <w:rFonts w:ascii="Times New Roman" w:cs="Times New Roman" w:eastAsia="Times New Roman" w:hAnsi="Times New Roman"/>
          <w:sz w:val="18"/>
          <w:szCs w:val="18"/>
          <w:color w:val="0000FF"/>
        </w:rPr>
      </w:pPr>
      <w:hyperlink r:id="rId32">
        <w:r>
          <w:rPr>
            <w:rFonts w:ascii="Times New Roman" w:cs="Times New Roman" w:eastAsia="Times New Roman" w:hAnsi="Times New Roman"/>
            <w:sz w:val="18"/>
            <w:szCs w:val="18"/>
            <w:u w:val="single" w:color="auto"/>
            <w:color w:val="0000FF"/>
          </w:rPr>
          <w:t>Amendment to Amended and Restated Bylaws of NN, Inc</w:t>
        </w:r>
      </w:hyperlink>
      <w:r>
        <w:rPr>
          <w:rFonts w:ascii="Times New Roman" w:cs="Times New Roman" w:eastAsia="Times New Roman" w:hAnsi="Times New Roman"/>
          <w:sz w:val="18"/>
          <w:szCs w:val="18"/>
          <w:u w:val="single" w:color="auto"/>
          <w:color w:val="0563C1"/>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(incorporated by reference to Exhibit 3.3 to NN, Inc.’s Current Report on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Form 8-K filed on May 20, 2019)</w:t>
      </w:r>
    </w:p>
    <w:p>
      <w:pPr>
        <w:spacing w:after="0" w:line="200" w:lineRule="exact"/>
        <w:rPr>
          <w:sz w:val="20"/>
          <w:szCs w:val="20"/>
          <w:color w:val="auto"/>
        </w:rPr>
      </w:pPr>
    </w:p>
    <w:p>
      <w:pPr>
        <w:spacing w:after="0" w:line="299" w:lineRule="exact"/>
        <w:rPr>
          <w:sz w:val="20"/>
          <w:szCs w:val="20"/>
          <w:color w:val="auto"/>
        </w:rPr>
      </w:pPr>
    </w:p>
    <w:p>
      <w:pPr>
        <w:ind w:right="220"/>
        <w:spacing w:after="0" w:line="282" w:lineRule="auto"/>
        <w:rPr>
          <w:rFonts w:ascii="Times New Roman" w:cs="Times New Roman" w:eastAsia="Times New Roman" w:hAnsi="Times New Roman"/>
          <w:sz w:val="18"/>
          <w:szCs w:val="18"/>
          <w:color w:val="0000FF"/>
        </w:rPr>
      </w:pPr>
      <w:hyperlink r:id="rId33">
        <w:r>
          <w:rPr>
            <w:rFonts w:ascii="Times New Roman" w:cs="Times New Roman" w:eastAsia="Times New Roman" w:hAnsi="Times New Roman"/>
            <w:sz w:val="18"/>
            <w:szCs w:val="18"/>
            <w:u w:val="single" w:color="auto"/>
            <w:color w:val="0000FF"/>
          </w:rPr>
          <w:t>NN, Inc. 2019 Omnibus Incentive Plan</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reference to Appendix C to NN, Inc.’s Definitive Proxy Statement on Schedule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14A filed with the Securities and Exchange Commission on April 8, 2019)</w:t>
      </w:r>
    </w:p>
    <w:p>
      <w:pPr>
        <w:spacing w:after="0" w:line="200" w:lineRule="exact"/>
        <w:rPr>
          <w:sz w:val="20"/>
          <w:szCs w:val="20"/>
          <w:color w:val="auto"/>
        </w:rPr>
      </w:pPr>
    </w:p>
    <w:p>
      <w:pPr>
        <w:spacing w:after="0" w:line="299" w:lineRule="exact"/>
        <w:rPr>
          <w:sz w:val="20"/>
          <w:szCs w:val="20"/>
          <w:color w:val="auto"/>
        </w:rPr>
      </w:pPr>
    </w:p>
    <w:p>
      <w:pPr>
        <w:jc w:val="both"/>
        <w:ind w:right="500"/>
        <w:spacing w:after="0" w:line="266" w:lineRule="auto"/>
        <w:rPr>
          <w:rFonts w:ascii="Times New Roman" w:cs="Times New Roman" w:eastAsia="Times New Roman" w:hAnsi="Times New Roman"/>
          <w:sz w:val="18"/>
          <w:szCs w:val="18"/>
          <w:color w:val="0000FF"/>
        </w:rPr>
      </w:pPr>
      <w:hyperlink r:id="rId34">
        <w:r>
          <w:rPr>
            <w:rFonts w:ascii="Times New Roman" w:cs="Times New Roman" w:eastAsia="Times New Roman" w:hAnsi="Times New Roman"/>
            <w:sz w:val="18"/>
            <w:szCs w:val="18"/>
            <w:u w:val="single" w:color="auto"/>
            <w:color w:val="0000FF"/>
          </w:rPr>
          <w:t>Amendment No. 7 to Amended and Restated Credit Agreement, dated as of June 11, 2019, by and among NN, Inc., certain NN, Inc.</w:t>
        </w:r>
      </w:hyperlink>
      <w:r>
        <w:rPr>
          <w:rFonts w:ascii="Times New Roman" w:cs="Times New Roman" w:eastAsia="Times New Roman" w:hAnsi="Times New Roman"/>
          <w:sz w:val="18"/>
          <w:szCs w:val="18"/>
          <w:u w:val="single" w:color="auto"/>
          <w:color w:val="0000FF"/>
        </w:rPr>
        <w:t xml:space="preserve"> </w:t>
      </w:r>
      <w:hyperlink r:id="rId34">
        <w:r>
          <w:rPr>
            <w:rFonts w:ascii="Times New Roman" w:cs="Times New Roman" w:eastAsia="Times New Roman" w:hAnsi="Times New Roman"/>
            <w:sz w:val="18"/>
            <w:szCs w:val="18"/>
            <w:u w:val="single" w:color="auto"/>
            <w:color w:val="0000FF"/>
          </w:rPr>
          <w:t>subsidiaries named therein, SunTrust Bank, as administrative agent, and certain lenders named therein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(incorporated by reference to</w:t>
        </w:r>
      </w:hyperlink>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Exhibit 10.1 to NN, Inc.’s Current Report on Form 8-K filed on June 12, 2019)</w:t>
      </w:r>
    </w:p>
    <w:p>
      <w:pPr>
        <w:spacing w:after="0" w:line="200" w:lineRule="exact"/>
        <w:rPr>
          <w:sz w:val="20"/>
          <w:szCs w:val="20"/>
          <w:color w:val="auto"/>
        </w:rPr>
      </w:pPr>
    </w:p>
    <w:p>
      <w:pPr>
        <w:spacing w:after="0" w:line="314" w:lineRule="exact"/>
        <w:rPr>
          <w:sz w:val="20"/>
          <w:szCs w:val="20"/>
          <w:color w:val="auto"/>
        </w:rPr>
      </w:pPr>
    </w:p>
    <w:p>
      <w:pPr>
        <w:ind w:right="440"/>
        <w:spacing w:after="0" w:line="282" w:lineRule="auto"/>
        <w:rPr>
          <w:rFonts w:ascii="Times New Roman" w:cs="Times New Roman" w:eastAsia="Times New Roman" w:hAnsi="Times New Roman"/>
          <w:sz w:val="18"/>
          <w:szCs w:val="18"/>
          <w:color w:val="0000FF"/>
        </w:rPr>
      </w:pPr>
      <w:hyperlink r:id="rId35">
        <w:r>
          <w:rPr>
            <w:rFonts w:ascii="Times New Roman" w:cs="Times New Roman" w:eastAsia="Times New Roman" w:hAnsi="Times New Roman"/>
            <w:sz w:val="18"/>
            <w:szCs w:val="18"/>
            <w:u w:val="single" w:color="auto"/>
            <w:color w:val="0000FF"/>
          </w:rPr>
          <w:t>Separation Agreement and Release, dated as of July 12, 2019, by and between NN, Inc. and Thomas C. Burwell, Jr.</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reference to Exhibit 10.1 to NN, Inc.’s Current Report on Form 8-K filed on July 15, 2019)</w:t>
      </w:r>
    </w:p>
    <w:p>
      <w:pPr>
        <w:spacing w:after="0" w:line="200" w:lineRule="exact"/>
        <w:rPr>
          <w:sz w:val="20"/>
          <w:szCs w:val="20"/>
          <w:color w:val="auto"/>
        </w:rPr>
      </w:pPr>
    </w:p>
    <w:p>
      <w:pPr>
        <w:spacing w:after="0" w:line="272"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w:anchor="page38">
        <w:r>
          <w:rPr>
            <w:rFonts w:ascii="Times New Roman" w:cs="Times New Roman" w:eastAsia="Times New Roman" w:hAnsi="Times New Roman"/>
            <w:sz w:val="18"/>
            <w:szCs w:val="18"/>
            <w:u w:val="single" w:color="auto"/>
            <w:color w:val="0000FF"/>
          </w:rPr>
          <w:t>Form of Incentive Stock Option Agreement under the 2019 Omnibus Incentive Plan</w:t>
        </w:r>
      </w:hyperlink>
    </w:p>
    <w:p>
      <w:pPr>
        <w:spacing w:after="0" w:line="293"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w:anchor="page47">
        <w:r>
          <w:rPr>
            <w:rFonts w:ascii="Times New Roman" w:cs="Times New Roman" w:eastAsia="Times New Roman" w:hAnsi="Times New Roman"/>
            <w:sz w:val="18"/>
            <w:szCs w:val="18"/>
            <w:u w:val="single" w:color="auto"/>
            <w:color w:val="0000FF"/>
          </w:rPr>
          <w:t>Form of Nonqualified Stock Option Agreement under the 2019 Omnibus Incentive Plan</w:t>
        </w:r>
      </w:hyperlink>
    </w:p>
    <w:p>
      <w:pPr>
        <w:spacing w:after="0" w:line="293"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w:anchor="page56">
        <w:r>
          <w:rPr>
            <w:rFonts w:ascii="Times New Roman" w:cs="Times New Roman" w:eastAsia="Times New Roman" w:hAnsi="Times New Roman"/>
            <w:sz w:val="18"/>
            <w:szCs w:val="18"/>
            <w:u w:val="single" w:color="auto"/>
            <w:color w:val="0000FF"/>
          </w:rPr>
          <w:t>Form of Restricted Share Award Agreement under the 2019 Omnibus Incentive Plan</w:t>
        </w:r>
      </w:hyperlink>
    </w:p>
    <w:p>
      <w:pPr>
        <w:spacing w:after="0" w:line="293"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w:anchor="page64">
        <w:r>
          <w:rPr>
            <w:rFonts w:ascii="Times New Roman" w:cs="Times New Roman" w:eastAsia="Times New Roman" w:hAnsi="Times New Roman"/>
            <w:sz w:val="18"/>
            <w:szCs w:val="18"/>
            <w:u w:val="single" w:color="auto"/>
            <w:color w:val="0000FF"/>
          </w:rPr>
          <w:t>Form of Performance Share Unit Award Agreement under the 2019 Omnibus Incentive Plan</w:t>
        </w:r>
      </w:hyperlink>
    </w:p>
    <w:p>
      <w:pPr>
        <w:spacing w:after="0" w:line="293" w:lineRule="exact"/>
        <w:rPr>
          <w:sz w:val="20"/>
          <w:szCs w:val="20"/>
          <w:color w:val="auto"/>
        </w:rPr>
      </w:pPr>
    </w:p>
    <w:p>
      <w:pPr>
        <w:ind w:right="760"/>
        <w:spacing w:after="0" w:line="282" w:lineRule="auto"/>
        <w:rPr>
          <w:rFonts w:ascii="Times New Roman" w:cs="Times New Roman" w:eastAsia="Times New Roman" w:hAnsi="Times New Roman"/>
          <w:sz w:val="18"/>
          <w:szCs w:val="18"/>
          <w:u w:val="single" w:color="auto"/>
          <w:color w:val="0000FF"/>
        </w:rPr>
      </w:pPr>
      <w:hyperlink w:anchor="page73">
        <w:r>
          <w:rPr>
            <w:rFonts w:ascii="Times New Roman" w:cs="Times New Roman" w:eastAsia="Times New Roman" w:hAnsi="Times New Roman"/>
            <w:sz w:val="18"/>
            <w:szCs w:val="18"/>
            <w:u w:val="single" w:color="auto"/>
            <w:color w:val="0000FF"/>
          </w:rPr>
          <w:t>Certification of Principal Executive Officer and Principal Financial Officer Pursuant to Rules 13a-14(a) and 15d-14(a) under the</w:t>
        </w:r>
      </w:hyperlink>
      <w:r>
        <w:rPr>
          <w:rFonts w:ascii="Times New Roman" w:cs="Times New Roman" w:eastAsia="Times New Roman" w:hAnsi="Times New Roman"/>
          <w:sz w:val="18"/>
          <w:szCs w:val="18"/>
          <w:u w:val="single" w:color="auto"/>
          <w:color w:val="0000FF"/>
        </w:rPr>
        <w:t xml:space="preserve"> </w:t>
      </w:r>
      <w:hyperlink w:anchor="page73">
        <w:r>
          <w:rPr>
            <w:rFonts w:ascii="Times New Roman" w:cs="Times New Roman" w:eastAsia="Times New Roman" w:hAnsi="Times New Roman"/>
            <w:sz w:val="18"/>
            <w:szCs w:val="18"/>
            <w:u w:val="single" w:color="auto"/>
            <w:color w:val="0000FF"/>
          </w:rPr>
          <w:t>Securities Exchange Act of 1934, as amended.</w:t>
        </w:r>
      </w:hyperlink>
    </w:p>
    <w:p>
      <w:pPr>
        <w:spacing w:after="0" w:line="229"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w:anchor="page74">
        <w:r>
          <w:rPr>
            <w:rFonts w:ascii="Times New Roman" w:cs="Times New Roman" w:eastAsia="Times New Roman" w:hAnsi="Times New Roman"/>
            <w:sz w:val="18"/>
            <w:szCs w:val="18"/>
            <w:u w:val="single" w:color="auto"/>
            <w:color w:val="0000FF"/>
          </w:rPr>
          <w:t>Certification of Principal Executive Officer and Principal Financial Officer pursuant to Section 906 of the Sarbanes-Oxley Act of 2002.</w:t>
        </w:r>
      </w:hyperlink>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Instance Document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Service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Taxonomy Calculation Linkbase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Label Linkbase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Presentation Linkbase Document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Definition Linkbase Document</w:t>
      </w:r>
    </w:p>
    <w:p>
      <w:pPr>
        <w:spacing w:after="0" w:line="198" w:lineRule="exact"/>
        <w:rPr>
          <w:sz w:val="20"/>
          <w:szCs w:val="20"/>
          <w:color w:val="auto"/>
        </w:rPr>
      </w:pPr>
    </w:p>
    <w:p>
      <w:pPr>
        <w:sectPr>
          <w:pgSz w:w="11900" w:h="16838" w:orient="portrait"/>
          <w:cols w:equalWidth="0" w:num="2">
            <w:col w:w="720" w:space="700"/>
            <w:col w:w="10000"/>
          </w:cols>
          <w:pgMar w:left="240" w:top="108" w:right="2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color w:val="auto"/>
        </w:rPr>
        <w:t>* Management contract or compensatory plan or arrangement</w:t>
      </w:r>
    </w:p>
    <w:p>
      <w:pPr>
        <w:sectPr>
          <w:pgSz w:w="11900" w:h="16838" w:orient="portrait"/>
          <w:cols w:equalWidth="0" w:num="1">
            <w:col w:w="11420"/>
          </w:cols>
          <w:pgMar w:left="240" w:top="108" w:right="239" w:bottom="1440" w:gutter="0" w:footer="0" w:header="0"/>
          <w:type w:val="continuous"/>
        </w:sect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08" w:right="239" w:bottom="1440" w:gutter="0" w:footer="0" w:header="0"/>
          <w:type w:val="continuous"/>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64"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NN,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34290</wp:posOffset>
            </wp:positionV>
            <wp:extent cx="282130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(Registrant)</w:t>
      </w:r>
    </w:p>
    <w:p>
      <w:pPr>
        <w:spacing w:after="0" w:line="38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Date: August 9, 2019 /s/ Richard 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34290</wp:posOffset>
            </wp:positionV>
            <wp:extent cx="282130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Richard D. Holder</w:t>
      </w:r>
    </w:p>
    <w:p>
      <w:pPr>
        <w:spacing w:after="0" w:line="6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6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(Principal Executive and Financial Officer)</w:t>
      </w:r>
    </w:p>
    <w:p>
      <w:pPr>
        <w:spacing w:after="0" w:line="6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(Duly Authorized Officer)</w:t>
      </w:r>
    </w:p>
    <w:p>
      <w:pPr>
        <w:spacing w:after="0" w:line="38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Date: August 9, 2019 /s/ Michael C. Felcher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34290</wp:posOffset>
            </wp:positionV>
            <wp:extent cx="282130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Michael C. Felcher</w:t>
      </w:r>
    </w:p>
    <w:p>
      <w:pPr>
        <w:spacing w:after="0" w:line="6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Vice President—Chief Accounting Officer</w:t>
      </w:r>
    </w:p>
    <w:p>
      <w:pPr>
        <w:spacing w:after="0" w:line="6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20"/>
          </w:cols>
          <w:pgMar w:left="240" w:top="121" w:right="4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20"/>
          <w:szCs w:val="20"/>
          <w:b w:val="1"/>
          <w:bCs w:val="1"/>
          <w:color w:val="auto"/>
        </w:rPr>
        <w:t>NN,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2019 OMNIBUS INCENTIVE PLAN</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INCENTIVE STOCK OPTION GRANT NOTICE</w:t>
      </w:r>
    </w:p>
    <w:p>
      <w:pPr>
        <w:spacing w:after="0" w:line="207"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NN,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pursuant to its 2019 Omnibus Incentive Plan, as amended from time to time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hereby grants to the holder listed below (“</w:t>
      </w:r>
      <w:r>
        <w:rPr>
          <w:rFonts w:ascii="Times New Roman" w:cs="Times New Roman" w:eastAsia="Times New Roman" w:hAnsi="Times New Roman"/>
          <w:sz w:val="20"/>
          <w:szCs w:val="20"/>
          <w:u w:val="single" w:color="auto"/>
          <w:color w:val="auto"/>
        </w:rPr>
        <w:t>Grantee</w:t>
      </w:r>
      <w:r>
        <w:rPr>
          <w:rFonts w:ascii="Times New Roman" w:cs="Times New Roman" w:eastAsia="Times New Roman" w:hAnsi="Times New Roman"/>
          <w:sz w:val="20"/>
          <w:szCs w:val="20"/>
          <w:color w:val="auto"/>
        </w:rPr>
        <w:t>”), an option (the “</w:t>
      </w:r>
      <w:r>
        <w:rPr>
          <w:rFonts w:ascii="Times New Roman" w:cs="Times New Roman" w:eastAsia="Times New Roman" w:hAnsi="Times New Roman"/>
          <w:sz w:val="20"/>
          <w:szCs w:val="20"/>
          <w:u w:val="single" w:color="auto"/>
          <w:color w:val="auto"/>
        </w:rPr>
        <w:t>Option</w:t>
      </w:r>
      <w:r>
        <w:rPr>
          <w:rFonts w:ascii="Times New Roman" w:cs="Times New Roman" w:eastAsia="Times New Roman" w:hAnsi="Times New Roman"/>
          <w:sz w:val="20"/>
          <w:szCs w:val="20"/>
          <w:color w:val="auto"/>
        </w:rPr>
        <w:t>”) to purchase the number of shares of common stock of the Company (“</w:t>
      </w:r>
      <w:r>
        <w:rPr>
          <w:rFonts w:ascii="Times New Roman" w:cs="Times New Roman" w:eastAsia="Times New Roman" w:hAnsi="Times New Roman"/>
          <w:sz w:val="20"/>
          <w:szCs w:val="20"/>
          <w:u w:val="single" w:color="auto"/>
          <w:color w:val="auto"/>
        </w:rPr>
        <w:t>Shares</w:t>
      </w:r>
      <w:r>
        <w:rPr>
          <w:rFonts w:ascii="Times New Roman" w:cs="Times New Roman" w:eastAsia="Times New Roman" w:hAnsi="Times New Roman"/>
          <w:sz w:val="20"/>
          <w:szCs w:val="20"/>
          <w:color w:val="auto"/>
        </w:rPr>
        <w:t>”) set forth below. The Option is subject to the terms and conditions set forth in this Stock Option Grant Notice (the “</w:t>
      </w:r>
      <w:r>
        <w:rPr>
          <w:rFonts w:ascii="Times New Roman" w:cs="Times New Roman" w:eastAsia="Times New Roman" w:hAnsi="Times New Roman"/>
          <w:sz w:val="20"/>
          <w:szCs w:val="20"/>
          <w:u w:val="single" w:color="auto"/>
          <w:color w:val="auto"/>
        </w:rPr>
        <w:t>Grant Notice</w:t>
      </w:r>
      <w:r>
        <w:rPr>
          <w:rFonts w:ascii="Times New Roman" w:cs="Times New Roman" w:eastAsia="Times New Roman" w:hAnsi="Times New Roman"/>
          <w:sz w:val="20"/>
          <w:szCs w:val="20"/>
          <w:color w:val="auto"/>
        </w:rPr>
        <w:t xml:space="preserve">”) and the Incentive Stock Option Agreement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and the Plan, which are incorporated herein by reference. Unless otherwise defined, the terms defined in the Plan shall have the same defined meanings in the Grant Notice and the Agreement.</w:t>
      </w:r>
    </w:p>
    <w:p>
      <w:pPr>
        <w:spacing w:after="0" w:line="357"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4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Grantee:</w:t>
            </w:r>
          </w:p>
        </w:tc>
        <w:tc>
          <w:tcPr>
            <w:tcW w:w="3100" w:type="dxa"/>
            <w:vAlign w:val="bottom"/>
            <w:gridSpan w:val="2"/>
          </w:tcPr>
          <w:p>
            <w:pPr>
              <w:jc w:val="right"/>
              <w:ind w:right="421"/>
              <w:spacing w:after="0"/>
              <w:rPr>
                <w:sz w:val="20"/>
                <w:szCs w:val="20"/>
                <w:color w:val="auto"/>
              </w:rPr>
            </w:pPr>
            <w:r>
              <w:rPr>
                <w:rFonts w:ascii="Times New Roman" w:cs="Times New Roman" w:eastAsia="Times New Roman" w:hAnsi="Times New Roman"/>
                <w:sz w:val="20"/>
                <w:szCs w:val="20"/>
                <w:color w:val="auto"/>
              </w:rPr>
              <w:t>_______________________</w:t>
            </w:r>
          </w:p>
        </w:tc>
        <w:tc>
          <w:tcPr>
            <w:tcW w:w="64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1"/>
        </w:trPr>
        <w:tc>
          <w:tcPr>
            <w:tcW w:w="4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Grant Date:</w:t>
            </w:r>
          </w:p>
        </w:tc>
        <w:tc>
          <w:tcPr>
            <w:tcW w:w="3100" w:type="dxa"/>
            <w:vAlign w:val="bottom"/>
            <w:gridSpan w:val="2"/>
          </w:tcPr>
          <w:p>
            <w:pPr>
              <w:jc w:val="right"/>
              <w:ind w:right="421"/>
              <w:spacing w:after="0"/>
              <w:rPr>
                <w:sz w:val="20"/>
                <w:szCs w:val="20"/>
                <w:color w:val="auto"/>
              </w:rPr>
            </w:pPr>
            <w:r>
              <w:rPr>
                <w:rFonts w:ascii="Times New Roman" w:cs="Times New Roman" w:eastAsia="Times New Roman" w:hAnsi="Times New Roman"/>
                <w:sz w:val="20"/>
                <w:szCs w:val="20"/>
                <w:color w:val="auto"/>
              </w:rPr>
              <w:t>_______________________</w:t>
            </w:r>
          </w:p>
        </w:tc>
        <w:tc>
          <w:tcPr>
            <w:tcW w:w="6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4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Exercise Price per Share:</w:t>
            </w:r>
          </w:p>
        </w:tc>
        <w:tc>
          <w:tcPr>
            <w:tcW w:w="31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$______________________</w:t>
            </w:r>
          </w:p>
        </w:tc>
        <w:tc>
          <w:tcPr>
            <w:tcW w:w="6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4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Number of Shares Subject to the Option:</w:t>
            </w:r>
          </w:p>
        </w:tc>
        <w:tc>
          <w:tcPr>
            <w:tcW w:w="3740" w:type="dxa"/>
            <w:vAlign w:val="bottom"/>
            <w:gridSpan w:val="3"/>
          </w:tcPr>
          <w:p>
            <w:pPr>
              <w:jc w:val="right"/>
              <w:ind w:right="1160"/>
              <w:spacing w:after="0"/>
              <w:rPr>
                <w:sz w:val="20"/>
                <w:szCs w:val="20"/>
                <w:color w:val="auto"/>
              </w:rPr>
            </w:pPr>
            <w:r>
              <w:rPr>
                <w:rFonts w:ascii="Times New Roman" w:cs="Times New Roman" w:eastAsia="Times New Roman" w:hAnsi="Times New Roman"/>
                <w:sz w:val="20"/>
                <w:szCs w:val="20"/>
                <w:color w:val="auto"/>
              </w:rPr>
              <w:t>__________________ shares</w:t>
            </w:r>
          </w:p>
        </w:tc>
        <w:tc>
          <w:tcPr>
            <w:tcW w:w="1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4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Expiration Date:</w:t>
            </w:r>
          </w:p>
        </w:tc>
        <w:tc>
          <w:tcPr>
            <w:tcW w:w="3100" w:type="dxa"/>
            <w:vAlign w:val="bottom"/>
            <w:gridSpan w:val="2"/>
          </w:tcPr>
          <w:p>
            <w:pPr>
              <w:jc w:val="right"/>
              <w:ind w:right="421"/>
              <w:spacing w:after="0"/>
              <w:rPr>
                <w:sz w:val="20"/>
                <w:szCs w:val="20"/>
                <w:color w:val="auto"/>
              </w:rPr>
            </w:pPr>
            <w:r>
              <w:rPr>
                <w:rFonts w:ascii="Times New Roman" w:cs="Times New Roman" w:eastAsia="Times New Roman" w:hAnsi="Times New Roman"/>
                <w:sz w:val="20"/>
                <w:szCs w:val="20"/>
                <w:color w:val="auto"/>
              </w:rPr>
              <w:t>_______________________</w:t>
            </w:r>
          </w:p>
        </w:tc>
        <w:tc>
          <w:tcPr>
            <w:tcW w:w="6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2"/>
        </w:trPr>
        <w:tc>
          <w:tcPr>
            <w:tcW w:w="4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Vesting Schedule:</w:t>
            </w:r>
          </w:p>
        </w:tc>
        <w:tc>
          <w:tcPr>
            <w:tcW w:w="10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80" w:type="dxa"/>
            <w:vAlign w:val="bottom"/>
            <w:gridSpan w:val="3"/>
          </w:tcPr>
          <w:p>
            <w:pPr>
              <w:jc w:val="center"/>
              <w:ind w:left="521"/>
              <w:spacing w:after="0"/>
              <w:rPr>
                <w:sz w:val="20"/>
                <w:szCs w:val="20"/>
                <w:color w:val="auto"/>
              </w:rPr>
            </w:pPr>
            <w:r>
              <w:rPr>
                <w:rFonts w:ascii="Times New Roman" w:cs="Times New Roman" w:eastAsia="Times New Roman" w:hAnsi="Times New Roman"/>
                <w:sz w:val="20"/>
                <w:szCs w:val="20"/>
                <w:color w:val="auto"/>
                <w:w w:val="98"/>
              </w:rPr>
              <w:t>Percentage of Option Which</w:t>
            </w:r>
          </w:p>
        </w:tc>
        <w:tc>
          <w:tcPr>
            <w:tcW w:w="0" w:type="dxa"/>
            <w:vAlign w:val="bottom"/>
          </w:tcPr>
          <w:p>
            <w:pPr>
              <w:spacing w:after="0"/>
              <w:rPr>
                <w:sz w:val="1"/>
                <w:szCs w:val="1"/>
                <w:color w:val="auto"/>
              </w:rPr>
            </w:pPr>
          </w:p>
        </w:tc>
      </w:tr>
      <w:tr>
        <w:trPr>
          <w:trHeight w:val="212"/>
        </w:trPr>
        <w:tc>
          <w:tcPr>
            <w:tcW w:w="4180" w:type="dxa"/>
            <w:vAlign w:val="bottom"/>
          </w:tcPr>
          <w:p>
            <w:pPr>
              <w:spacing w:after="0"/>
              <w:rPr>
                <w:sz w:val="18"/>
                <w:szCs w:val="18"/>
                <w:color w:val="auto"/>
              </w:rPr>
            </w:pPr>
          </w:p>
        </w:tc>
        <w:tc>
          <w:tcPr>
            <w:tcW w:w="3740" w:type="dxa"/>
            <w:vAlign w:val="bottom"/>
            <w:gridSpan w:val="3"/>
            <w:vMerge w:val="restart"/>
          </w:tcPr>
          <w:p>
            <w:pPr>
              <w:jc w:val="center"/>
              <w:ind w:left="321"/>
              <w:spacing w:after="0"/>
              <w:rPr>
                <w:sz w:val="20"/>
                <w:szCs w:val="20"/>
                <w:color w:val="auto"/>
              </w:rPr>
            </w:pPr>
            <w:r>
              <w:rPr>
                <w:rFonts w:ascii="Times New Roman" w:cs="Times New Roman" w:eastAsia="Times New Roman" w:hAnsi="Times New Roman"/>
                <w:sz w:val="20"/>
                <w:szCs w:val="20"/>
                <w:color w:val="auto"/>
                <w:w w:val="98"/>
              </w:rPr>
              <w:t>Initial Exercisability Date</w:t>
            </w:r>
          </w:p>
        </w:tc>
        <w:tc>
          <w:tcPr>
            <w:tcW w:w="2880" w:type="dxa"/>
            <w:vAlign w:val="bottom"/>
            <w:gridSpan w:val="3"/>
          </w:tcPr>
          <w:p>
            <w:pPr>
              <w:jc w:val="center"/>
              <w:ind w:left="521"/>
              <w:spacing w:after="0" w:line="212" w:lineRule="exact"/>
              <w:rPr>
                <w:sz w:val="20"/>
                <w:szCs w:val="20"/>
                <w:color w:val="auto"/>
              </w:rPr>
            </w:pPr>
            <w:r>
              <w:rPr>
                <w:rFonts w:ascii="Times New Roman" w:cs="Times New Roman" w:eastAsia="Times New Roman" w:hAnsi="Times New Roman"/>
                <w:sz w:val="20"/>
                <w:szCs w:val="20"/>
                <w:color w:val="auto"/>
                <w:w w:val="98"/>
              </w:rPr>
              <w:t>Becomes First Exercisable</w:t>
            </w:r>
          </w:p>
        </w:tc>
        <w:tc>
          <w:tcPr>
            <w:tcW w:w="0" w:type="dxa"/>
            <w:vAlign w:val="bottom"/>
          </w:tcPr>
          <w:p>
            <w:pPr>
              <w:spacing w:after="0"/>
              <w:rPr>
                <w:sz w:val="1"/>
                <w:szCs w:val="1"/>
                <w:color w:val="auto"/>
              </w:rPr>
            </w:pPr>
          </w:p>
        </w:tc>
      </w:tr>
      <w:tr>
        <w:trPr>
          <w:trHeight w:val="210"/>
        </w:trPr>
        <w:tc>
          <w:tcPr>
            <w:tcW w:w="4180" w:type="dxa"/>
            <w:vAlign w:val="bottom"/>
          </w:tcPr>
          <w:p>
            <w:pPr>
              <w:spacing w:after="0"/>
              <w:rPr>
                <w:sz w:val="18"/>
                <w:szCs w:val="18"/>
                <w:color w:val="auto"/>
              </w:rPr>
            </w:pPr>
          </w:p>
        </w:tc>
        <w:tc>
          <w:tcPr>
            <w:tcW w:w="3740" w:type="dxa"/>
            <w:vAlign w:val="bottom"/>
            <w:gridSpan w:val="3"/>
            <w:vMerge w:val="continue"/>
          </w:tcPr>
          <w:p>
            <w:pPr>
              <w:spacing w:after="0"/>
              <w:rPr>
                <w:sz w:val="18"/>
                <w:szCs w:val="18"/>
                <w:color w:val="auto"/>
              </w:rPr>
            </w:pPr>
          </w:p>
        </w:tc>
        <w:tc>
          <w:tcPr>
            <w:tcW w:w="18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11"/>
        </w:trPr>
        <w:tc>
          <w:tcPr>
            <w:tcW w:w="4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_______________</w:t>
            </w:r>
          </w:p>
        </w:tc>
        <w:tc>
          <w:tcPr>
            <w:tcW w:w="640" w:type="dxa"/>
            <w:vAlign w:val="bottom"/>
          </w:tcPr>
          <w:p>
            <w:pPr>
              <w:spacing w:after="0"/>
              <w:rPr>
                <w:sz w:val="24"/>
                <w:szCs w:val="24"/>
                <w:color w:val="auto"/>
              </w:rPr>
            </w:pPr>
          </w:p>
        </w:tc>
        <w:tc>
          <w:tcPr>
            <w:tcW w:w="2800" w:type="dxa"/>
            <w:vAlign w:val="bottom"/>
            <w:gridSpan w:val="2"/>
          </w:tcPr>
          <w:p>
            <w:pPr>
              <w:jc w:val="center"/>
              <w:ind w:left="601"/>
              <w:spacing w:after="0"/>
              <w:rPr>
                <w:sz w:val="20"/>
                <w:szCs w:val="20"/>
                <w:color w:val="auto"/>
              </w:rPr>
            </w:pPr>
            <w:r>
              <w:rPr>
                <w:rFonts w:ascii="Times New Roman" w:cs="Times New Roman" w:eastAsia="Times New Roman" w:hAnsi="Times New Roman"/>
                <w:sz w:val="20"/>
                <w:szCs w:val="20"/>
                <w:color w:val="auto"/>
                <w:w w:val="99"/>
              </w:rPr>
              <w:t>_______________</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180" w:type="dxa"/>
            <w:vAlign w:val="bottom"/>
          </w:tcPr>
          <w:p>
            <w:pPr>
              <w:spacing w:after="0"/>
              <w:rPr>
                <w:sz w:val="19"/>
                <w:szCs w:val="19"/>
                <w:color w:val="auto"/>
              </w:rPr>
            </w:pPr>
          </w:p>
        </w:tc>
        <w:tc>
          <w:tcPr>
            <w:tcW w:w="3100" w:type="dxa"/>
            <w:vAlign w:val="bottom"/>
            <w:gridSpan w:val="2"/>
          </w:tcPr>
          <w:p>
            <w:pPr>
              <w:jc w:val="center"/>
              <w:ind w:left="961"/>
              <w:spacing w:after="0"/>
              <w:rPr>
                <w:sz w:val="20"/>
                <w:szCs w:val="20"/>
                <w:color w:val="auto"/>
              </w:rPr>
            </w:pPr>
            <w:r>
              <w:rPr>
                <w:rFonts w:ascii="Times New Roman" w:cs="Times New Roman" w:eastAsia="Times New Roman" w:hAnsi="Times New Roman"/>
                <w:sz w:val="20"/>
                <w:szCs w:val="20"/>
                <w:color w:val="auto"/>
                <w:w w:val="98"/>
              </w:rPr>
              <w:t>_______________</w:t>
            </w:r>
          </w:p>
        </w:tc>
        <w:tc>
          <w:tcPr>
            <w:tcW w:w="640" w:type="dxa"/>
            <w:vAlign w:val="bottom"/>
          </w:tcPr>
          <w:p>
            <w:pPr>
              <w:spacing w:after="0"/>
              <w:rPr>
                <w:sz w:val="19"/>
                <w:szCs w:val="19"/>
                <w:color w:val="auto"/>
              </w:rPr>
            </w:pPr>
          </w:p>
        </w:tc>
        <w:tc>
          <w:tcPr>
            <w:tcW w:w="2800" w:type="dxa"/>
            <w:vAlign w:val="bottom"/>
            <w:gridSpan w:val="2"/>
          </w:tcPr>
          <w:p>
            <w:pPr>
              <w:jc w:val="center"/>
              <w:ind w:left="601"/>
              <w:spacing w:after="0"/>
              <w:rPr>
                <w:sz w:val="20"/>
                <w:szCs w:val="20"/>
                <w:color w:val="auto"/>
              </w:rPr>
            </w:pPr>
            <w:r>
              <w:rPr>
                <w:rFonts w:ascii="Times New Roman" w:cs="Times New Roman" w:eastAsia="Times New Roman" w:hAnsi="Times New Roman"/>
                <w:sz w:val="20"/>
                <w:szCs w:val="20"/>
                <w:color w:val="auto"/>
                <w:w w:val="99"/>
              </w:rPr>
              <w:t>_______________</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spacing w:after="0"/>
              <w:rPr>
                <w:sz w:val="19"/>
                <w:szCs w:val="19"/>
                <w:color w:val="auto"/>
              </w:rPr>
            </w:pPr>
          </w:p>
        </w:tc>
        <w:tc>
          <w:tcPr>
            <w:tcW w:w="3100" w:type="dxa"/>
            <w:vAlign w:val="bottom"/>
            <w:gridSpan w:val="2"/>
          </w:tcPr>
          <w:p>
            <w:pPr>
              <w:jc w:val="center"/>
              <w:ind w:left="961"/>
              <w:spacing w:after="0"/>
              <w:rPr>
                <w:sz w:val="20"/>
                <w:szCs w:val="20"/>
                <w:color w:val="auto"/>
              </w:rPr>
            </w:pPr>
            <w:r>
              <w:rPr>
                <w:rFonts w:ascii="Times New Roman" w:cs="Times New Roman" w:eastAsia="Times New Roman" w:hAnsi="Times New Roman"/>
                <w:sz w:val="20"/>
                <w:szCs w:val="20"/>
                <w:color w:val="auto"/>
                <w:w w:val="98"/>
              </w:rPr>
              <w:t>_______________</w:t>
            </w:r>
          </w:p>
        </w:tc>
        <w:tc>
          <w:tcPr>
            <w:tcW w:w="640" w:type="dxa"/>
            <w:vAlign w:val="bottom"/>
          </w:tcPr>
          <w:p>
            <w:pPr>
              <w:spacing w:after="0"/>
              <w:rPr>
                <w:sz w:val="19"/>
                <w:szCs w:val="19"/>
                <w:color w:val="auto"/>
              </w:rPr>
            </w:pPr>
          </w:p>
        </w:tc>
        <w:tc>
          <w:tcPr>
            <w:tcW w:w="2800" w:type="dxa"/>
            <w:vAlign w:val="bottom"/>
            <w:gridSpan w:val="2"/>
          </w:tcPr>
          <w:p>
            <w:pPr>
              <w:jc w:val="center"/>
              <w:ind w:left="601"/>
              <w:spacing w:after="0"/>
              <w:rPr>
                <w:sz w:val="20"/>
                <w:szCs w:val="20"/>
                <w:color w:val="auto"/>
              </w:rPr>
            </w:pPr>
            <w:r>
              <w:rPr>
                <w:rFonts w:ascii="Times New Roman" w:cs="Times New Roman" w:eastAsia="Times New Roman" w:hAnsi="Times New Roman"/>
                <w:sz w:val="20"/>
                <w:szCs w:val="20"/>
                <w:color w:val="auto"/>
                <w:w w:val="99"/>
              </w:rPr>
              <w:t>_______________</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4180" w:type="dxa"/>
            <w:vAlign w:val="bottom"/>
          </w:tcPr>
          <w:p>
            <w:pPr>
              <w:spacing w:after="0"/>
              <w:rPr>
                <w:sz w:val="22"/>
                <w:szCs w:val="22"/>
                <w:color w:val="auto"/>
              </w:rPr>
            </w:pPr>
          </w:p>
        </w:tc>
        <w:tc>
          <w:tcPr>
            <w:tcW w:w="3100" w:type="dxa"/>
            <w:vAlign w:val="bottom"/>
            <w:gridSpan w:val="2"/>
          </w:tcPr>
          <w:p>
            <w:pPr>
              <w:jc w:val="center"/>
              <w:ind w:left="961"/>
              <w:spacing w:after="0"/>
              <w:rPr>
                <w:sz w:val="20"/>
                <w:szCs w:val="20"/>
                <w:color w:val="auto"/>
              </w:rPr>
            </w:pPr>
            <w:r>
              <w:rPr>
                <w:rFonts w:ascii="Times New Roman" w:cs="Times New Roman" w:eastAsia="Times New Roman" w:hAnsi="Times New Roman"/>
                <w:sz w:val="20"/>
                <w:szCs w:val="20"/>
                <w:color w:val="auto"/>
                <w:w w:val="98"/>
              </w:rPr>
              <w:t>_______________</w:t>
            </w:r>
          </w:p>
        </w:tc>
        <w:tc>
          <w:tcPr>
            <w:tcW w:w="640" w:type="dxa"/>
            <w:vAlign w:val="bottom"/>
          </w:tcPr>
          <w:p>
            <w:pPr>
              <w:spacing w:after="0"/>
              <w:rPr>
                <w:sz w:val="22"/>
                <w:szCs w:val="22"/>
                <w:color w:val="auto"/>
              </w:rPr>
            </w:pPr>
          </w:p>
        </w:tc>
        <w:tc>
          <w:tcPr>
            <w:tcW w:w="2800" w:type="dxa"/>
            <w:vAlign w:val="bottom"/>
            <w:gridSpan w:val="2"/>
          </w:tcPr>
          <w:p>
            <w:pPr>
              <w:jc w:val="center"/>
              <w:ind w:left="601"/>
              <w:spacing w:after="0"/>
              <w:rPr>
                <w:sz w:val="20"/>
                <w:szCs w:val="20"/>
                <w:color w:val="auto"/>
              </w:rPr>
            </w:pPr>
            <w:r>
              <w:rPr>
                <w:rFonts w:ascii="Times New Roman" w:cs="Times New Roman" w:eastAsia="Times New Roman" w:hAnsi="Times New Roman"/>
                <w:sz w:val="20"/>
                <w:szCs w:val="20"/>
                <w:color w:val="auto"/>
                <w:w w:val="99"/>
              </w:rPr>
              <w:t>_______________</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13"/>
        </w:trPr>
        <w:tc>
          <w:tcPr>
            <w:tcW w:w="4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Type of Option:</w:t>
            </w:r>
          </w:p>
        </w:tc>
        <w:tc>
          <w:tcPr>
            <w:tcW w:w="374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Incentive Stock Option</w:t>
            </w:r>
          </w:p>
        </w:tc>
        <w:tc>
          <w:tcPr>
            <w:tcW w:w="1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9"/>
          <w:szCs w:val="19"/>
          <w:color w:val="auto"/>
        </w:rPr>
        <w:t>By his or her signature and the Company’s signature below, Grantee agrees to be bound by the terms and conditions of the Plan, the Agreement and the Grant Notice. Grantee has reviewed the Agreement, the Plan and the Grant Notice in their entirety, has had an opportunity to obtain the advice of counsel prior to executing the Grant Notice and fully understands all provisions of the Grant Notice, the Agreement and the Plan.</w:t>
      </w:r>
    </w:p>
    <w:p>
      <w:pPr>
        <w:spacing w:after="0" w:line="1" w:lineRule="exact"/>
        <w:rPr>
          <w:sz w:val="20"/>
          <w:szCs w:val="20"/>
          <w:color w:val="auto"/>
        </w:rPr>
      </w:pPr>
    </w:p>
    <w:p>
      <w:pPr>
        <w:ind w:right="280"/>
        <w:spacing w:after="0" w:line="246" w:lineRule="auto"/>
        <w:rPr>
          <w:sz w:val="20"/>
          <w:szCs w:val="20"/>
          <w:color w:val="auto"/>
        </w:rPr>
      </w:pPr>
      <w:r>
        <w:rPr>
          <w:rFonts w:ascii="Times New Roman" w:cs="Times New Roman" w:eastAsia="Times New Roman" w:hAnsi="Times New Roman"/>
          <w:sz w:val="20"/>
          <w:szCs w:val="20"/>
          <w:color w:val="auto"/>
        </w:rPr>
        <w:t>Grantee hereby agrees to accept as binding, conclusive and final all decisions or interpretations of the Committee upon any questions arising under the Plan, the Grant Notice or the Agreement.</w:t>
      </w:r>
    </w:p>
    <w:p>
      <w:pPr>
        <w:sectPr>
          <w:pgSz w:w="11900" w:h="16838" w:orient="portrait"/>
          <w:cols w:equalWidth="0" w:num="1">
            <w:col w:w="11420"/>
          </w:cols>
          <w:pgMar w:left="240" w:top="612" w:right="239" w:bottom="1440" w:gutter="0" w:footer="0" w:header="0"/>
        </w:sectPr>
      </w:pPr>
    </w:p>
    <w:bookmarkStart w:id="38" w:name="page39"/>
    <w:bookmarkEnd w:id="38"/>
    <w:tbl>
      <w:tblPr>
        <w:tblLayout w:type="fixed"/>
        <w:tblInd w:w="40" w:type="dxa"/>
        <w:tblCellMar>
          <w:top w:w="0" w:type="dxa"/>
          <w:left w:w="0" w:type="dxa"/>
          <w:bottom w:w="0" w:type="dxa"/>
          <w:right w:w="0" w:type="dxa"/>
        </w:tblCellMar>
      </w:tblPr>
      <w:tr>
        <w:trPr>
          <w:trHeight w:val="262"/>
        </w:trPr>
        <w:tc>
          <w:tcPr>
            <w:tcW w:w="12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NN, INC.</w:t>
            </w:r>
          </w:p>
        </w:tc>
        <w:tc>
          <w:tcPr>
            <w:tcW w:w="39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Times New Roman" w:cs="Times New Roman" w:eastAsia="Times New Roman" w:hAnsi="Times New Roman"/>
                <w:sz w:val="20"/>
                <w:szCs w:val="20"/>
                <w:b w:val="1"/>
                <w:bCs w:val="1"/>
                <w:color w:val="auto"/>
              </w:rPr>
              <w:t>GRANTEE</w:t>
            </w:r>
          </w:p>
        </w:tc>
        <w:tc>
          <w:tcPr>
            <w:tcW w:w="4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78"/>
        </w:trPr>
        <w:tc>
          <w:tcPr>
            <w:tcW w:w="12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By:</w:t>
            </w:r>
          </w:p>
        </w:tc>
        <w:tc>
          <w:tcPr>
            <w:tcW w:w="4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2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Print Name:</w:t>
            </w:r>
          </w:p>
        </w:tc>
        <w:tc>
          <w:tcPr>
            <w:tcW w:w="3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gridSpan w:val="2"/>
            <w:vMerge w:val="restart"/>
          </w:tcPr>
          <w:p>
            <w:pPr>
              <w:ind w:left="380"/>
              <w:spacing w:after="0"/>
              <w:rPr>
                <w:sz w:val="20"/>
                <w:szCs w:val="20"/>
                <w:color w:val="auto"/>
              </w:rPr>
            </w:pPr>
            <w:r>
              <w:rPr>
                <w:rFonts w:ascii="Times New Roman" w:cs="Times New Roman" w:eastAsia="Times New Roman" w:hAnsi="Times New Roman"/>
                <w:sz w:val="20"/>
                <w:szCs w:val="20"/>
                <w:color w:val="auto"/>
              </w:rPr>
              <w:t>Print Name:</w:t>
            </w:r>
          </w:p>
        </w:tc>
        <w:tc>
          <w:tcPr>
            <w:tcW w:w="4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1220" w:type="dxa"/>
            <w:vAlign w:val="bottom"/>
            <w:vMerge w:val="continue"/>
          </w:tcPr>
          <w:p>
            <w:pPr>
              <w:spacing w:after="0"/>
              <w:rPr>
                <w:sz w:val="21"/>
                <w:szCs w:val="21"/>
                <w:color w:val="auto"/>
              </w:rPr>
            </w:pPr>
          </w:p>
        </w:tc>
        <w:tc>
          <w:tcPr>
            <w:tcW w:w="3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gridSpan w:val="2"/>
            <w:vMerge w:val="continue"/>
          </w:tcPr>
          <w:p>
            <w:pPr>
              <w:spacing w:after="0"/>
              <w:rPr>
                <w:sz w:val="21"/>
                <w:szCs w:val="21"/>
                <w:color w:val="auto"/>
              </w:rPr>
            </w:pPr>
          </w:p>
        </w:tc>
        <w:tc>
          <w:tcPr>
            <w:tcW w:w="4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12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Title:</w:t>
            </w:r>
          </w:p>
        </w:tc>
        <w:tc>
          <w:tcPr>
            <w:tcW w:w="3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gridSpan w:val="2"/>
            <w:vMerge w:val="restart"/>
          </w:tcPr>
          <w:p>
            <w:pPr>
              <w:ind w:left="380"/>
              <w:spacing w:after="0"/>
              <w:rPr>
                <w:sz w:val="20"/>
                <w:szCs w:val="20"/>
                <w:color w:val="auto"/>
              </w:rPr>
            </w:pPr>
            <w:r>
              <w:rPr>
                <w:rFonts w:ascii="Times New Roman" w:cs="Times New Roman" w:eastAsia="Times New Roman" w:hAnsi="Times New Roman"/>
                <w:sz w:val="20"/>
                <w:szCs w:val="20"/>
                <w:color w:val="auto"/>
              </w:rPr>
              <w:t>Address:</w:t>
            </w:r>
          </w:p>
        </w:tc>
        <w:tc>
          <w:tcPr>
            <w:tcW w:w="4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7"/>
        </w:trPr>
        <w:tc>
          <w:tcPr>
            <w:tcW w:w="1220" w:type="dxa"/>
            <w:vAlign w:val="bottom"/>
            <w:vMerge w:val="continue"/>
          </w:tcPr>
          <w:p>
            <w:pPr>
              <w:spacing w:after="0"/>
              <w:rPr>
                <w:sz w:val="24"/>
                <w:szCs w:val="24"/>
                <w:color w:val="auto"/>
              </w:rPr>
            </w:pPr>
          </w:p>
        </w:tc>
        <w:tc>
          <w:tcPr>
            <w:tcW w:w="3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gridSpan w:val="2"/>
            <w:vMerge w:val="continue"/>
          </w:tcPr>
          <w:p>
            <w:pPr>
              <w:spacing w:after="0"/>
              <w:rPr>
                <w:sz w:val="24"/>
                <w:szCs w:val="24"/>
                <w:color w:val="auto"/>
              </w:rPr>
            </w:pPr>
          </w:p>
        </w:tc>
        <w:tc>
          <w:tcPr>
            <w:tcW w:w="4440" w:type="dxa"/>
            <w:vAlign w:val="bottom"/>
          </w:tcPr>
          <w:p>
            <w:pPr>
              <w:jc w:val="right"/>
              <w:ind w:right="1061"/>
              <w:spacing w:after="0"/>
              <w:rPr>
                <w:sz w:val="20"/>
                <w:szCs w:val="20"/>
                <w:color w:val="auto"/>
              </w:rPr>
            </w:pPr>
            <w:r>
              <w:rPr>
                <w:rFonts w:ascii="Times New Roman" w:cs="Times New Roman" w:eastAsia="Times New Roman" w:hAnsi="Times New Roman"/>
                <w:sz w:val="20"/>
                <w:szCs w:val="20"/>
                <w:color w:val="auto"/>
                <w:w w:val="98"/>
              </w:rPr>
              <w:t>_________________________________</w:t>
            </w:r>
          </w:p>
        </w:tc>
        <w:tc>
          <w:tcPr>
            <w:tcW w:w="0" w:type="dxa"/>
            <w:vAlign w:val="bottom"/>
          </w:tcPr>
          <w:p>
            <w:pPr>
              <w:spacing w:after="0"/>
              <w:rPr>
                <w:sz w:val="1"/>
                <w:szCs w:val="1"/>
                <w:color w:val="auto"/>
              </w:rPr>
            </w:pPr>
          </w:p>
        </w:tc>
      </w:tr>
      <w:tr>
        <w:trPr>
          <w:trHeight w:val="21"/>
        </w:trPr>
        <w:tc>
          <w:tcPr>
            <w:tcW w:w="1220" w:type="dxa"/>
            <w:vAlign w:val="bottom"/>
          </w:tcPr>
          <w:p>
            <w:pPr>
              <w:spacing w:after="0" w:line="20" w:lineRule="exact"/>
              <w:rPr>
                <w:sz w:val="1"/>
                <w:szCs w:val="1"/>
                <w:color w:val="auto"/>
              </w:rPr>
            </w:pPr>
          </w:p>
        </w:tc>
        <w:tc>
          <w:tcPr>
            <w:tcW w:w="3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40" w:type="dxa"/>
            <w:vAlign w:val="bottom"/>
            <w:vMerge w:val="restart"/>
          </w:tcPr>
          <w:p>
            <w:pPr>
              <w:jc w:val="right"/>
              <w:ind w:right="1101"/>
              <w:spacing w:after="0"/>
              <w:rPr>
                <w:sz w:val="20"/>
                <w:szCs w:val="20"/>
                <w:color w:val="auto"/>
              </w:rPr>
            </w:pPr>
            <w:r>
              <w:rPr>
                <w:rFonts w:ascii="Times New Roman" w:cs="Times New Roman" w:eastAsia="Times New Roman" w:hAnsi="Times New Roman"/>
                <w:sz w:val="20"/>
                <w:szCs w:val="20"/>
                <w:color w:val="auto"/>
              </w:rPr>
              <w:t>________________________________</w:t>
            </w:r>
          </w:p>
        </w:tc>
        <w:tc>
          <w:tcPr>
            <w:tcW w:w="0" w:type="dxa"/>
            <w:vAlign w:val="bottom"/>
          </w:tcPr>
          <w:p>
            <w:pPr>
              <w:spacing w:after="0"/>
              <w:rPr>
                <w:sz w:val="1"/>
                <w:szCs w:val="1"/>
                <w:color w:val="auto"/>
              </w:rPr>
            </w:pPr>
          </w:p>
        </w:tc>
      </w:tr>
      <w:tr>
        <w:trPr>
          <w:trHeight w:val="324"/>
        </w:trPr>
        <w:tc>
          <w:tcPr>
            <w:tcW w:w="12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78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b w:val="1"/>
                <w:bCs w:val="1"/>
                <w:color w:val="auto"/>
              </w:rPr>
              <w:t>EXHIBIT A</w:t>
            </w:r>
          </w:p>
        </w:tc>
        <w:tc>
          <w:tcPr>
            <w:tcW w:w="44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2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780" w:type="dxa"/>
            <w:vAlign w:val="bottom"/>
            <w:gridSpan w:val="3"/>
            <w:vMerge w:val="continue"/>
          </w:tcPr>
          <w:p>
            <w:pPr>
              <w:spacing w:after="0"/>
              <w:rPr>
                <w:sz w:val="18"/>
                <w:szCs w:val="18"/>
                <w:color w:val="auto"/>
              </w:rPr>
            </w:pPr>
          </w:p>
        </w:tc>
        <w:tc>
          <w:tcPr>
            <w:tcW w:w="4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INCENTIVE STOCK OPTION AGREEMENT</w:t>
      </w:r>
    </w:p>
    <w:p>
      <w:pPr>
        <w:spacing w:after="0" w:line="23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Pursuant to the Grant Notice to which this Agreement is attached, the Company has granted to Grantee an Option under the Plan to purchase the number of Shares set forth in the Grant Notice.</w:t>
      </w:r>
    </w:p>
    <w:p>
      <w:pPr>
        <w:spacing w:after="0" w:line="16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2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207"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Capitalized terms not specifically defined herein shall have the meanings specified in the Plan or the Grant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Notice.</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1.2 </w:t>
      </w:r>
      <w:r>
        <w:rPr>
          <w:rFonts w:ascii="Times New Roman" w:cs="Times New Roman" w:eastAsia="Times New Roman" w:hAnsi="Times New Roman"/>
          <w:sz w:val="20"/>
          <w:szCs w:val="20"/>
          <w:u w:val="single" w:color="auto"/>
          <w:color w:val="auto"/>
        </w:rPr>
        <w:t>Incorporation of Terms of Plan</w:t>
      </w:r>
      <w:r>
        <w:rPr>
          <w:rFonts w:ascii="Times New Roman" w:cs="Times New Roman" w:eastAsia="Times New Roman" w:hAnsi="Times New Roman"/>
          <w:sz w:val="20"/>
          <w:szCs w:val="20"/>
          <w:color w:val="auto"/>
        </w:rPr>
        <w:t>. The Option is subject to the terms and conditions set forth in this Agreement, the Grant Notice and the Plan, which are incorporated herein by reference. In the event of any inconsistency between the Plan and this Agreement, the terms of the Plan shall control.</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1.3 </w:t>
      </w:r>
      <w:r>
        <w:rPr>
          <w:rFonts w:ascii="Times New Roman" w:cs="Times New Roman" w:eastAsia="Times New Roman" w:hAnsi="Times New Roman"/>
          <w:sz w:val="20"/>
          <w:szCs w:val="20"/>
          <w:u w:val="single" w:color="auto"/>
          <w:color w:val="auto"/>
        </w:rPr>
        <w:t>Incentive Stock Option</w:t>
      </w:r>
      <w:r>
        <w:rPr>
          <w:rFonts w:ascii="Times New Roman" w:cs="Times New Roman" w:eastAsia="Times New Roman" w:hAnsi="Times New Roman"/>
          <w:sz w:val="20"/>
          <w:szCs w:val="20"/>
          <w:color w:val="auto"/>
        </w:rPr>
        <w:t>. This Option is intended to qualify as an incentive stock option (“</w:t>
      </w:r>
      <w:r>
        <w:rPr>
          <w:rFonts w:ascii="Times New Roman" w:cs="Times New Roman" w:eastAsia="Times New Roman" w:hAnsi="Times New Roman"/>
          <w:sz w:val="20"/>
          <w:szCs w:val="20"/>
          <w:u w:val="single" w:color="auto"/>
          <w:color w:val="auto"/>
        </w:rPr>
        <w:t>ISO</w:t>
      </w:r>
      <w:r>
        <w:rPr>
          <w:rFonts w:ascii="Times New Roman" w:cs="Times New Roman" w:eastAsia="Times New Roman" w:hAnsi="Times New Roman"/>
          <w:sz w:val="20"/>
          <w:szCs w:val="20"/>
          <w:color w:val="auto"/>
        </w:rPr>
        <w:t>”) within the meaning of Section 422 of the Code. If any portion of this Option should fail to qualify as an ISO, such portion shall be treated as a non-qualified stock option and the remainder of this Option that continues to qualify as an ISO shall be unaffected by such treatment.</w:t>
      </w:r>
    </w:p>
    <w:p>
      <w:pPr>
        <w:spacing w:after="0" w:line="200" w:lineRule="exact"/>
        <w:rPr>
          <w:sz w:val="20"/>
          <w:szCs w:val="20"/>
          <w:color w:val="auto"/>
        </w:rPr>
      </w:pPr>
    </w:p>
    <w:p>
      <w:pPr>
        <w:spacing w:after="0" w:line="21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2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b w:val="1"/>
          <w:bCs w:val="1"/>
          <w:color w:val="auto"/>
        </w:rPr>
        <w:t>GRANT OF OPTION</w:t>
      </w:r>
    </w:p>
    <w:p>
      <w:pPr>
        <w:spacing w:after="0" w:line="20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2.1 </w:t>
      </w:r>
      <w:r>
        <w:rPr>
          <w:rFonts w:ascii="Times New Roman" w:cs="Times New Roman" w:eastAsia="Times New Roman" w:hAnsi="Times New Roman"/>
          <w:sz w:val="20"/>
          <w:szCs w:val="20"/>
          <w:u w:val="single" w:color="auto"/>
          <w:color w:val="auto"/>
        </w:rPr>
        <w:t>Grant of Option</w:t>
      </w:r>
      <w:r>
        <w:rPr>
          <w:rFonts w:ascii="Times New Roman" w:cs="Times New Roman" w:eastAsia="Times New Roman" w:hAnsi="Times New Roman"/>
          <w:sz w:val="20"/>
          <w:szCs w:val="20"/>
          <w:color w:val="auto"/>
        </w:rPr>
        <w:t>. In consideration of Grantee’s past and/or continued employment with or service to the Company or a Subsidiary and for other good and valuable consideration, effective as of the grant date set forth in the Grant Notice (the “</w:t>
      </w:r>
      <w:r>
        <w:rPr>
          <w:rFonts w:ascii="Times New Roman" w:cs="Times New Roman" w:eastAsia="Times New Roman" w:hAnsi="Times New Roman"/>
          <w:sz w:val="20"/>
          <w:szCs w:val="20"/>
          <w:u w:val="single" w:color="auto"/>
          <w:color w:val="auto"/>
        </w:rPr>
        <w:t>Grant Date</w:t>
      </w:r>
      <w:r>
        <w:rPr>
          <w:rFonts w:ascii="Times New Roman" w:cs="Times New Roman" w:eastAsia="Times New Roman" w:hAnsi="Times New Roman"/>
          <w:sz w:val="20"/>
          <w:szCs w:val="20"/>
          <w:color w:val="auto"/>
        </w:rPr>
        <w:t>”), the Company has granted to Grantee the Option to purchase any part or all of an aggregate of the number of Shares set forth in the Grant Notice, upon the terms and conditions set forth in the Grant Notice, the Plan and this Agreement, subject to adjustments as provided in Section 4.2 of the Plan.</w:t>
      </w:r>
    </w:p>
    <w:p>
      <w:pPr>
        <w:spacing w:after="0" w:line="194"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19"/>
          <w:szCs w:val="19"/>
          <w:u w:val="single" w:color="auto"/>
          <w:color w:val="auto"/>
        </w:rPr>
        <w:t>Exercise Price</w:t>
      </w:r>
      <w:r>
        <w:rPr>
          <w:rFonts w:ascii="Times New Roman" w:cs="Times New Roman" w:eastAsia="Times New Roman" w:hAnsi="Times New Roman"/>
          <w:sz w:val="19"/>
          <w:szCs w:val="19"/>
          <w:color w:val="auto"/>
        </w:rPr>
        <w:t>. The exercise price per Share subject to the Option (the “</w:t>
      </w:r>
      <w:r>
        <w:rPr>
          <w:rFonts w:ascii="Times New Roman" w:cs="Times New Roman" w:eastAsia="Times New Roman" w:hAnsi="Times New Roman"/>
          <w:sz w:val="19"/>
          <w:szCs w:val="19"/>
          <w:u w:val="single" w:color="auto"/>
          <w:color w:val="auto"/>
        </w:rPr>
        <w:t>Exercise Price</w:t>
      </w:r>
      <w:r>
        <w:rPr>
          <w:rFonts w:ascii="Times New Roman" w:cs="Times New Roman" w:eastAsia="Times New Roman" w:hAnsi="Times New Roman"/>
          <w:sz w:val="19"/>
          <w:szCs w:val="19"/>
          <w:color w:val="auto"/>
        </w:rPr>
        <w:t>”) shall be as set forth in the Grant Notice.</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III</w:t>
      </w:r>
    </w:p>
    <w:p>
      <w:pPr>
        <w:sectPr>
          <w:pgSz w:w="11900" w:h="16838" w:orient="portrait"/>
          <w:cols w:equalWidth="0" w:num="1">
            <w:col w:w="11420"/>
          </w:cols>
          <w:pgMar w:left="240" w:top="774" w:right="2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20"/>
          <w:szCs w:val="20"/>
          <w:b w:val="1"/>
          <w:bCs w:val="1"/>
          <w:color w:val="auto"/>
        </w:rPr>
        <w:t>PERIOD OF EXERCISABILITY</w:t>
      </w:r>
    </w:p>
    <w:p>
      <w:pPr>
        <w:spacing w:after="0" w:line="23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u w:val="single" w:color="auto"/>
          <w:color w:val="auto"/>
        </w:rPr>
        <w:t>Commencement of Exercisability</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Sections 3.2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3.3</w:t>
      </w:r>
      <w:r>
        <w:rPr>
          <w:rFonts w:ascii="Times New Roman" w:cs="Times New Roman" w:eastAsia="Times New Roman" w:hAnsi="Times New Roman"/>
          <w:sz w:val="20"/>
          <w:szCs w:val="20"/>
          <w:color w:val="auto"/>
        </w:rPr>
        <w:t xml:space="preserve"> hereof, the Option shall become vested and exercisable in such amounts and at such times as are set forth in the Grant Notice. In the event Grantee Separates from Service, other than in connection with Grantee’s death, Disability or Retirement as defined in </w:t>
      </w:r>
      <w:r>
        <w:rPr>
          <w:rFonts w:ascii="Times New Roman" w:cs="Times New Roman" w:eastAsia="Times New Roman" w:hAnsi="Times New Roman"/>
          <w:sz w:val="20"/>
          <w:szCs w:val="20"/>
          <w:u w:val="single" w:color="auto"/>
          <w:color w:val="auto"/>
        </w:rPr>
        <w:t>Section 3.3(d)</w:t>
      </w:r>
      <w:r>
        <w:rPr>
          <w:rFonts w:ascii="Times New Roman" w:cs="Times New Roman" w:eastAsia="Times New Roman" w:hAnsi="Times New Roman"/>
          <w:sz w:val="20"/>
          <w:szCs w:val="20"/>
          <w:color w:val="auto"/>
        </w:rPr>
        <w:t xml:space="preserve"> hereof, prior to the “Initial Exercisability Date” set forth in the Grant Notice with respect to all or any portion of this Option, all or such portion of this Option that shall not have become exercisable immediately shall be forfeited and not exercisable by the Grantee. In the event Grantee Separates from Service on account of death, Disability or Retirement, this Option shall become 100% vested for the period of time set forth in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xml:space="preserve"> hereof.</w:t>
      </w:r>
    </w:p>
    <w:p>
      <w:pPr>
        <w:spacing w:after="0" w:line="19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u w:val="single" w:color="auto"/>
          <w:color w:val="auto"/>
        </w:rPr>
        <w:t>Duration of Exercisability</w:t>
      </w:r>
      <w:r>
        <w:rPr>
          <w:rFonts w:ascii="Times New Roman" w:cs="Times New Roman" w:eastAsia="Times New Roman" w:hAnsi="Times New Roman"/>
          <w:sz w:val="20"/>
          <w:szCs w:val="20"/>
          <w:color w:val="auto"/>
        </w:rPr>
        <w:t xml:space="preserve">. Once a portion of this Option shall have become exercisable in accordance with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xml:space="preserve"> hereof, such portion shall remain exercisable until it becomes unexercisable under </w:t>
      </w: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rPr>
        <w:t xml:space="preserve"> hereof.</w:t>
      </w:r>
    </w:p>
    <w:p>
      <w:pPr>
        <w:spacing w:after="0" w:line="173"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3.3</w:t>
      </w:r>
      <w:r>
        <w:rPr>
          <w:sz w:val="20"/>
          <w:szCs w:val="20"/>
          <w:color w:val="auto"/>
        </w:rPr>
        <w:tab/>
      </w:r>
      <w:r>
        <w:rPr>
          <w:rFonts w:ascii="Times New Roman" w:cs="Times New Roman" w:eastAsia="Times New Roman" w:hAnsi="Times New Roman"/>
          <w:sz w:val="19"/>
          <w:szCs w:val="19"/>
          <w:u w:val="single" w:color="auto"/>
          <w:color w:val="auto"/>
        </w:rPr>
        <w:t>Expiration of Option</w:t>
      </w:r>
      <w:r>
        <w:rPr>
          <w:rFonts w:ascii="Times New Roman" w:cs="Times New Roman" w:eastAsia="Times New Roman" w:hAnsi="Times New Roman"/>
          <w:sz w:val="19"/>
          <w:szCs w:val="19"/>
          <w:color w:val="auto"/>
        </w:rPr>
        <w:t>. The Option may not be exercised to any extent by anyone after the first to occur of the following events:</w:t>
      </w:r>
    </w:p>
    <w:p>
      <w:pPr>
        <w:spacing w:after="0" w:line="229" w:lineRule="exact"/>
        <w:rPr>
          <w:sz w:val="20"/>
          <w:szCs w:val="20"/>
          <w:color w:val="auto"/>
        </w:rPr>
      </w:pPr>
    </w:p>
    <w:p>
      <w:pPr>
        <w:ind w:left="1720" w:hanging="415"/>
        <w:spacing w:after="0"/>
        <w:tabs>
          <w:tab w:leader="none" w:pos="1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expiration date set forth in the Grant Notice;</w:t>
      </w:r>
    </w:p>
    <w:p>
      <w:pPr>
        <w:spacing w:after="0" w:line="229" w:lineRule="exact"/>
        <w:rPr>
          <w:rFonts w:ascii="Times New Roman" w:cs="Times New Roman" w:eastAsia="Times New Roman" w:hAnsi="Times New Roman"/>
          <w:sz w:val="20"/>
          <w:szCs w:val="20"/>
          <w:color w:val="auto"/>
        </w:rPr>
      </w:pPr>
    </w:p>
    <w:p>
      <w:pPr>
        <w:jc w:val="both"/>
        <w:ind w:firstLine="1305"/>
        <w:spacing w:after="0" w:line="254" w:lineRule="auto"/>
        <w:tabs>
          <w:tab w:leader="none" w:pos="1747"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the Committee may otherwise approve, in the event of Grantee’s Separation from Service other than for Cause or by reason of Grantee’s death, Disability or Retirement, the expiration of three (3) months from the date of Grantee’s Separation from Service;</w:t>
      </w:r>
    </w:p>
    <w:p>
      <w:pPr>
        <w:spacing w:after="0" w:line="188" w:lineRule="exact"/>
        <w:rPr>
          <w:rFonts w:ascii="Times New Roman" w:cs="Times New Roman" w:eastAsia="Times New Roman" w:hAnsi="Times New Roman"/>
          <w:sz w:val="20"/>
          <w:szCs w:val="20"/>
          <w:color w:val="auto"/>
        </w:rPr>
      </w:pPr>
    </w:p>
    <w:p>
      <w:pPr>
        <w:ind w:firstLine="1305"/>
        <w:spacing w:after="0" w:line="269" w:lineRule="auto"/>
        <w:tabs>
          <w:tab w:leader="none" w:pos="1766"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the Committee may otherwise approve, the expiration of two (2) years from the date of Grantee’s Separation from Service by reason of Grantee’s death or Disability; or</w:t>
      </w:r>
    </w:p>
    <w:p>
      <w:pPr>
        <w:spacing w:after="0" w:line="173" w:lineRule="exact"/>
        <w:rPr>
          <w:rFonts w:ascii="Times New Roman" w:cs="Times New Roman" w:eastAsia="Times New Roman" w:hAnsi="Times New Roman"/>
          <w:sz w:val="20"/>
          <w:szCs w:val="20"/>
          <w:color w:val="auto"/>
        </w:rPr>
      </w:pPr>
    </w:p>
    <w:p>
      <w:pPr>
        <w:jc w:val="both"/>
        <w:ind w:firstLine="1305"/>
        <w:spacing w:after="0" w:line="254" w:lineRule="auto"/>
        <w:tabs>
          <w:tab w:leader="none" w:pos="1774"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the Committee may otherwise approve, the expiration of two (2) years from the date of Grantee’s Separation from Service by reason of Grantee’s Retirement; for purposes of this Agreement, “Retirement” means termination of service after the Grantee has completed 10 years of service with the Company and has reached the age of 55.</w:t>
      </w:r>
    </w:p>
    <w:p>
      <w:pPr>
        <w:spacing w:after="0" w:line="188" w:lineRule="exact"/>
        <w:rPr>
          <w:rFonts w:ascii="Times New Roman" w:cs="Times New Roman" w:eastAsia="Times New Roman" w:hAnsi="Times New Roman"/>
          <w:sz w:val="20"/>
          <w:szCs w:val="20"/>
          <w:color w:val="auto"/>
        </w:rPr>
      </w:pPr>
    </w:p>
    <w:p>
      <w:pPr>
        <w:ind w:left="1720" w:hanging="415"/>
        <w:spacing w:after="0"/>
        <w:tabs>
          <w:tab w:leader="none" w:pos="1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the Committee may otherwise approve, upon Grantee’s Separation from Service for Cause.</w:t>
      </w:r>
    </w:p>
    <w:p>
      <w:pPr>
        <w:spacing w:after="0" w:line="229"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3.4 </w:t>
      </w: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Upon the occurrence of a Change in Control, the Committee shall determine the treatment of the Option consistent with the provisions of Section 13 of the Plan.</w:t>
      </w:r>
    </w:p>
    <w:p>
      <w:pPr>
        <w:spacing w:after="0" w:line="173"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3.5</w:t>
      </w:r>
      <w:r>
        <w:rPr>
          <w:sz w:val="20"/>
          <w:szCs w:val="20"/>
          <w:color w:val="auto"/>
        </w:rPr>
        <w:tab/>
      </w:r>
      <w:r>
        <w:rPr>
          <w:rFonts w:ascii="Times New Roman" w:cs="Times New Roman" w:eastAsia="Times New Roman" w:hAnsi="Times New Roman"/>
          <w:sz w:val="19"/>
          <w:szCs w:val="19"/>
          <w:u w:val="single" w:color="auto"/>
          <w:color w:val="auto"/>
        </w:rPr>
        <w:t>Tax Withholding</w:t>
      </w:r>
      <w:r>
        <w:rPr>
          <w:rFonts w:ascii="Times New Roman" w:cs="Times New Roman" w:eastAsia="Times New Roman" w:hAnsi="Times New Roman"/>
          <w:sz w:val="19"/>
          <w:szCs w:val="19"/>
          <w:color w:val="auto"/>
        </w:rPr>
        <w:t>. Notwithstanding any other provision of this Agreement:</w:t>
      </w:r>
    </w:p>
    <w:p>
      <w:pPr>
        <w:spacing w:after="0" w:line="229" w:lineRule="exact"/>
        <w:rPr>
          <w:sz w:val="20"/>
          <w:szCs w:val="20"/>
          <w:color w:val="auto"/>
        </w:rPr>
      </w:pPr>
    </w:p>
    <w:p>
      <w:pPr>
        <w:jc w:val="both"/>
        <w:ind w:firstLine="1305"/>
        <w:spacing w:after="0" w:line="249" w:lineRule="auto"/>
        <w:tabs>
          <w:tab w:leader="none" w:pos="1711"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its Subsidiaries have the authority to deduct or withhold, or require Grantee to remit to the Company or the applicable Subsidiary, an amount sufficient to satisfy applicable federal, state, local and foreign taxes (including the employee portion of any FICA obligation) required by law to be withheld, if any, with respect to any taxable event arising pursuant to this Agreement. The Company and its Subsidiaries may withhold or Grantee may make such payment in one or more of the forms specified below:</w:t>
      </w:r>
    </w:p>
    <w:p>
      <w:pPr>
        <w:spacing w:after="0" w:line="193" w:lineRule="exact"/>
        <w:rPr>
          <w:rFonts w:ascii="Times New Roman" w:cs="Times New Roman" w:eastAsia="Times New Roman" w:hAnsi="Times New Roman"/>
          <w:sz w:val="20"/>
          <w:szCs w:val="20"/>
          <w:color w:val="auto"/>
        </w:rPr>
      </w:pPr>
    </w:p>
    <w:p>
      <w:pPr>
        <w:ind w:left="2340" w:hanging="387"/>
        <w:spacing w:after="0"/>
        <w:tabs>
          <w:tab w:leader="none" w:pos="2340" w:val="left"/>
        </w:tabs>
        <w:numPr>
          <w:ilvl w:val="1"/>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 cash or check made payable to the Company or the Subsidiary with respect to which the withholding obligation</w:t>
      </w:r>
    </w:p>
    <w:p>
      <w:pPr>
        <w:spacing w:after="0" w:line="33" w:lineRule="exact"/>
        <w:rPr>
          <w:rFonts w:ascii="Times New Roman" w:cs="Times New Roman" w:eastAsia="Times New Roman" w:hAnsi="Times New Roman"/>
          <w:sz w:val="19"/>
          <w:szCs w:val="19"/>
          <w:color w:val="auto"/>
        </w:rPr>
      </w:pPr>
    </w:p>
    <w:p>
      <w:pPr>
        <w:ind w:left="6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arises;</w:t>
      </w:r>
    </w:p>
    <w:p>
      <w:pPr>
        <w:sectPr>
          <w:pgSz w:w="11900" w:h="16838" w:orient="portrait"/>
          <w:cols w:equalWidth="0" w:num="1">
            <w:col w:w="11420"/>
          </w:cols>
          <w:pgMar w:left="240" w:top="612" w:right="239" w:bottom="1440" w:gutter="0" w:footer="0" w:header="0"/>
        </w:sectPr>
      </w:pPr>
    </w:p>
    <w:bookmarkStart w:id="40" w:name="page41"/>
    <w:bookmarkEnd w:id="40"/>
    <w:p>
      <w:pPr>
        <w:ind w:left="2392" w:hanging="447"/>
        <w:spacing w:after="0"/>
        <w:tabs>
          <w:tab w:leader="none" w:pos="2392" w:val="left"/>
        </w:tabs>
        <w:numPr>
          <w:ilvl w:val="2"/>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the deduction of such amount from other cash compensation payable to Grantee;</w:t>
      </w:r>
    </w:p>
    <w:p>
      <w:pPr>
        <w:spacing w:after="0" w:line="229" w:lineRule="exact"/>
        <w:rPr>
          <w:rFonts w:ascii="Times New Roman" w:cs="Times New Roman" w:eastAsia="Times New Roman" w:hAnsi="Times New Roman"/>
          <w:sz w:val="20"/>
          <w:szCs w:val="20"/>
          <w:color w:val="auto"/>
        </w:rPr>
      </w:pPr>
    </w:p>
    <w:p>
      <w:pPr>
        <w:jc w:val="both"/>
        <w:ind w:left="652" w:firstLine="1293"/>
        <w:spacing w:after="0" w:line="249" w:lineRule="auto"/>
        <w:tabs>
          <w:tab w:leader="none" w:pos="2500" w:val="left"/>
        </w:tabs>
        <w:numPr>
          <w:ilvl w:val="2"/>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the consent of the Committee, by requesting that the Company withhold a net number of Shares issuable upon the exercise of the Option having a then current Fair Market Value not exceeding the amount necessary to satisfy the withholding obligation of the Company and its Subsidiaries based on the applicable statutory withholding rates for federal, state, local and foreign income tax and payroll tax purposes;</w:t>
      </w:r>
    </w:p>
    <w:p>
      <w:pPr>
        <w:spacing w:after="0" w:line="193" w:lineRule="exact"/>
        <w:rPr>
          <w:rFonts w:ascii="Times New Roman" w:cs="Times New Roman" w:eastAsia="Times New Roman" w:hAnsi="Times New Roman"/>
          <w:sz w:val="20"/>
          <w:szCs w:val="20"/>
          <w:color w:val="auto"/>
        </w:rPr>
      </w:pPr>
    </w:p>
    <w:p>
      <w:pPr>
        <w:jc w:val="both"/>
        <w:ind w:left="652" w:firstLine="1293"/>
        <w:spacing w:after="0" w:line="274" w:lineRule="auto"/>
        <w:tabs>
          <w:tab w:leader="none" w:pos="2440" w:val="left"/>
        </w:tabs>
        <w:numPr>
          <w:ilvl w:val="2"/>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the consent of the Committee, by tendering to the Company Shares having a then current Fair Market Value not exceeding the amount necessary to satisfy the withholding obligation of the Company and its Subsidiaries due upon the exercise of the Option based on the applicable statutory withholding rates for federal, state, local and foreign income tax and payroll tax purposes;</w:t>
      </w:r>
    </w:p>
    <w:p>
      <w:pPr>
        <w:spacing w:after="0" w:line="170" w:lineRule="exact"/>
        <w:rPr>
          <w:rFonts w:ascii="Times New Roman" w:cs="Times New Roman" w:eastAsia="Times New Roman" w:hAnsi="Times New Roman"/>
          <w:sz w:val="19"/>
          <w:szCs w:val="19"/>
          <w:color w:val="auto"/>
        </w:rPr>
      </w:pPr>
    </w:p>
    <w:p>
      <w:pPr>
        <w:jc w:val="both"/>
        <w:ind w:left="652" w:firstLine="1293"/>
        <w:spacing w:after="0" w:line="245" w:lineRule="auto"/>
        <w:tabs>
          <w:tab w:leader="none" w:pos="2427" w:val="left"/>
        </w:tabs>
        <w:numPr>
          <w:ilvl w:val="2"/>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the consent of the Committee, through the delivery of a notice that Grantee has placed a market sell order with a broker designated by the Company with respect to Shares then issuable upon exercise of the Option, and that the broker has been directed to pay a sufficient portion of the net proceeds of the sale to the Company or the Subsidiary with respect to which the withholding obligation arises in satisfaction of such withholding taxes;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payment of such proceeds is then made to the Company or the applicable Subsidiary at such time as may be required by the Committee, but in any event not later than the settlement of such sale; or</w:t>
      </w:r>
    </w:p>
    <w:p>
      <w:pPr>
        <w:spacing w:after="0" w:line="198" w:lineRule="exact"/>
        <w:rPr>
          <w:rFonts w:ascii="Times New Roman" w:cs="Times New Roman" w:eastAsia="Times New Roman" w:hAnsi="Times New Roman"/>
          <w:sz w:val="20"/>
          <w:szCs w:val="20"/>
          <w:color w:val="auto"/>
        </w:rPr>
      </w:pPr>
    </w:p>
    <w:p>
      <w:pPr>
        <w:ind w:left="2432" w:hanging="487"/>
        <w:spacing w:after="0"/>
        <w:tabs>
          <w:tab w:leader="none" w:pos="2432" w:val="left"/>
        </w:tabs>
        <w:numPr>
          <w:ilvl w:val="2"/>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any combination of the foregoing.</w:t>
      </w:r>
    </w:p>
    <w:p>
      <w:pPr>
        <w:spacing w:after="0" w:line="229" w:lineRule="exact"/>
        <w:rPr>
          <w:rFonts w:ascii="Times New Roman" w:cs="Times New Roman" w:eastAsia="Times New Roman" w:hAnsi="Times New Roman"/>
          <w:sz w:val="20"/>
          <w:szCs w:val="20"/>
          <w:color w:val="auto"/>
        </w:rPr>
      </w:pPr>
    </w:p>
    <w:p>
      <w:pPr>
        <w:jc w:val="both"/>
        <w:ind w:left="-8" w:firstLine="1305"/>
        <w:spacing w:after="0" w:line="243" w:lineRule="auto"/>
        <w:tabs>
          <w:tab w:leader="none" w:pos="1744"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withholding taxes arising in connection with the Option, in the event Grantee fails to provide timely payment of all sums required pursuant to </w:t>
      </w:r>
      <w:r>
        <w:rPr>
          <w:rFonts w:ascii="Times New Roman" w:cs="Times New Roman" w:eastAsia="Times New Roman" w:hAnsi="Times New Roman"/>
          <w:sz w:val="20"/>
          <w:szCs w:val="20"/>
          <w:u w:val="single" w:color="auto"/>
          <w:color w:val="auto"/>
        </w:rPr>
        <w:t>Section 3.5(a)</w:t>
      </w:r>
      <w:r>
        <w:rPr>
          <w:rFonts w:ascii="Times New Roman" w:cs="Times New Roman" w:eastAsia="Times New Roman" w:hAnsi="Times New Roman"/>
          <w:sz w:val="20"/>
          <w:szCs w:val="20"/>
          <w:color w:val="auto"/>
        </w:rPr>
        <w:t xml:space="preserve"> hereof, the Company shall have the right and option, but not the obligation, to treat such failure as an election by Grantee to satisfy all or any portion of Grantee’s required payment obligation pursuant to </w:t>
      </w:r>
      <w:r>
        <w:rPr>
          <w:rFonts w:ascii="Times New Roman" w:cs="Times New Roman" w:eastAsia="Times New Roman" w:hAnsi="Times New Roman"/>
          <w:sz w:val="20"/>
          <w:szCs w:val="20"/>
          <w:u w:val="single" w:color="auto"/>
          <w:color w:val="auto"/>
        </w:rPr>
        <w:t>Section 3.5(a)(ii)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3.5(a)(iii)</w:t>
      </w:r>
      <w:r>
        <w:rPr>
          <w:rFonts w:ascii="Times New Roman" w:cs="Times New Roman" w:eastAsia="Times New Roman" w:hAnsi="Times New Roman"/>
          <w:sz w:val="20"/>
          <w:szCs w:val="20"/>
          <w:color w:val="auto"/>
        </w:rPr>
        <w:t xml:space="preserve"> above, or any combination of the foregoing as the Company may determine to be appropriate. The Company shall not be obligated to deliver any certificate representing Shares issuable with respect to the exercise of the Option to Grantee or his or her legal representative unless and until Grantee or his or her legal representative shall have paid or otherwise satisfied in full the amount of all federal, state, local and foreign taxes applicable with respect to the taxable income of Grantee resulting from the exercise of the Option or any other taxable event related to the Option.</w:t>
      </w:r>
    </w:p>
    <w:p>
      <w:pPr>
        <w:spacing w:after="0" w:line="203" w:lineRule="exact"/>
        <w:rPr>
          <w:rFonts w:ascii="Times New Roman" w:cs="Times New Roman" w:eastAsia="Times New Roman" w:hAnsi="Times New Roman"/>
          <w:sz w:val="20"/>
          <w:szCs w:val="20"/>
          <w:color w:val="auto"/>
        </w:rPr>
      </w:pPr>
    </w:p>
    <w:p>
      <w:pPr>
        <w:ind w:left="1772" w:hanging="475"/>
        <w:spacing w:after="0"/>
        <w:tabs>
          <w:tab w:leader="none" w:pos="1772"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any tax withholding obligation arising in connection with the Option will be satisfied under </w:t>
      </w:r>
      <w:r>
        <w:rPr>
          <w:rFonts w:ascii="Times New Roman" w:cs="Times New Roman" w:eastAsia="Times New Roman" w:hAnsi="Times New Roman"/>
          <w:sz w:val="20"/>
          <w:szCs w:val="20"/>
          <w:u w:val="single" w:color="auto"/>
          <w:color w:val="auto"/>
        </w:rPr>
        <w:t>Section 3.5(a)</w:t>
      </w:r>
    </w:p>
    <w:p>
      <w:pPr>
        <w:spacing w:after="0" w:line="21" w:lineRule="exact"/>
        <w:rPr>
          <w:rFonts w:ascii="Times New Roman" w:cs="Times New Roman" w:eastAsia="Times New Roman" w:hAnsi="Times New Roman"/>
          <w:sz w:val="20"/>
          <w:szCs w:val="20"/>
          <w:color w:val="auto"/>
        </w:rPr>
      </w:pPr>
    </w:p>
    <w:p>
      <w:pPr>
        <w:jc w:val="both"/>
        <w:ind w:left="-8" w:firstLine="8"/>
        <w:spacing w:after="0"/>
        <w:tabs>
          <w:tab w:leader="none" w:pos="362" w:val="left"/>
        </w:tabs>
        <w:numPr>
          <w:ilvl w:val="0"/>
          <w:numId w:val="1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above, then the Company may elect to instruct any brokerage firm determined acceptable to the Company for such purpose to sell on Grantee’s behalf a whole number of Shares from those Shares that are issuable upon exercise of the Option as the Company determines to be appropriate to generate cash proceeds sufficient to satisfy the tax withholding obligation and to remit the proceeds of such sale to the Company or the Subsidiary with respect to which the withholding obligation arises. Grantee’s acceptance of this Award constitutes Grantee’s instruction and authorization to the Company and such brokerage firm to complete the transactions described in this </w:t>
      </w:r>
      <w:r>
        <w:rPr>
          <w:rFonts w:ascii="Times New Roman" w:cs="Times New Roman" w:eastAsia="Times New Roman" w:hAnsi="Times New Roman"/>
          <w:sz w:val="20"/>
          <w:szCs w:val="20"/>
          <w:u w:val="single" w:color="auto"/>
          <w:color w:val="auto"/>
        </w:rPr>
        <w:t>Section 3.5(c)</w:t>
      </w:r>
      <w:r>
        <w:rPr>
          <w:rFonts w:ascii="Times New Roman" w:cs="Times New Roman" w:eastAsia="Times New Roman" w:hAnsi="Times New Roman"/>
          <w:sz w:val="20"/>
          <w:szCs w:val="20"/>
          <w:color w:val="auto"/>
        </w:rPr>
        <w:t>, including the transactions described in the previous sentence, as applicable. The Company may refuse to issue any Shares to Grantee until the foregoing tax withholding obligations are satisfied.</w:t>
      </w:r>
    </w:p>
    <w:p>
      <w:pPr>
        <w:sectPr>
          <w:pgSz w:w="11900" w:h="16838" w:orient="portrait"/>
          <w:cols w:equalWidth="0" w:num="1">
            <w:col w:w="11412"/>
          </w:cols>
          <w:pgMar w:left="248" w:top="846" w:right="239" w:bottom="1440" w:gutter="0" w:footer="0" w:header="0"/>
        </w:sectPr>
      </w:pPr>
    </w:p>
    <w:bookmarkStart w:id="41" w:name="page42"/>
    <w:bookmarkEnd w:id="41"/>
    <w:p>
      <w:pPr>
        <w:jc w:val="both"/>
        <w:ind w:firstLine="1305"/>
        <w:spacing w:after="0" w:line="247" w:lineRule="auto"/>
        <w:tabs>
          <w:tab w:leader="none" w:pos="1742"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Grantee is ultimately liable and responsible for all taxes owed in connection with the Option, regardless of any action the Company or any Subsidiary takes with respect to any tax withholding obligations that arise in connection with the Option. Neither the Company nor any Subsidiary makes any representation or undertaking regarding the treatment of any tax withholding in connection with the awarding, vesting or exercise of the Option or the subsequent sale of Shares. The Company and the Subsidiaries do not commit and are under no obligation to structure the Option to reduce or eliminate Grantee’s tax liability.</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EXERCISE OF OPTION</w:t>
      </w:r>
    </w:p>
    <w:p>
      <w:pPr>
        <w:spacing w:after="0" w:line="20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u w:val="single" w:color="auto"/>
          <w:color w:val="auto"/>
        </w:rPr>
        <w:t>Person Eligible to Exercise</w:t>
      </w:r>
      <w:r>
        <w:rPr>
          <w:rFonts w:ascii="Times New Roman" w:cs="Times New Roman" w:eastAsia="Times New Roman" w:hAnsi="Times New Roman"/>
          <w:sz w:val="20"/>
          <w:szCs w:val="20"/>
          <w:color w:val="auto"/>
        </w:rPr>
        <w:t xml:space="preserve">. During the lifetime of Grantee, only the Grantee may exercise the Option or any portion thereof. After the death of Grantee, the Option may, prior to the time when the Option becomes unexercisable under </w:t>
      </w: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rPr>
        <w:t xml:space="preserve"> hereof, be exercised by Grantee’s personal representative or by any person empowered to do so under the deceased Grantee’s will or under the then applicable laws of descent and distribution.</w:t>
      </w:r>
    </w:p>
    <w:p>
      <w:pPr>
        <w:spacing w:after="0" w:line="19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u w:val="single" w:color="auto"/>
          <w:color w:val="auto"/>
        </w:rPr>
        <w:t>Partial Exercise</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hereof, the Option may be exercised in whole or in part at any time prior to the time when the Option or applicable portion thereof becomes unexercisable under </w:t>
      </w: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rPr>
        <w:t xml:space="preserve"> hereof.</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4.3 </w:t>
      </w:r>
      <w:r>
        <w:rPr>
          <w:rFonts w:ascii="Times New Roman" w:cs="Times New Roman" w:eastAsia="Times New Roman" w:hAnsi="Times New Roman"/>
          <w:sz w:val="20"/>
          <w:szCs w:val="20"/>
          <w:u w:val="single" w:color="auto"/>
          <w:color w:val="auto"/>
        </w:rPr>
        <w:t>Manner of Exercise</w:t>
      </w:r>
      <w:r>
        <w:rPr>
          <w:rFonts w:ascii="Times New Roman" w:cs="Times New Roman" w:eastAsia="Times New Roman" w:hAnsi="Times New Roman"/>
          <w:sz w:val="20"/>
          <w:szCs w:val="20"/>
          <w:color w:val="auto"/>
        </w:rPr>
        <w:t xml:space="preserve">. The Option may be exercised solely by delivery to the Secretary of the Company (or any third party administrator or other person or entity designated by the Company), during regular business hours, of all of the following prior to the time when the Option or such portion thereof becomes unexercisable under </w:t>
      </w: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rPr>
        <w:t xml:space="preserve"> hereof:</w:t>
      </w:r>
    </w:p>
    <w:p>
      <w:pPr>
        <w:spacing w:after="0" w:line="188" w:lineRule="exact"/>
        <w:rPr>
          <w:sz w:val="20"/>
          <w:szCs w:val="20"/>
          <w:color w:val="auto"/>
        </w:rPr>
      </w:pPr>
    </w:p>
    <w:p>
      <w:pPr>
        <w:ind w:firstLine="1305"/>
        <w:spacing w:after="0" w:line="269" w:lineRule="auto"/>
        <w:tabs>
          <w:tab w:leader="none" w:pos="1746"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exercise notice in a form specified by the Committee, stating that the Option or portion thereof is thereby exercised, such notice complying with all applicable rules established by the Committee;</w:t>
      </w:r>
    </w:p>
    <w:p>
      <w:pPr>
        <w:spacing w:after="0" w:line="173" w:lineRule="exact"/>
        <w:rPr>
          <w:rFonts w:ascii="Times New Roman" w:cs="Times New Roman" w:eastAsia="Times New Roman" w:hAnsi="Times New Roman"/>
          <w:sz w:val="20"/>
          <w:szCs w:val="20"/>
          <w:color w:val="auto"/>
        </w:rPr>
      </w:pPr>
    </w:p>
    <w:p>
      <w:pPr>
        <w:ind w:firstLine="1305"/>
        <w:spacing w:after="0" w:line="269" w:lineRule="auto"/>
        <w:tabs>
          <w:tab w:leader="none" w:pos="1845"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receipt by the Company of full payment for the Shares with respect to which the Option or portion thereof is exercised, in such form of consideration permitted under </w:t>
      </w:r>
      <w:r>
        <w:rPr>
          <w:rFonts w:ascii="Times New Roman" w:cs="Times New Roman" w:eastAsia="Times New Roman" w:hAnsi="Times New Roman"/>
          <w:sz w:val="20"/>
          <w:szCs w:val="20"/>
          <w:u w:val="single" w:color="auto"/>
          <w:color w:val="auto"/>
        </w:rPr>
        <w:t>Section 4.4</w:t>
      </w:r>
      <w:r>
        <w:rPr>
          <w:rFonts w:ascii="Times New Roman" w:cs="Times New Roman" w:eastAsia="Times New Roman" w:hAnsi="Times New Roman"/>
          <w:sz w:val="20"/>
          <w:szCs w:val="20"/>
          <w:color w:val="auto"/>
        </w:rPr>
        <w:t xml:space="preserve"> hereof that is acceptable to the Committee;</w:t>
      </w:r>
    </w:p>
    <w:p>
      <w:pPr>
        <w:spacing w:after="0" w:line="173" w:lineRule="exact"/>
        <w:rPr>
          <w:rFonts w:ascii="Times New Roman" w:cs="Times New Roman" w:eastAsia="Times New Roman" w:hAnsi="Times New Roman"/>
          <w:sz w:val="20"/>
          <w:szCs w:val="20"/>
          <w:color w:val="auto"/>
        </w:rPr>
      </w:pPr>
    </w:p>
    <w:p>
      <w:pPr>
        <w:ind w:left="1720" w:hanging="415"/>
        <w:spacing w:after="0"/>
        <w:tabs>
          <w:tab w:leader="none" w:pos="1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payment of any applicable withholding tax in accordance with </w:t>
      </w:r>
      <w:r>
        <w:rPr>
          <w:rFonts w:ascii="Times New Roman" w:cs="Times New Roman" w:eastAsia="Times New Roman" w:hAnsi="Times New Roman"/>
          <w:sz w:val="20"/>
          <w:szCs w:val="20"/>
          <w:u w:val="single" w:color="auto"/>
          <w:color w:val="auto"/>
        </w:rPr>
        <w:t>Section 3.5</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right="20" w:firstLine="1305"/>
        <w:spacing w:after="0" w:line="269" w:lineRule="auto"/>
        <w:tabs>
          <w:tab w:leader="none" w:pos="1895"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written representations or documents as may be required in the Committee’s sole discretion to effect compliance with applicable law; and</w:t>
      </w:r>
    </w:p>
    <w:p>
      <w:pPr>
        <w:spacing w:after="0" w:line="173" w:lineRule="exact"/>
        <w:rPr>
          <w:rFonts w:ascii="Times New Roman" w:cs="Times New Roman" w:eastAsia="Times New Roman" w:hAnsi="Times New Roman"/>
          <w:sz w:val="20"/>
          <w:szCs w:val="20"/>
          <w:color w:val="auto"/>
        </w:rPr>
      </w:pPr>
    </w:p>
    <w:p>
      <w:pPr>
        <w:jc w:val="both"/>
        <w:ind w:firstLine="1305"/>
        <w:spacing w:after="0" w:line="249" w:lineRule="auto"/>
        <w:tabs>
          <w:tab w:leader="none" w:pos="1721"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the Option or portion thereof shall be exercised pursuant to </w:t>
      </w: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 xml:space="preserve"> hereof by any person or persons other than Grantee, appropriate proof of the right of such person or persons to exercise the Option. Notwithstanding any of the foregoing, the Committee shall have the right to specify all conditions of the manner of exercise, which conditions may vary by Grantee and which may be subject to change from time to time.</w:t>
      </w:r>
    </w:p>
    <w:p>
      <w:pPr>
        <w:spacing w:after="0" w:line="194"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0"/>
          <w:szCs w:val="20"/>
          <w:color w:val="auto"/>
        </w:rPr>
        <w:t>4.4</w:t>
      </w:r>
      <w:r>
        <w:rPr>
          <w:sz w:val="20"/>
          <w:szCs w:val="20"/>
          <w:color w:val="auto"/>
        </w:rPr>
        <w:tab/>
      </w:r>
      <w:r>
        <w:rPr>
          <w:rFonts w:ascii="Times New Roman" w:cs="Times New Roman" w:eastAsia="Times New Roman" w:hAnsi="Times New Roman"/>
          <w:sz w:val="20"/>
          <w:szCs w:val="20"/>
          <w:u w:val="single" w:color="auto"/>
          <w:color w:val="auto"/>
        </w:rPr>
        <w:t>Method of Payment</w:t>
      </w:r>
      <w:r>
        <w:rPr>
          <w:rFonts w:ascii="Times New Roman" w:cs="Times New Roman" w:eastAsia="Times New Roman" w:hAnsi="Times New Roman"/>
          <w:sz w:val="20"/>
          <w:szCs w:val="20"/>
          <w:color w:val="auto"/>
        </w:rPr>
        <w:t>. Payment of the exercise price shall be by any of the following, or a combination thereof, at the election of</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Grantee:</w:t>
      </w:r>
    </w:p>
    <w:p>
      <w:pPr>
        <w:spacing w:after="0" w:line="207" w:lineRule="exact"/>
        <w:rPr>
          <w:sz w:val="20"/>
          <w:szCs w:val="20"/>
          <w:color w:val="auto"/>
        </w:rPr>
      </w:pPr>
    </w:p>
    <w:p>
      <w:pPr>
        <w:ind w:left="1720" w:hanging="415"/>
        <w:spacing w:after="0"/>
        <w:tabs>
          <w:tab w:leader="none" w:pos="1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or check;</w:t>
      </w:r>
    </w:p>
    <w:p>
      <w:pPr>
        <w:sectPr>
          <w:pgSz w:w="11900" w:h="16838" w:orient="portrait"/>
          <w:cols w:equalWidth="0" w:num="1">
            <w:col w:w="11420"/>
          </w:cols>
          <w:pgMar w:left="240" w:top="616" w:right="239" w:bottom="1440" w:gutter="0" w:footer="0" w:header="0"/>
        </w:sectPr>
      </w:pPr>
    </w:p>
    <w:bookmarkStart w:id="42" w:name="page43"/>
    <w:bookmarkEnd w:id="42"/>
    <w:p>
      <w:pPr>
        <w:jc w:val="both"/>
        <w:ind w:firstLine="1305"/>
        <w:spacing w:after="0" w:line="254" w:lineRule="auto"/>
        <w:tabs>
          <w:tab w:leader="none" w:pos="1787"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the consent of the Committee, surrender of Shares (including, without limitation, Shares otherwise issuable upon exercise of the Option) held for such period of time as may be required by the Committee in order to avoid adverse accounting consequences and having a Fair Market Value on the date of delivery equal to the aggregate exercise price of the Option or exercised portion thereof;</w:t>
      </w:r>
    </w:p>
    <w:p>
      <w:pPr>
        <w:spacing w:after="0" w:line="188" w:lineRule="exact"/>
        <w:rPr>
          <w:rFonts w:ascii="Times New Roman" w:cs="Times New Roman" w:eastAsia="Times New Roman" w:hAnsi="Times New Roman"/>
          <w:sz w:val="20"/>
          <w:szCs w:val="20"/>
          <w:color w:val="auto"/>
        </w:rPr>
      </w:pPr>
    </w:p>
    <w:p>
      <w:pPr>
        <w:jc w:val="both"/>
        <w:ind w:firstLine="1305"/>
        <w:spacing w:after="0" w:line="247" w:lineRule="auto"/>
        <w:tabs>
          <w:tab w:leader="none" w:pos="1752"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the consent of the Committee and subject to </w:t>
      </w:r>
      <w:r>
        <w:rPr>
          <w:rFonts w:ascii="Times New Roman" w:cs="Times New Roman" w:eastAsia="Times New Roman" w:hAnsi="Times New Roman"/>
          <w:sz w:val="20"/>
          <w:szCs w:val="20"/>
          <w:u w:val="single" w:color="auto"/>
          <w:color w:val="auto"/>
        </w:rPr>
        <w:t>Section 5.18</w:t>
      </w:r>
      <w:r>
        <w:rPr>
          <w:rFonts w:ascii="Times New Roman" w:cs="Times New Roman" w:eastAsia="Times New Roman" w:hAnsi="Times New Roman"/>
          <w:sz w:val="20"/>
          <w:szCs w:val="20"/>
          <w:color w:val="auto"/>
        </w:rPr>
        <w:t xml:space="preserve"> hereof, through the delivery of a notice that Grantee has placed a market sell order with a broker designated by the Company with respect to Shares then issuable upon exercise of the Option, and that the broker has been directed to pay a sufficient portion of the net proceeds of the sale to the Company in satisfaction of the Option exercise price;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payment of such proceeds is then made to the Company at such time as may be required by the Committee, but in any event not later than the settlement of such sale; or</w:t>
      </w:r>
    </w:p>
    <w:p>
      <w:pPr>
        <w:spacing w:after="0" w:line="194" w:lineRule="exact"/>
        <w:rPr>
          <w:rFonts w:ascii="Times New Roman" w:cs="Times New Roman" w:eastAsia="Times New Roman" w:hAnsi="Times New Roman"/>
          <w:sz w:val="20"/>
          <w:szCs w:val="20"/>
          <w:color w:val="auto"/>
        </w:rPr>
      </w:pPr>
    </w:p>
    <w:p>
      <w:pPr>
        <w:ind w:left="1720" w:hanging="415"/>
        <w:spacing w:after="0"/>
        <w:tabs>
          <w:tab w:leader="none" w:pos="1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form of legal consideration acceptable to the Committee.</w:t>
      </w:r>
    </w:p>
    <w:p>
      <w:pPr>
        <w:spacing w:after="0" w:line="22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 xml:space="preserve">4.5 </w:t>
      </w:r>
      <w:r>
        <w:rPr>
          <w:rFonts w:ascii="Times New Roman" w:cs="Times New Roman" w:eastAsia="Times New Roman" w:hAnsi="Times New Roman"/>
          <w:sz w:val="20"/>
          <w:szCs w:val="20"/>
          <w:u w:val="single" w:color="auto"/>
          <w:color w:val="auto"/>
        </w:rPr>
        <w:t>Conditions to Issuance of Stock</w:t>
      </w:r>
      <w:r>
        <w:rPr>
          <w:rFonts w:ascii="Times New Roman" w:cs="Times New Roman" w:eastAsia="Times New Roman" w:hAnsi="Times New Roman"/>
          <w:sz w:val="20"/>
          <w:szCs w:val="20"/>
          <w:color w:val="auto"/>
        </w:rPr>
        <w:t xml:space="preserve">. The Company shall not be required to issue or deliver any Shares purchased upon the exercise of the Option or portion thereof prior to fulfillment of all of the following conditions: (a) the admission of such Shares to listing on all stock exchanges on which such Shares are then listed, (b) the completion of any registration or other qualification of such Shares under any state or federal law or under rulings or regulations of the SEC or other governmental regulatory body, that the Committee shall, in its absolute discretion, deem necessary or advisable, (c) the obtaining of any approval or other clearance from any state or federal governmental agency that the Committee shall, in its absolute discretion, determine to be necessary or advisable, (d) the receipt by the Company of full payment for such Shares, which may be in one or more of the forms of consideration permitted under </w:t>
      </w:r>
      <w:r>
        <w:rPr>
          <w:rFonts w:ascii="Times New Roman" w:cs="Times New Roman" w:eastAsia="Times New Roman" w:hAnsi="Times New Roman"/>
          <w:sz w:val="20"/>
          <w:szCs w:val="20"/>
          <w:u w:val="single" w:color="auto"/>
          <w:color w:val="auto"/>
        </w:rPr>
        <w:t>Section 4.4</w:t>
      </w:r>
      <w:r>
        <w:rPr>
          <w:rFonts w:ascii="Times New Roman" w:cs="Times New Roman" w:eastAsia="Times New Roman" w:hAnsi="Times New Roman"/>
          <w:sz w:val="20"/>
          <w:szCs w:val="20"/>
          <w:color w:val="auto"/>
        </w:rPr>
        <w:t xml:space="preserve"> hereof, and (e) the receipt of full payment of any applicable withholding tax in accordance with </w:t>
      </w:r>
      <w:r>
        <w:rPr>
          <w:rFonts w:ascii="Times New Roman" w:cs="Times New Roman" w:eastAsia="Times New Roman" w:hAnsi="Times New Roman"/>
          <w:sz w:val="20"/>
          <w:szCs w:val="20"/>
          <w:u w:val="single" w:color="auto"/>
          <w:color w:val="auto"/>
        </w:rPr>
        <w:t>Section 3.5</w:t>
      </w:r>
      <w:r>
        <w:rPr>
          <w:rFonts w:ascii="Times New Roman" w:cs="Times New Roman" w:eastAsia="Times New Roman" w:hAnsi="Times New Roman"/>
          <w:sz w:val="20"/>
          <w:szCs w:val="20"/>
          <w:color w:val="auto"/>
        </w:rPr>
        <w:t xml:space="preserve"> hereof by the Company or its Subsidiary with respect to which the applicable withholding obligation arises.</w:t>
      </w:r>
    </w:p>
    <w:p>
      <w:pPr>
        <w:spacing w:after="0" w:line="20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9"/>
          <w:szCs w:val="19"/>
          <w:color w:val="auto"/>
        </w:rPr>
        <w:t xml:space="preserve">4.6 </w:t>
      </w:r>
      <w:r>
        <w:rPr>
          <w:rFonts w:ascii="Times New Roman" w:cs="Times New Roman" w:eastAsia="Times New Roman" w:hAnsi="Times New Roman"/>
          <w:sz w:val="19"/>
          <w:szCs w:val="19"/>
          <w:u w:val="single" w:color="auto"/>
          <w:color w:val="auto"/>
        </w:rPr>
        <w:t>Rights as Stockholder</w:t>
      </w:r>
      <w:r>
        <w:rPr>
          <w:rFonts w:ascii="Times New Roman" w:cs="Times New Roman" w:eastAsia="Times New Roman" w:hAnsi="Times New Roman"/>
          <w:sz w:val="19"/>
          <w:szCs w:val="19"/>
          <w:color w:val="auto"/>
        </w:rPr>
        <w:t>. Neither Grantee nor any person claiming under or through Grantee will have any of the rights or privileges of a stockholder of the Company in respect of any Shares purchasable upon the exercise of any part of the Option unless and until certificates representing such Shares (which may be in book-entry form) will have been issued and recorded on the records of the Company or its transfer agents or registrars and delivered to Grantee (including through electronic delivery to a brokerage account). No adjustment will be made for a dividend or other right for which the record date is prior to the date of such issuance, recordation and delivery, except as provided in Section 4.2 of the Plan. Except as otherwise provided herein, after such issuance, recordation and delivery, Grantee will have all the rights of a stockholder of the Company with respect to such Shares, including, without limitation, the right to receive dividends and distributions on such Shares.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OTHER PROVISIONS</w:t>
      </w:r>
    </w:p>
    <w:p>
      <w:pPr>
        <w:spacing w:after="0" w:line="207"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0"/>
          <w:szCs w:val="20"/>
          <w:u w:val="single" w:color="auto"/>
          <w:color w:val="auto"/>
        </w:rPr>
        <w:t>Administration</w:t>
      </w:r>
      <w:r>
        <w:rPr>
          <w:rFonts w:ascii="Times New Roman" w:cs="Times New Roman" w:eastAsia="Times New Roman" w:hAnsi="Times New Roman"/>
          <w:sz w:val="20"/>
          <w:szCs w:val="20"/>
          <w:color w:val="auto"/>
        </w:rPr>
        <w:t>. The Committee shall have the power to interpret the Plan, the Grant Notice and this Agreement and to adopt such rules for the administration, interpretation and application of the Plan, the Grant Notice and this Agreement as are consistent therewith and to interpret, amend or revoke any such rules. All actions taken and all interpretations and determinations made by the Committee will be final and binding upon Grantee, the Company and all other interested persons. To the extent allowable pursuant to applicable law, no member of the Committee or the Board will be personally liable for any action, determination or interpretation made with respect to the Plan, the Grant Notice or this Agreement.</w:t>
      </w:r>
    </w:p>
    <w:p>
      <w:pPr>
        <w:sectPr>
          <w:pgSz w:w="11900" w:h="16838" w:orient="portrait"/>
          <w:cols w:equalWidth="0" w:num="1">
            <w:col w:w="11420"/>
          </w:cols>
          <w:pgMar w:left="240" w:top="616" w:right="239" w:bottom="1440" w:gutter="0" w:footer="0" w:header="0"/>
        </w:sectPr>
      </w:pPr>
    </w:p>
    <w:bookmarkStart w:id="43" w:name="page44"/>
    <w:bookmarkEnd w:id="43"/>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5.2</w:t>
      </w:r>
      <w:r>
        <w:rPr>
          <w:sz w:val="20"/>
          <w:szCs w:val="20"/>
          <w:color w:val="auto"/>
        </w:rPr>
        <w:tab/>
      </w:r>
      <w:r>
        <w:rPr>
          <w:rFonts w:ascii="Times New Roman" w:cs="Times New Roman" w:eastAsia="Times New Roman" w:hAnsi="Times New Roman"/>
          <w:sz w:val="19"/>
          <w:szCs w:val="19"/>
          <w:u w:val="single" w:color="auto"/>
          <w:color w:val="auto"/>
        </w:rPr>
        <w:t>Whole Shares</w:t>
      </w:r>
      <w:r>
        <w:rPr>
          <w:rFonts w:ascii="Times New Roman" w:cs="Times New Roman" w:eastAsia="Times New Roman" w:hAnsi="Times New Roman"/>
          <w:sz w:val="19"/>
          <w:szCs w:val="19"/>
          <w:color w:val="auto"/>
        </w:rPr>
        <w:t>. The Option may only be exercised for whole Shares.</w:t>
      </w:r>
    </w:p>
    <w:p>
      <w:pPr>
        <w:spacing w:after="0" w:line="22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 xml:space="preserve">5.3 </w:t>
      </w:r>
      <w:r>
        <w:rPr>
          <w:rFonts w:ascii="Times New Roman" w:cs="Times New Roman" w:eastAsia="Times New Roman" w:hAnsi="Times New Roman"/>
          <w:sz w:val="20"/>
          <w:szCs w:val="20"/>
          <w:u w:val="single" w:color="auto"/>
          <w:color w:val="auto"/>
        </w:rPr>
        <w:t>Option Not Transferable</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 xml:space="preserve"> hereof, the Option may not be sold, pledged, assigned or transferred in any manner other than by will or the laws of descent and distribution, unless and until the Shares underlying the Option have been issued, and all restrictions applicable to such Shares have lapsed. Neither the Option nor any interest or right therein or part thereof shall be liable for the debts, contracts or engagements of Grantee or his or her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w:t>
      </w:r>
    </w:p>
    <w:p>
      <w:pPr>
        <w:spacing w:after="0" w:line="20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 xml:space="preserve">5.4 </w:t>
      </w:r>
      <w:r>
        <w:rPr>
          <w:rFonts w:ascii="Times New Roman" w:cs="Times New Roman" w:eastAsia="Times New Roman" w:hAnsi="Times New Roman"/>
          <w:sz w:val="20"/>
          <w:szCs w:val="20"/>
          <w:u w:val="single" w:color="auto"/>
          <w:color w:val="auto"/>
        </w:rPr>
        <w:t>Adjustments</w:t>
      </w:r>
      <w:r>
        <w:rPr>
          <w:rFonts w:ascii="Times New Roman" w:cs="Times New Roman" w:eastAsia="Times New Roman" w:hAnsi="Times New Roman"/>
          <w:sz w:val="20"/>
          <w:szCs w:val="20"/>
          <w:color w:val="auto"/>
        </w:rPr>
        <w:t>. Upon the occurrence of certain events relating to Shares contemplated by Section 4.2 of the Plan (including, without limitation, an extraordinary cash dividend on such Stock), the Committee shall make such adjustments as the Committee deems appropriate in the number of Shares subject to the Option, the exercise price of the Option and the kind of securities that may be issued upon exercise of the Option. Grantee acknowledges that the Option is subject to adjustment, modification and termination in certain events as provided in this Agreement and Section 4.2 of the Plan. If any such adjustment shall result in a fractional Share, such fractional Share shall be disregarded.</w:t>
      </w:r>
    </w:p>
    <w:p>
      <w:pPr>
        <w:spacing w:after="0" w:line="194"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 xml:space="preserve">5.5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xml:space="preserve">. Any notice to be given under the terms of this Agreement to the Company shall be addressed to the Company in care of the Secretary of the Company at the Company’s principal office, and any notice to be given to Grantee shall be addressed to Grantee at Grantee’s last address reflected on the Company’s records. By a notice given pursuant to this </w:t>
      </w:r>
      <w:r>
        <w:rPr>
          <w:rFonts w:ascii="Times New Roman" w:cs="Times New Roman" w:eastAsia="Times New Roman" w:hAnsi="Times New Roman"/>
          <w:sz w:val="20"/>
          <w:szCs w:val="20"/>
          <w:u w:val="single" w:color="auto"/>
          <w:color w:val="auto"/>
        </w:rPr>
        <w:t>Section 5.5</w:t>
      </w:r>
      <w:r>
        <w:rPr>
          <w:rFonts w:ascii="Times New Roman" w:cs="Times New Roman" w:eastAsia="Times New Roman" w:hAnsi="Times New Roman"/>
          <w:sz w:val="20"/>
          <w:szCs w:val="20"/>
          <w:color w:val="auto"/>
        </w:rPr>
        <w:t xml:space="preserve">, either party may hereafter designate a different address for notices to be given to that party. Any notice that is required to be given to Grantee shall, if Grantee is then deceased, be given to the person entitled to exercise the Option pursuant to </w:t>
      </w: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 xml:space="preserve"> hereof by written notice under this </w:t>
      </w:r>
      <w:r>
        <w:rPr>
          <w:rFonts w:ascii="Times New Roman" w:cs="Times New Roman" w:eastAsia="Times New Roman" w:hAnsi="Times New Roman"/>
          <w:sz w:val="20"/>
          <w:szCs w:val="20"/>
          <w:u w:val="single" w:color="auto"/>
          <w:color w:val="auto"/>
        </w:rPr>
        <w:t>Section 5.5</w:t>
      </w:r>
      <w:r>
        <w:rPr>
          <w:rFonts w:ascii="Times New Roman" w:cs="Times New Roman" w:eastAsia="Times New Roman" w:hAnsi="Times New Roman"/>
          <w:sz w:val="20"/>
          <w:szCs w:val="20"/>
          <w:color w:val="auto"/>
        </w:rPr>
        <w:t>.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200"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 xml:space="preserve">5.6 </w:t>
      </w:r>
      <w:r>
        <w:rPr>
          <w:rFonts w:ascii="Times New Roman" w:cs="Times New Roman" w:eastAsia="Times New Roman" w:hAnsi="Times New Roman"/>
          <w:sz w:val="20"/>
          <w:szCs w:val="20"/>
          <w:u w:val="single" w:color="auto"/>
          <w:color w:val="auto"/>
        </w:rPr>
        <w:t>Titles</w:t>
      </w:r>
      <w:r>
        <w:rPr>
          <w:rFonts w:ascii="Times New Roman" w:cs="Times New Roman" w:eastAsia="Times New Roman" w:hAnsi="Times New Roman"/>
          <w:sz w:val="20"/>
          <w:szCs w:val="20"/>
          <w:color w:val="auto"/>
        </w:rPr>
        <w:t>. Titles are provided herein for convenience only and are not to serve as a basis for interpretation or construction of this Agreement.</w:t>
      </w:r>
    </w:p>
    <w:p>
      <w:pPr>
        <w:spacing w:after="0" w:line="173"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 xml:space="preserve">5.7 </w:t>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The laws of the State of Delaware shall govern the interpretation, validity, administration, enforcement and performance of the terms of this Agreement regardless of the law that might be applied under principles of conflicts of laws.</w:t>
      </w:r>
    </w:p>
    <w:p>
      <w:pPr>
        <w:spacing w:after="0" w:line="17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 xml:space="preserve">5.8 </w:t>
      </w:r>
      <w:r>
        <w:rPr>
          <w:rFonts w:ascii="Times New Roman" w:cs="Times New Roman" w:eastAsia="Times New Roman" w:hAnsi="Times New Roman"/>
          <w:sz w:val="20"/>
          <w:szCs w:val="20"/>
          <w:u w:val="single" w:color="auto"/>
          <w:color w:val="auto"/>
        </w:rPr>
        <w:t>Conformity to Securities Laws</w:t>
      </w:r>
      <w:r>
        <w:rPr>
          <w:rFonts w:ascii="Times New Roman" w:cs="Times New Roman" w:eastAsia="Times New Roman" w:hAnsi="Times New Roman"/>
          <w:sz w:val="20"/>
          <w:szCs w:val="20"/>
          <w:color w:val="auto"/>
        </w:rPr>
        <w:t>. Grantee acknowledges that the Plan, the Grant Notice and this Agreement are intended to conform to the extent necessary with all applicable laws, including, without limitation, the provisions of the Securities Act and the Exchange Act and any and all regulations and rules promulgated thereunder by the SEC and state securities laws and regulations. Notwithstanding anything herein to the contrary, the Plan shall be administered, and the Option is granted and may be exercised, only in such a manner as to conform to applicable law. To the extent permitted by applicable law, the Plan and this Agreement shall be deemed amended to the extent necessary to conform to applicable law.</w:t>
      </w:r>
    </w:p>
    <w:p>
      <w:pPr>
        <w:spacing w:after="0" w:line="19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5.9 </w:t>
      </w:r>
      <w:r>
        <w:rPr>
          <w:rFonts w:ascii="Times New Roman" w:cs="Times New Roman" w:eastAsia="Times New Roman" w:hAnsi="Times New Roman"/>
          <w:sz w:val="20"/>
          <w:szCs w:val="20"/>
          <w:u w:val="single" w:color="auto"/>
          <w:color w:val="auto"/>
        </w:rPr>
        <w:t>Amendment, Suspension and Termination</w:t>
      </w:r>
      <w:r>
        <w:rPr>
          <w:rFonts w:ascii="Times New Roman" w:cs="Times New Roman" w:eastAsia="Times New Roman" w:hAnsi="Times New Roman"/>
          <w:sz w:val="20"/>
          <w:szCs w:val="20"/>
          <w:color w:val="auto"/>
        </w:rPr>
        <w:t xml:space="preserve">. To the extent permitted by the Plan, this Agreement may be wholly or partially amended or otherwise modified, suspended or terminated at any time or from time to time by the Committee or the Board,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except as may otherwise be provided by</w:t>
      </w:r>
    </w:p>
    <w:p>
      <w:pPr>
        <w:sectPr>
          <w:pgSz w:w="11900" w:h="16838" w:orient="portrait"/>
          <w:cols w:equalWidth="0" w:num="1">
            <w:col w:w="11420"/>
          </w:cols>
          <w:pgMar w:left="240" w:top="616" w:right="239" w:bottom="1440" w:gutter="0" w:footer="0" w:header="0"/>
        </w:sectPr>
      </w:pPr>
    </w:p>
    <w:bookmarkStart w:id="44" w:name="page45"/>
    <w:bookmarkEnd w:id="44"/>
    <w:p>
      <w:pPr>
        <w:jc w:val="both"/>
        <w:spacing w:after="0" w:line="269" w:lineRule="auto"/>
        <w:rPr>
          <w:sz w:val="20"/>
          <w:szCs w:val="20"/>
          <w:color w:val="auto"/>
        </w:rPr>
      </w:pPr>
      <w:r>
        <w:rPr>
          <w:rFonts w:ascii="Times New Roman" w:cs="Times New Roman" w:eastAsia="Times New Roman" w:hAnsi="Times New Roman"/>
          <w:sz w:val="20"/>
          <w:szCs w:val="20"/>
          <w:color w:val="auto"/>
        </w:rPr>
        <w:t>the Plan, no amendment, modification, suspension or termination of this Agreement shall adversely affect the Option in any material way without the prior written consent of Grantee.</w:t>
      </w:r>
    </w:p>
    <w:p>
      <w:pPr>
        <w:spacing w:after="0" w:line="17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5.10 </w:t>
      </w: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xml:space="preserve">. The Company may assign any of its rights under this Agreement to single or multiple assignees, and this Agreement shall inure to the benefit of the successors and assigns of the Company. Subject to the restrictions on transfer set forth in </w:t>
      </w:r>
      <w:r>
        <w:rPr>
          <w:rFonts w:ascii="Times New Roman" w:cs="Times New Roman" w:eastAsia="Times New Roman" w:hAnsi="Times New Roman"/>
          <w:sz w:val="20"/>
          <w:szCs w:val="20"/>
          <w:u w:val="single" w:color="auto"/>
          <w:color w:val="auto"/>
        </w:rPr>
        <w:t>Section 5.3</w:t>
      </w:r>
      <w:r>
        <w:rPr>
          <w:rFonts w:ascii="Times New Roman" w:cs="Times New Roman" w:eastAsia="Times New Roman" w:hAnsi="Times New Roman"/>
          <w:sz w:val="20"/>
          <w:szCs w:val="20"/>
          <w:color w:val="auto"/>
        </w:rPr>
        <w:t xml:space="preserve"> hereof and the Plan, this Agreement shall be binding upon and inure to the benefit of the heirs, legatees, legal representatives, successors and assigns of the parties hereto.</w:t>
      </w:r>
    </w:p>
    <w:p>
      <w:pPr>
        <w:spacing w:after="0" w:line="19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 xml:space="preserve">5.11 </w:t>
      </w:r>
      <w:r>
        <w:rPr>
          <w:rFonts w:ascii="Times New Roman" w:cs="Times New Roman" w:eastAsia="Times New Roman" w:hAnsi="Times New Roman"/>
          <w:sz w:val="20"/>
          <w:szCs w:val="20"/>
          <w:u w:val="single" w:color="auto"/>
          <w:color w:val="auto"/>
        </w:rPr>
        <w:t>Limitations Applicable to Section 16 Persons</w:t>
      </w:r>
      <w:r>
        <w:rPr>
          <w:rFonts w:ascii="Times New Roman" w:cs="Times New Roman" w:eastAsia="Times New Roman" w:hAnsi="Times New Roman"/>
          <w:sz w:val="20"/>
          <w:szCs w:val="20"/>
          <w:color w:val="auto"/>
        </w:rPr>
        <w:t>. Notwithstanding any other provision of the Plan or this Agreement, if Grantee is subject to Section 16 of the Exchange Act, the Plan, the Option, the Grant Notice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19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 xml:space="preserve">5.12 </w:t>
      </w:r>
      <w:r>
        <w:rPr>
          <w:rFonts w:ascii="Times New Roman" w:cs="Times New Roman" w:eastAsia="Times New Roman" w:hAnsi="Times New Roman"/>
          <w:sz w:val="20"/>
          <w:szCs w:val="20"/>
          <w:u w:val="single" w:color="auto"/>
          <w:color w:val="auto"/>
        </w:rPr>
        <w:t>Not a Contract of Employment</w:t>
      </w:r>
      <w:r>
        <w:rPr>
          <w:rFonts w:ascii="Times New Roman" w:cs="Times New Roman" w:eastAsia="Times New Roman" w:hAnsi="Times New Roman"/>
          <w:sz w:val="20"/>
          <w:szCs w:val="20"/>
          <w:color w:val="auto"/>
        </w:rPr>
        <w:t>. Nothing in this Agreement or in the Plan shall confer upon Grantee any right to continue to serve as an employee or other service provider of the Company or any Subsidiary or shall interfere with or restrict in any way the rights of the Company and its Subsidiaries, which rights are hereby expressly reserved, to discharge or terminate the services of Grantee at any time for any reason whatsoever, with or without cause, except to the extent expressly provided otherwise in a written agreement between the Company or a Subsidiary and Grantee.</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5.13 </w:t>
      </w: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The Plan, the Grant Notice and this Agreement (including any exhibit hereto) constitute the entire agreement of the parties and supersede in their entirety all prior undertakings and agreements of the Company and Grantee with respect to the subject matter hereof.</w:t>
      </w:r>
    </w:p>
    <w:p>
      <w:pPr>
        <w:spacing w:after="0" w:line="188"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 xml:space="preserve">5.14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This Award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However, notwithstanding any other provision of the Plan, the Grant Notice or this Agreement, if at any time the Committee determines that this Award (or any portion thereof) may be subject to Section 409A, the Committee shall have the right in its sole discretion (without any obligation to do so or to indemnify Grantee or any other person for failure to do so) to adopt such amendments to the Plan, the Grant Notice or this Agreement, or adopt other policies and procedures (including amendments, policies and procedures with retroactive effect), or take any other actions, as the Committee determines are necessary or appropriate for this Award either to be exempt from the application of Section 409A or to comply with the requirements of Section 409A. Nothing in the Plan or this Agreement shall be construed to make the Company liable to Grantee for any tax, interest, or penalties that Grantee might owe as a result of the grant, holding, vesting, exercise, or payment of this Option or any Shares related thereto.</w:t>
      </w:r>
    </w:p>
    <w:p>
      <w:pPr>
        <w:spacing w:after="0" w:line="20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5.15 </w:t>
      </w:r>
      <w:r>
        <w:rPr>
          <w:rFonts w:ascii="Times New Roman" w:cs="Times New Roman" w:eastAsia="Times New Roman" w:hAnsi="Times New Roman"/>
          <w:sz w:val="20"/>
          <w:szCs w:val="20"/>
          <w:u w:val="single" w:color="auto"/>
          <w:color w:val="auto"/>
        </w:rPr>
        <w:t>Agreement Severable</w:t>
      </w:r>
      <w:r>
        <w:rPr>
          <w:rFonts w:ascii="Times New Roman" w:cs="Times New Roman" w:eastAsia="Times New Roman" w:hAnsi="Times New Roman"/>
          <w:sz w:val="20"/>
          <w:szCs w:val="20"/>
          <w:color w:val="auto"/>
        </w:rPr>
        <w:t>. In the event that any provision of the Grant Notice or this Agreement is held invalid or unenforceable, such provision will be severable from, and such invalidity or unenforceability will not be construed to have any effect on, the remaining provisions of the Grant Notice or this Agreement.</w:t>
      </w:r>
    </w:p>
    <w:p>
      <w:pPr>
        <w:spacing w:after="0" w:line="188"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 xml:space="preserve">5.16 </w:t>
      </w:r>
      <w:r>
        <w:rPr>
          <w:rFonts w:ascii="Times New Roman" w:cs="Times New Roman" w:eastAsia="Times New Roman" w:hAnsi="Times New Roman"/>
          <w:sz w:val="20"/>
          <w:szCs w:val="20"/>
          <w:u w:val="single" w:color="auto"/>
          <w:color w:val="auto"/>
        </w:rPr>
        <w:t>Limitation on Grantee’s Rights</w:t>
      </w:r>
      <w:r>
        <w:rPr>
          <w:rFonts w:ascii="Times New Roman" w:cs="Times New Roman" w:eastAsia="Times New Roman" w:hAnsi="Times New Roman"/>
          <w:sz w:val="20"/>
          <w:szCs w:val="20"/>
          <w:color w:val="auto"/>
        </w:rPr>
        <w:t>. Participation in the Plan confers no rights or interests other than as herein provided. This Agreement creates only a contractual obligation on the part of the Company</w:t>
      </w:r>
    </w:p>
    <w:p>
      <w:pPr>
        <w:sectPr>
          <w:pgSz w:w="11900" w:h="16838" w:orient="portrait"/>
          <w:cols w:equalWidth="0" w:num="1">
            <w:col w:w="11420"/>
          </w:cols>
          <w:pgMar w:left="240" w:top="616" w:right="239" w:bottom="1440" w:gutter="0" w:footer="0" w:header="0"/>
        </w:sectPr>
      </w:pPr>
    </w:p>
    <w:bookmarkStart w:id="45" w:name="page46"/>
    <w:bookmarkEnd w:id="45"/>
    <w:p>
      <w:pPr>
        <w:jc w:val="both"/>
        <w:spacing w:after="0" w:line="249" w:lineRule="auto"/>
        <w:rPr>
          <w:sz w:val="20"/>
          <w:szCs w:val="20"/>
          <w:color w:val="auto"/>
        </w:rPr>
      </w:pPr>
      <w:r>
        <w:rPr>
          <w:rFonts w:ascii="Times New Roman" w:cs="Times New Roman" w:eastAsia="Times New Roman" w:hAnsi="Times New Roman"/>
          <w:sz w:val="20"/>
          <w:szCs w:val="20"/>
          <w:color w:val="auto"/>
        </w:rPr>
        <w:t>as to amounts payable and shall not be construed as creating a trust. Neither the Plan nor any underlying program, in and of itself, has any assets. Grantee shall have only the rights of a general unsecured creditor of the Company with respect to amounts credited and benefits payable, if any, with respect to the Option, and rights no greater than the right to receive the Shares as a general unsecured creditor with respect to options, as and when exercised pursuant to the terms hereof.</w:t>
      </w:r>
    </w:p>
    <w:p>
      <w:pPr>
        <w:spacing w:after="0" w:line="19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5.17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The Grant Notice may be executed in one or more counterparts, including by way of any electronic signature, subject to applicable law, each of which shall be deemed an original and all of which together shall constitute one instrument.</w:t>
      </w:r>
    </w:p>
    <w:p>
      <w:pPr>
        <w:spacing w:after="0" w:line="173"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 xml:space="preserve">5.18 </w:t>
      </w:r>
      <w:r>
        <w:rPr>
          <w:rFonts w:ascii="Times New Roman" w:cs="Times New Roman" w:eastAsia="Times New Roman" w:hAnsi="Times New Roman"/>
          <w:sz w:val="20"/>
          <w:szCs w:val="20"/>
          <w:u w:val="single" w:color="auto"/>
          <w:color w:val="auto"/>
        </w:rPr>
        <w:t>Broker-Assisted Sales</w:t>
      </w:r>
      <w:r>
        <w:rPr>
          <w:rFonts w:ascii="Times New Roman" w:cs="Times New Roman" w:eastAsia="Times New Roman" w:hAnsi="Times New Roman"/>
          <w:sz w:val="20"/>
          <w:szCs w:val="20"/>
          <w:color w:val="auto"/>
        </w:rPr>
        <w:t xml:space="preserve">. In the event of any broker-assisted sale of Shares in connection with the payment of withholding taxes as provided in </w:t>
      </w:r>
      <w:r>
        <w:rPr>
          <w:rFonts w:ascii="Times New Roman" w:cs="Times New Roman" w:eastAsia="Times New Roman" w:hAnsi="Times New Roman"/>
          <w:sz w:val="20"/>
          <w:szCs w:val="20"/>
          <w:u w:val="single" w:color="auto"/>
          <w:color w:val="auto"/>
        </w:rPr>
        <w:t>Section 3.4(a)(v)</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3.4(c)</w:t>
      </w:r>
      <w:r>
        <w:rPr>
          <w:rFonts w:ascii="Times New Roman" w:cs="Times New Roman" w:eastAsia="Times New Roman" w:hAnsi="Times New Roman"/>
          <w:sz w:val="20"/>
          <w:szCs w:val="20"/>
          <w:color w:val="auto"/>
        </w:rPr>
        <w:t xml:space="preserve"> hereof or the payment of the exercise price as provided in </w:t>
      </w:r>
      <w:r>
        <w:rPr>
          <w:rFonts w:ascii="Times New Roman" w:cs="Times New Roman" w:eastAsia="Times New Roman" w:hAnsi="Times New Roman"/>
          <w:sz w:val="20"/>
          <w:szCs w:val="20"/>
          <w:u w:val="single" w:color="auto"/>
          <w:color w:val="auto"/>
        </w:rPr>
        <w:t>Section 4.4(c)</w:t>
      </w:r>
      <w:r>
        <w:rPr>
          <w:rFonts w:ascii="Times New Roman" w:cs="Times New Roman" w:eastAsia="Times New Roman" w:hAnsi="Times New Roman"/>
          <w:sz w:val="20"/>
          <w:szCs w:val="20"/>
          <w:color w:val="auto"/>
        </w:rPr>
        <w:t xml:space="preserve"> hereof: (a) any Shares to be sold through a broker-assisted sale will be sold on the day the tax withholding obligation or exercise of the Option, as applicable, occurs or arises, or as soon thereafter as practicable; (b) such Shares may be sold as part of a block trade with other Grantees in the Plan in which all Grantees receive an average price; (c) Grantee will be responsible for all broker’s fees and other costs of sale, and Grantee agrees to indemnify and hold the Company harmless from any losses, costs, damages, or expenses relating to any such sale; (d) to the extent the proceeds of such sale exceed the applicable tax withholding obligation or exercise price, the Company agrees to pay such excess in cash to Grantee as soon as reasonably practicable; (e) Grantee acknowledges that the Company or its designee is under no obligation to arrange for such sale at any particular price, and that the proceeds of any such sale may not be sufficient to satisfy the applicable tax withholding obligation or exercise price; and (f) in the event the proceeds of such sale are insufficient to satisfy the applicable tax withholding obligation, Grantee agrees to pay immediately upon demand to the Company or its Subsidiary with respect to which the withholding obligation arises, an amount sufficient to satisfy any remaining portion of the Company’s or the applicable Subsidiary’s withholding obligation.</w:t>
      </w:r>
    </w:p>
    <w:p>
      <w:pPr>
        <w:spacing w:after="0" w:line="20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 xml:space="preserve">5.19 </w:t>
      </w:r>
      <w:r>
        <w:rPr>
          <w:rFonts w:ascii="Times New Roman" w:cs="Times New Roman" w:eastAsia="Times New Roman" w:hAnsi="Times New Roman"/>
          <w:sz w:val="20"/>
          <w:szCs w:val="20"/>
          <w:u w:val="single" w:color="auto"/>
          <w:color w:val="auto"/>
        </w:rPr>
        <w:t>Clawback</w:t>
      </w:r>
      <w:r>
        <w:rPr>
          <w:rFonts w:ascii="Times New Roman" w:cs="Times New Roman" w:eastAsia="Times New Roman" w:hAnsi="Times New Roman"/>
          <w:sz w:val="20"/>
          <w:szCs w:val="20"/>
          <w:color w:val="auto"/>
        </w:rPr>
        <w:t>. Any Shares issued pursuant to this Award shall be subject to mandatory repayment by the Grantee to the Company to the extent that such Grantee is, or in the future becomes, subject to (a) any “clawback” or recoupment policy adopted by the Company or any Subsidiary thereof to comply with the requirements of any applicable laws, rules or regulations, including pursuant to final rules adopted by the SEC pursuant to the Dodd-Frank Wall Street Reform and Consumer Protection Act, or otherwise, or (b) any applicable laws which impose mandatory recoupment, under circumstances set forth in such applicable laws, including the Sarbanes-Oxley Act of 2002.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26229509.2</w:t>
      </w:r>
    </w:p>
    <w:p>
      <w:pPr>
        <w:sectPr>
          <w:pgSz w:w="11900" w:h="16838" w:orient="portrait"/>
          <w:cols w:equalWidth="0" w:num="1">
            <w:col w:w="11420"/>
          </w:cols>
          <w:pgMar w:left="240" w:top="616" w:right="2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20"/>
          <w:szCs w:val="20"/>
          <w:b w:val="1"/>
          <w:bCs w:val="1"/>
          <w:color w:val="auto"/>
        </w:rPr>
        <w:t>NN,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2019 OMNIBUS INCENTIVE PLAN</w:t>
      </w:r>
    </w:p>
    <w:p>
      <w:pPr>
        <w:jc w:val="center"/>
        <w:spacing w:after="0"/>
        <w:rPr>
          <w:sz w:val="20"/>
          <w:szCs w:val="20"/>
          <w:color w:val="auto"/>
        </w:rPr>
      </w:pPr>
      <w:r>
        <w:rPr>
          <w:rFonts w:ascii="Times New Roman" w:cs="Times New Roman" w:eastAsia="Times New Roman" w:hAnsi="Times New Roman"/>
          <w:sz w:val="20"/>
          <w:szCs w:val="20"/>
          <w:b w:val="1"/>
          <w:bCs w:val="1"/>
          <w:color w:val="auto"/>
        </w:rPr>
        <w:t>NONQUALIFIED STOCK OPTION GRANT NOTICE</w:t>
      </w:r>
    </w:p>
    <w:p>
      <w:pPr>
        <w:spacing w:after="0" w:line="207"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NN,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pursuant to its 2019 Omnibus Incentive Plan, as amended from time to time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hereby grants to the holder listed below (“</w:t>
      </w:r>
      <w:r>
        <w:rPr>
          <w:rFonts w:ascii="Times New Roman" w:cs="Times New Roman" w:eastAsia="Times New Roman" w:hAnsi="Times New Roman"/>
          <w:sz w:val="20"/>
          <w:szCs w:val="20"/>
          <w:u w:val="single" w:color="auto"/>
          <w:color w:val="auto"/>
        </w:rPr>
        <w:t>Grantee</w:t>
      </w:r>
      <w:r>
        <w:rPr>
          <w:rFonts w:ascii="Times New Roman" w:cs="Times New Roman" w:eastAsia="Times New Roman" w:hAnsi="Times New Roman"/>
          <w:sz w:val="20"/>
          <w:szCs w:val="20"/>
          <w:color w:val="auto"/>
        </w:rPr>
        <w:t>”), an option (the “</w:t>
      </w:r>
      <w:r>
        <w:rPr>
          <w:rFonts w:ascii="Times New Roman" w:cs="Times New Roman" w:eastAsia="Times New Roman" w:hAnsi="Times New Roman"/>
          <w:sz w:val="20"/>
          <w:szCs w:val="20"/>
          <w:u w:val="single" w:color="auto"/>
          <w:color w:val="auto"/>
        </w:rPr>
        <w:t>Option</w:t>
      </w:r>
      <w:r>
        <w:rPr>
          <w:rFonts w:ascii="Times New Roman" w:cs="Times New Roman" w:eastAsia="Times New Roman" w:hAnsi="Times New Roman"/>
          <w:sz w:val="20"/>
          <w:szCs w:val="20"/>
          <w:color w:val="auto"/>
        </w:rPr>
        <w:t>”) to purchase the number of shares of common stock of the Company (“</w:t>
      </w:r>
      <w:r>
        <w:rPr>
          <w:rFonts w:ascii="Times New Roman" w:cs="Times New Roman" w:eastAsia="Times New Roman" w:hAnsi="Times New Roman"/>
          <w:sz w:val="20"/>
          <w:szCs w:val="20"/>
          <w:u w:val="single" w:color="auto"/>
          <w:color w:val="auto"/>
        </w:rPr>
        <w:t>Shares</w:t>
      </w:r>
      <w:r>
        <w:rPr>
          <w:rFonts w:ascii="Times New Roman" w:cs="Times New Roman" w:eastAsia="Times New Roman" w:hAnsi="Times New Roman"/>
          <w:sz w:val="20"/>
          <w:szCs w:val="20"/>
          <w:color w:val="auto"/>
        </w:rPr>
        <w:t>”) set forth below. The Option is subject to the terms and conditions set forth in this Stock Option Grant Notice (the “</w:t>
      </w:r>
      <w:r>
        <w:rPr>
          <w:rFonts w:ascii="Times New Roman" w:cs="Times New Roman" w:eastAsia="Times New Roman" w:hAnsi="Times New Roman"/>
          <w:sz w:val="20"/>
          <w:szCs w:val="20"/>
          <w:u w:val="single" w:color="auto"/>
          <w:color w:val="auto"/>
        </w:rPr>
        <w:t>Grant Notice</w:t>
      </w:r>
      <w:r>
        <w:rPr>
          <w:rFonts w:ascii="Times New Roman" w:cs="Times New Roman" w:eastAsia="Times New Roman" w:hAnsi="Times New Roman"/>
          <w:sz w:val="20"/>
          <w:szCs w:val="20"/>
          <w:color w:val="auto"/>
        </w:rPr>
        <w:t xml:space="preserve">”) and the Nonqualified Stock Option Agreement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and the Plan, which are incorporated herein by reference. Unless otherwise defined, the terms defined in the Plan shall have the same defined meanings in the Grant Notice and the Agreement.</w:t>
      </w:r>
    </w:p>
    <w:p>
      <w:pPr>
        <w:spacing w:after="0" w:line="357"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4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Grantee:</w:t>
            </w:r>
          </w:p>
        </w:tc>
        <w:tc>
          <w:tcPr>
            <w:tcW w:w="3100" w:type="dxa"/>
            <w:vAlign w:val="bottom"/>
            <w:gridSpan w:val="2"/>
          </w:tcPr>
          <w:p>
            <w:pPr>
              <w:jc w:val="right"/>
              <w:ind w:right="421"/>
              <w:spacing w:after="0"/>
              <w:rPr>
                <w:sz w:val="20"/>
                <w:szCs w:val="20"/>
                <w:color w:val="auto"/>
              </w:rPr>
            </w:pPr>
            <w:r>
              <w:rPr>
                <w:rFonts w:ascii="Times New Roman" w:cs="Times New Roman" w:eastAsia="Times New Roman" w:hAnsi="Times New Roman"/>
                <w:sz w:val="20"/>
                <w:szCs w:val="20"/>
                <w:color w:val="auto"/>
              </w:rPr>
              <w:t>_______________________</w:t>
            </w:r>
          </w:p>
        </w:tc>
        <w:tc>
          <w:tcPr>
            <w:tcW w:w="64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1"/>
        </w:trPr>
        <w:tc>
          <w:tcPr>
            <w:tcW w:w="4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Grant Date:</w:t>
            </w:r>
          </w:p>
        </w:tc>
        <w:tc>
          <w:tcPr>
            <w:tcW w:w="3100" w:type="dxa"/>
            <w:vAlign w:val="bottom"/>
            <w:gridSpan w:val="2"/>
          </w:tcPr>
          <w:p>
            <w:pPr>
              <w:jc w:val="right"/>
              <w:ind w:right="421"/>
              <w:spacing w:after="0"/>
              <w:rPr>
                <w:sz w:val="20"/>
                <w:szCs w:val="20"/>
                <w:color w:val="auto"/>
              </w:rPr>
            </w:pPr>
            <w:r>
              <w:rPr>
                <w:rFonts w:ascii="Times New Roman" w:cs="Times New Roman" w:eastAsia="Times New Roman" w:hAnsi="Times New Roman"/>
                <w:sz w:val="20"/>
                <w:szCs w:val="20"/>
                <w:color w:val="auto"/>
              </w:rPr>
              <w:t>_______________________</w:t>
            </w:r>
          </w:p>
        </w:tc>
        <w:tc>
          <w:tcPr>
            <w:tcW w:w="6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4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Exercise Price per Share:</w:t>
            </w:r>
          </w:p>
        </w:tc>
        <w:tc>
          <w:tcPr>
            <w:tcW w:w="31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$______________________</w:t>
            </w:r>
          </w:p>
        </w:tc>
        <w:tc>
          <w:tcPr>
            <w:tcW w:w="6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4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Number of Shares Subject to the Option:</w:t>
            </w:r>
          </w:p>
        </w:tc>
        <w:tc>
          <w:tcPr>
            <w:tcW w:w="3740" w:type="dxa"/>
            <w:vAlign w:val="bottom"/>
            <w:gridSpan w:val="3"/>
          </w:tcPr>
          <w:p>
            <w:pPr>
              <w:jc w:val="right"/>
              <w:ind w:right="1160"/>
              <w:spacing w:after="0"/>
              <w:rPr>
                <w:sz w:val="20"/>
                <w:szCs w:val="20"/>
                <w:color w:val="auto"/>
              </w:rPr>
            </w:pPr>
            <w:r>
              <w:rPr>
                <w:rFonts w:ascii="Times New Roman" w:cs="Times New Roman" w:eastAsia="Times New Roman" w:hAnsi="Times New Roman"/>
                <w:sz w:val="20"/>
                <w:szCs w:val="20"/>
                <w:color w:val="auto"/>
              </w:rPr>
              <w:t>__________________ shares</w:t>
            </w:r>
          </w:p>
        </w:tc>
        <w:tc>
          <w:tcPr>
            <w:tcW w:w="1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4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Expiration Date:</w:t>
            </w:r>
          </w:p>
        </w:tc>
        <w:tc>
          <w:tcPr>
            <w:tcW w:w="3100" w:type="dxa"/>
            <w:vAlign w:val="bottom"/>
            <w:gridSpan w:val="2"/>
          </w:tcPr>
          <w:p>
            <w:pPr>
              <w:jc w:val="right"/>
              <w:ind w:right="421"/>
              <w:spacing w:after="0"/>
              <w:rPr>
                <w:sz w:val="20"/>
                <w:szCs w:val="20"/>
                <w:color w:val="auto"/>
              </w:rPr>
            </w:pPr>
            <w:r>
              <w:rPr>
                <w:rFonts w:ascii="Times New Roman" w:cs="Times New Roman" w:eastAsia="Times New Roman" w:hAnsi="Times New Roman"/>
                <w:sz w:val="20"/>
                <w:szCs w:val="20"/>
                <w:color w:val="auto"/>
              </w:rPr>
              <w:t>_______________________</w:t>
            </w:r>
          </w:p>
        </w:tc>
        <w:tc>
          <w:tcPr>
            <w:tcW w:w="6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2"/>
        </w:trPr>
        <w:tc>
          <w:tcPr>
            <w:tcW w:w="4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Vesting Schedule:</w:t>
            </w:r>
          </w:p>
        </w:tc>
        <w:tc>
          <w:tcPr>
            <w:tcW w:w="10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80" w:type="dxa"/>
            <w:vAlign w:val="bottom"/>
            <w:gridSpan w:val="3"/>
          </w:tcPr>
          <w:p>
            <w:pPr>
              <w:jc w:val="center"/>
              <w:ind w:left="521"/>
              <w:spacing w:after="0"/>
              <w:rPr>
                <w:sz w:val="20"/>
                <w:szCs w:val="20"/>
                <w:color w:val="auto"/>
              </w:rPr>
            </w:pPr>
            <w:r>
              <w:rPr>
                <w:rFonts w:ascii="Times New Roman" w:cs="Times New Roman" w:eastAsia="Times New Roman" w:hAnsi="Times New Roman"/>
                <w:sz w:val="20"/>
                <w:szCs w:val="20"/>
                <w:color w:val="auto"/>
                <w:w w:val="98"/>
              </w:rPr>
              <w:t>Percentage of Option Which</w:t>
            </w:r>
          </w:p>
        </w:tc>
        <w:tc>
          <w:tcPr>
            <w:tcW w:w="0" w:type="dxa"/>
            <w:vAlign w:val="bottom"/>
          </w:tcPr>
          <w:p>
            <w:pPr>
              <w:spacing w:after="0"/>
              <w:rPr>
                <w:sz w:val="1"/>
                <w:szCs w:val="1"/>
                <w:color w:val="auto"/>
              </w:rPr>
            </w:pPr>
          </w:p>
        </w:tc>
      </w:tr>
      <w:tr>
        <w:trPr>
          <w:trHeight w:val="212"/>
        </w:trPr>
        <w:tc>
          <w:tcPr>
            <w:tcW w:w="4180" w:type="dxa"/>
            <w:vAlign w:val="bottom"/>
          </w:tcPr>
          <w:p>
            <w:pPr>
              <w:spacing w:after="0"/>
              <w:rPr>
                <w:sz w:val="18"/>
                <w:szCs w:val="18"/>
                <w:color w:val="auto"/>
              </w:rPr>
            </w:pPr>
          </w:p>
        </w:tc>
        <w:tc>
          <w:tcPr>
            <w:tcW w:w="3740" w:type="dxa"/>
            <w:vAlign w:val="bottom"/>
            <w:gridSpan w:val="3"/>
            <w:vMerge w:val="restart"/>
          </w:tcPr>
          <w:p>
            <w:pPr>
              <w:jc w:val="center"/>
              <w:ind w:left="321"/>
              <w:spacing w:after="0"/>
              <w:rPr>
                <w:sz w:val="20"/>
                <w:szCs w:val="20"/>
                <w:color w:val="auto"/>
              </w:rPr>
            </w:pPr>
            <w:r>
              <w:rPr>
                <w:rFonts w:ascii="Times New Roman" w:cs="Times New Roman" w:eastAsia="Times New Roman" w:hAnsi="Times New Roman"/>
                <w:sz w:val="20"/>
                <w:szCs w:val="20"/>
                <w:color w:val="auto"/>
                <w:w w:val="98"/>
              </w:rPr>
              <w:t>Initial Exercisability Date</w:t>
            </w:r>
          </w:p>
        </w:tc>
        <w:tc>
          <w:tcPr>
            <w:tcW w:w="2880" w:type="dxa"/>
            <w:vAlign w:val="bottom"/>
            <w:gridSpan w:val="3"/>
          </w:tcPr>
          <w:p>
            <w:pPr>
              <w:jc w:val="center"/>
              <w:ind w:left="521"/>
              <w:spacing w:after="0" w:line="212" w:lineRule="exact"/>
              <w:rPr>
                <w:sz w:val="20"/>
                <w:szCs w:val="20"/>
                <w:color w:val="auto"/>
              </w:rPr>
            </w:pPr>
            <w:r>
              <w:rPr>
                <w:rFonts w:ascii="Times New Roman" w:cs="Times New Roman" w:eastAsia="Times New Roman" w:hAnsi="Times New Roman"/>
                <w:sz w:val="20"/>
                <w:szCs w:val="20"/>
                <w:color w:val="auto"/>
                <w:w w:val="98"/>
              </w:rPr>
              <w:t>Becomes First Exercisable</w:t>
            </w:r>
          </w:p>
        </w:tc>
        <w:tc>
          <w:tcPr>
            <w:tcW w:w="0" w:type="dxa"/>
            <w:vAlign w:val="bottom"/>
          </w:tcPr>
          <w:p>
            <w:pPr>
              <w:spacing w:after="0"/>
              <w:rPr>
                <w:sz w:val="1"/>
                <w:szCs w:val="1"/>
                <w:color w:val="auto"/>
              </w:rPr>
            </w:pPr>
          </w:p>
        </w:tc>
      </w:tr>
      <w:tr>
        <w:trPr>
          <w:trHeight w:val="210"/>
        </w:trPr>
        <w:tc>
          <w:tcPr>
            <w:tcW w:w="4180" w:type="dxa"/>
            <w:vAlign w:val="bottom"/>
          </w:tcPr>
          <w:p>
            <w:pPr>
              <w:spacing w:after="0"/>
              <w:rPr>
                <w:sz w:val="18"/>
                <w:szCs w:val="18"/>
                <w:color w:val="auto"/>
              </w:rPr>
            </w:pPr>
          </w:p>
        </w:tc>
        <w:tc>
          <w:tcPr>
            <w:tcW w:w="3740" w:type="dxa"/>
            <w:vAlign w:val="bottom"/>
            <w:gridSpan w:val="3"/>
            <w:vMerge w:val="continue"/>
          </w:tcPr>
          <w:p>
            <w:pPr>
              <w:spacing w:after="0"/>
              <w:rPr>
                <w:sz w:val="18"/>
                <w:szCs w:val="18"/>
                <w:color w:val="auto"/>
              </w:rPr>
            </w:pPr>
          </w:p>
        </w:tc>
        <w:tc>
          <w:tcPr>
            <w:tcW w:w="18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11"/>
        </w:trPr>
        <w:tc>
          <w:tcPr>
            <w:tcW w:w="4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_______________</w:t>
            </w:r>
          </w:p>
        </w:tc>
        <w:tc>
          <w:tcPr>
            <w:tcW w:w="640" w:type="dxa"/>
            <w:vAlign w:val="bottom"/>
          </w:tcPr>
          <w:p>
            <w:pPr>
              <w:spacing w:after="0"/>
              <w:rPr>
                <w:sz w:val="24"/>
                <w:szCs w:val="24"/>
                <w:color w:val="auto"/>
              </w:rPr>
            </w:pPr>
          </w:p>
        </w:tc>
        <w:tc>
          <w:tcPr>
            <w:tcW w:w="2800" w:type="dxa"/>
            <w:vAlign w:val="bottom"/>
            <w:gridSpan w:val="2"/>
          </w:tcPr>
          <w:p>
            <w:pPr>
              <w:jc w:val="center"/>
              <w:ind w:left="601"/>
              <w:spacing w:after="0"/>
              <w:rPr>
                <w:sz w:val="20"/>
                <w:szCs w:val="20"/>
                <w:color w:val="auto"/>
              </w:rPr>
            </w:pPr>
            <w:r>
              <w:rPr>
                <w:rFonts w:ascii="Times New Roman" w:cs="Times New Roman" w:eastAsia="Times New Roman" w:hAnsi="Times New Roman"/>
                <w:sz w:val="20"/>
                <w:szCs w:val="20"/>
                <w:color w:val="auto"/>
                <w:w w:val="99"/>
              </w:rPr>
              <w:t>_______________</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180" w:type="dxa"/>
            <w:vAlign w:val="bottom"/>
          </w:tcPr>
          <w:p>
            <w:pPr>
              <w:spacing w:after="0"/>
              <w:rPr>
                <w:sz w:val="19"/>
                <w:szCs w:val="19"/>
                <w:color w:val="auto"/>
              </w:rPr>
            </w:pPr>
          </w:p>
        </w:tc>
        <w:tc>
          <w:tcPr>
            <w:tcW w:w="3100" w:type="dxa"/>
            <w:vAlign w:val="bottom"/>
            <w:gridSpan w:val="2"/>
          </w:tcPr>
          <w:p>
            <w:pPr>
              <w:jc w:val="center"/>
              <w:ind w:left="961"/>
              <w:spacing w:after="0"/>
              <w:rPr>
                <w:sz w:val="20"/>
                <w:szCs w:val="20"/>
                <w:color w:val="auto"/>
              </w:rPr>
            </w:pPr>
            <w:r>
              <w:rPr>
                <w:rFonts w:ascii="Times New Roman" w:cs="Times New Roman" w:eastAsia="Times New Roman" w:hAnsi="Times New Roman"/>
                <w:sz w:val="20"/>
                <w:szCs w:val="20"/>
                <w:color w:val="auto"/>
                <w:w w:val="98"/>
              </w:rPr>
              <w:t>_______________</w:t>
            </w:r>
          </w:p>
        </w:tc>
        <w:tc>
          <w:tcPr>
            <w:tcW w:w="640" w:type="dxa"/>
            <w:vAlign w:val="bottom"/>
          </w:tcPr>
          <w:p>
            <w:pPr>
              <w:spacing w:after="0"/>
              <w:rPr>
                <w:sz w:val="19"/>
                <w:szCs w:val="19"/>
                <w:color w:val="auto"/>
              </w:rPr>
            </w:pPr>
          </w:p>
        </w:tc>
        <w:tc>
          <w:tcPr>
            <w:tcW w:w="2800" w:type="dxa"/>
            <w:vAlign w:val="bottom"/>
            <w:gridSpan w:val="2"/>
          </w:tcPr>
          <w:p>
            <w:pPr>
              <w:jc w:val="center"/>
              <w:ind w:left="601"/>
              <w:spacing w:after="0"/>
              <w:rPr>
                <w:sz w:val="20"/>
                <w:szCs w:val="20"/>
                <w:color w:val="auto"/>
              </w:rPr>
            </w:pPr>
            <w:r>
              <w:rPr>
                <w:rFonts w:ascii="Times New Roman" w:cs="Times New Roman" w:eastAsia="Times New Roman" w:hAnsi="Times New Roman"/>
                <w:sz w:val="20"/>
                <w:szCs w:val="20"/>
                <w:color w:val="auto"/>
                <w:w w:val="99"/>
              </w:rPr>
              <w:t>_______________</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spacing w:after="0"/>
              <w:rPr>
                <w:sz w:val="19"/>
                <w:szCs w:val="19"/>
                <w:color w:val="auto"/>
              </w:rPr>
            </w:pPr>
          </w:p>
        </w:tc>
        <w:tc>
          <w:tcPr>
            <w:tcW w:w="3100" w:type="dxa"/>
            <w:vAlign w:val="bottom"/>
            <w:gridSpan w:val="2"/>
          </w:tcPr>
          <w:p>
            <w:pPr>
              <w:jc w:val="center"/>
              <w:ind w:left="961"/>
              <w:spacing w:after="0"/>
              <w:rPr>
                <w:sz w:val="20"/>
                <w:szCs w:val="20"/>
                <w:color w:val="auto"/>
              </w:rPr>
            </w:pPr>
            <w:r>
              <w:rPr>
                <w:rFonts w:ascii="Times New Roman" w:cs="Times New Roman" w:eastAsia="Times New Roman" w:hAnsi="Times New Roman"/>
                <w:sz w:val="20"/>
                <w:szCs w:val="20"/>
                <w:color w:val="auto"/>
                <w:w w:val="98"/>
              </w:rPr>
              <w:t>_______________</w:t>
            </w:r>
          </w:p>
        </w:tc>
        <w:tc>
          <w:tcPr>
            <w:tcW w:w="640" w:type="dxa"/>
            <w:vAlign w:val="bottom"/>
          </w:tcPr>
          <w:p>
            <w:pPr>
              <w:spacing w:after="0"/>
              <w:rPr>
                <w:sz w:val="19"/>
                <w:szCs w:val="19"/>
                <w:color w:val="auto"/>
              </w:rPr>
            </w:pPr>
          </w:p>
        </w:tc>
        <w:tc>
          <w:tcPr>
            <w:tcW w:w="2800" w:type="dxa"/>
            <w:vAlign w:val="bottom"/>
            <w:gridSpan w:val="2"/>
          </w:tcPr>
          <w:p>
            <w:pPr>
              <w:jc w:val="center"/>
              <w:ind w:left="601"/>
              <w:spacing w:after="0"/>
              <w:rPr>
                <w:sz w:val="20"/>
                <w:szCs w:val="20"/>
                <w:color w:val="auto"/>
              </w:rPr>
            </w:pPr>
            <w:r>
              <w:rPr>
                <w:rFonts w:ascii="Times New Roman" w:cs="Times New Roman" w:eastAsia="Times New Roman" w:hAnsi="Times New Roman"/>
                <w:sz w:val="20"/>
                <w:szCs w:val="20"/>
                <w:color w:val="auto"/>
                <w:w w:val="99"/>
              </w:rPr>
              <w:t>_______________</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4180" w:type="dxa"/>
            <w:vAlign w:val="bottom"/>
          </w:tcPr>
          <w:p>
            <w:pPr>
              <w:spacing w:after="0"/>
              <w:rPr>
                <w:sz w:val="22"/>
                <w:szCs w:val="22"/>
                <w:color w:val="auto"/>
              </w:rPr>
            </w:pPr>
          </w:p>
        </w:tc>
        <w:tc>
          <w:tcPr>
            <w:tcW w:w="3100" w:type="dxa"/>
            <w:vAlign w:val="bottom"/>
            <w:gridSpan w:val="2"/>
          </w:tcPr>
          <w:p>
            <w:pPr>
              <w:jc w:val="center"/>
              <w:ind w:left="961"/>
              <w:spacing w:after="0"/>
              <w:rPr>
                <w:sz w:val="20"/>
                <w:szCs w:val="20"/>
                <w:color w:val="auto"/>
              </w:rPr>
            </w:pPr>
            <w:r>
              <w:rPr>
                <w:rFonts w:ascii="Times New Roman" w:cs="Times New Roman" w:eastAsia="Times New Roman" w:hAnsi="Times New Roman"/>
                <w:sz w:val="20"/>
                <w:szCs w:val="20"/>
                <w:color w:val="auto"/>
                <w:w w:val="98"/>
              </w:rPr>
              <w:t>_______________</w:t>
            </w:r>
          </w:p>
        </w:tc>
        <w:tc>
          <w:tcPr>
            <w:tcW w:w="640" w:type="dxa"/>
            <w:vAlign w:val="bottom"/>
          </w:tcPr>
          <w:p>
            <w:pPr>
              <w:spacing w:after="0"/>
              <w:rPr>
                <w:sz w:val="22"/>
                <w:szCs w:val="22"/>
                <w:color w:val="auto"/>
              </w:rPr>
            </w:pPr>
          </w:p>
        </w:tc>
        <w:tc>
          <w:tcPr>
            <w:tcW w:w="2800" w:type="dxa"/>
            <w:vAlign w:val="bottom"/>
            <w:gridSpan w:val="2"/>
          </w:tcPr>
          <w:p>
            <w:pPr>
              <w:jc w:val="center"/>
              <w:ind w:left="601"/>
              <w:spacing w:after="0"/>
              <w:rPr>
                <w:sz w:val="20"/>
                <w:szCs w:val="20"/>
                <w:color w:val="auto"/>
              </w:rPr>
            </w:pPr>
            <w:r>
              <w:rPr>
                <w:rFonts w:ascii="Times New Roman" w:cs="Times New Roman" w:eastAsia="Times New Roman" w:hAnsi="Times New Roman"/>
                <w:sz w:val="20"/>
                <w:szCs w:val="20"/>
                <w:color w:val="auto"/>
                <w:w w:val="99"/>
              </w:rPr>
              <w:t>_______________</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13"/>
        </w:trPr>
        <w:tc>
          <w:tcPr>
            <w:tcW w:w="4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Type of Option:</w:t>
            </w:r>
          </w:p>
        </w:tc>
        <w:tc>
          <w:tcPr>
            <w:tcW w:w="374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Nonqualified Stock Option</w:t>
            </w:r>
          </w:p>
        </w:tc>
        <w:tc>
          <w:tcPr>
            <w:tcW w:w="1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9"/>
          <w:szCs w:val="19"/>
          <w:color w:val="auto"/>
        </w:rPr>
        <w:t>By his or her signature and the Company’s signature below, Grantee agrees to be bound by the terms and conditions of the Plan, the Agreement and the Grant Notice. Grantee has reviewed the Agreement, the Plan and the Grant Notice in their entirety, has had an opportunity to obtain the advice of counsel prior to executing the Grant Notice and fully understands all provisions of the Grant Notice, the Agreement and the Plan.</w:t>
      </w:r>
    </w:p>
    <w:p>
      <w:pPr>
        <w:spacing w:after="0" w:line="1" w:lineRule="exact"/>
        <w:rPr>
          <w:sz w:val="20"/>
          <w:szCs w:val="20"/>
          <w:color w:val="auto"/>
        </w:rPr>
      </w:pPr>
    </w:p>
    <w:p>
      <w:pPr>
        <w:ind w:right="280"/>
        <w:spacing w:after="0" w:line="246" w:lineRule="auto"/>
        <w:rPr>
          <w:sz w:val="20"/>
          <w:szCs w:val="20"/>
          <w:color w:val="auto"/>
        </w:rPr>
      </w:pPr>
      <w:r>
        <w:rPr>
          <w:rFonts w:ascii="Times New Roman" w:cs="Times New Roman" w:eastAsia="Times New Roman" w:hAnsi="Times New Roman"/>
          <w:sz w:val="20"/>
          <w:szCs w:val="20"/>
          <w:color w:val="auto"/>
        </w:rPr>
        <w:t>Grantee hereby agrees to accept as binding, conclusive and final all decisions or interpretations of the Committee upon any questions arising under the Plan, the Grant Notice or the Agreement.</w:t>
      </w:r>
    </w:p>
    <w:p>
      <w:pPr>
        <w:sectPr>
          <w:pgSz w:w="11900" w:h="16838" w:orient="portrait"/>
          <w:cols w:equalWidth="0" w:num="1">
            <w:col w:w="11420"/>
          </w:cols>
          <w:pgMar w:left="240" w:top="612" w:right="239" w:bottom="1440" w:gutter="0" w:footer="0" w:header="0"/>
        </w:sectPr>
      </w:pPr>
    </w:p>
    <w:bookmarkStart w:id="47" w:name="page48"/>
    <w:bookmarkEnd w:id="47"/>
    <w:tbl>
      <w:tblPr>
        <w:tblLayout w:type="fixed"/>
        <w:tblInd w:w="40" w:type="dxa"/>
        <w:tblCellMar>
          <w:top w:w="0" w:type="dxa"/>
          <w:left w:w="0" w:type="dxa"/>
          <w:bottom w:w="0" w:type="dxa"/>
          <w:right w:w="0" w:type="dxa"/>
        </w:tblCellMar>
      </w:tblPr>
      <w:tr>
        <w:trPr>
          <w:trHeight w:val="262"/>
        </w:trPr>
        <w:tc>
          <w:tcPr>
            <w:tcW w:w="12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NN, INC.</w:t>
            </w:r>
          </w:p>
        </w:tc>
        <w:tc>
          <w:tcPr>
            <w:tcW w:w="39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0" w:type="dxa"/>
            <w:vAlign w:val="bottom"/>
            <w:gridSpan w:val="2"/>
          </w:tcPr>
          <w:p>
            <w:pPr>
              <w:ind w:left="380"/>
              <w:spacing w:after="0"/>
              <w:rPr>
                <w:sz w:val="20"/>
                <w:szCs w:val="20"/>
                <w:color w:val="auto"/>
              </w:rPr>
            </w:pPr>
            <w:r>
              <w:rPr>
                <w:rFonts w:ascii="Times New Roman" w:cs="Times New Roman" w:eastAsia="Times New Roman" w:hAnsi="Times New Roman"/>
                <w:sz w:val="20"/>
                <w:szCs w:val="20"/>
                <w:b w:val="1"/>
                <w:bCs w:val="1"/>
                <w:color w:val="auto"/>
              </w:rPr>
              <w:t>GRANTEE</w:t>
            </w:r>
          </w:p>
        </w:tc>
        <w:tc>
          <w:tcPr>
            <w:tcW w:w="4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78"/>
        </w:trPr>
        <w:tc>
          <w:tcPr>
            <w:tcW w:w="12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By:</w:t>
            </w:r>
          </w:p>
        </w:tc>
        <w:tc>
          <w:tcPr>
            <w:tcW w:w="4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2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Print Name:</w:t>
            </w:r>
          </w:p>
        </w:tc>
        <w:tc>
          <w:tcPr>
            <w:tcW w:w="3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gridSpan w:val="2"/>
            <w:vMerge w:val="restart"/>
          </w:tcPr>
          <w:p>
            <w:pPr>
              <w:ind w:left="380"/>
              <w:spacing w:after="0"/>
              <w:rPr>
                <w:sz w:val="20"/>
                <w:szCs w:val="20"/>
                <w:color w:val="auto"/>
              </w:rPr>
            </w:pPr>
            <w:r>
              <w:rPr>
                <w:rFonts w:ascii="Times New Roman" w:cs="Times New Roman" w:eastAsia="Times New Roman" w:hAnsi="Times New Roman"/>
                <w:sz w:val="20"/>
                <w:szCs w:val="20"/>
                <w:color w:val="auto"/>
              </w:rPr>
              <w:t>Print Name:</w:t>
            </w:r>
          </w:p>
        </w:tc>
        <w:tc>
          <w:tcPr>
            <w:tcW w:w="4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1220" w:type="dxa"/>
            <w:vAlign w:val="bottom"/>
            <w:vMerge w:val="continue"/>
          </w:tcPr>
          <w:p>
            <w:pPr>
              <w:spacing w:after="0"/>
              <w:rPr>
                <w:sz w:val="21"/>
                <w:szCs w:val="21"/>
                <w:color w:val="auto"/>
              </w:rPr>
            </w:pPr>
          </w:p>
        </w:tc>
        <w:tc>
          <w:tcPr>
            <w:tcW w:w="3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gridSpan w:val="2"/>
            <w:vMerge w:val="continue"/>
          </w:tcPr>
          <w:p>
            <w:pPr>
              <w:spacing w:after="0"/>
              <w:rPr>
                <w:sz w:val="21"/>
                <w:szCs w:val="21"/>
                <w:color w:val="auto"/>
              </w:rPr>
            </w:pPr>
          </w:p>
        </w:tc>
        <w:tc>
          <w:tcPr>
            <w:tcW w:w="4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12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Title:</w:t>
            </w:r>
          </w:p>
        </w:tc>
        <w:tc>
          <w:tcPr>
            <w:tcW w:w="3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gridSpan w:val="2"/>
            <w:vMerge w:val="restart"/>
          </w:tcPr>
          <w:p>
            <w:pPr>
              <w:ind w:left="380"/>
              <w:spacing w:after="0"/>
              <w:rPr>
                <w:sz w:val="20"/>
                <w:szCs w:val="20"/>
                <w:color w:val="auto"/>
              </w:rPr>
            </w:pPr>
            <w:r>
              <w:rPr>
                <w:rFonts w:ascii="Times New Roman" w:cs="Times New Roman" w:eastAsia="Times New Roman" w:hAnsi="Times New Roman"/>
                <w:sz w:val="20"/>
                <w:szCs w:val="20"/>
                <w:color w:val="auto"/>
              </w:rPr>
              <w:t>Address:</w:t>
            </w:r>
          </w:p>
        </w:tc>
        <w:tc>
          <w:tcPr>
            <w:tcW w:w="4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7"/>
        </w:trPr>
        <w:tc>
          <w:tcPr>
            <w:tcW w:w="1220" w:type="dxa"/>
            <w:vAlign w:val="bottom"/>
            <w:vMerge w:val="continue"/>
          </w:tcPr>
          <w:p>
            <w:pPr>
              <w:spacing w:after="0"/>
              <w:rPr>
                <w:sz w:val="24"/>
                <w:szCs w:val="24"/>
                <w:color w:val="auto"/>
              </w:rPr>
            </w:pPr>
          </w:p>
        </w:tc>
        <w:tc>
          <w:tcPr>
            <w:tcW w:w="3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gridSpan w:val="2"/>
            <w:vMerge w:val="continue"/>
          </w:tcPr>
          <w:p>
            <w:pPr>
              <w:spacing w:after="0"/>
              <w:rPr>
                <w:sz w:val="24"/>
                <w:szCs w:val="24"/>
                <w:color w:val="auto"/>
              </w:rPr>
            </w:pPr>
          </w:p>
        </w:tc>
        <w:tc>
          <w:tcPr>
            <w:tcW w:w="4440" w:type="dxa"/>
            <w:vAlign w:val="bottom"/>
          </w:tcPr>
          <w:p>
            <w:pPr>
              <w:jc w:val="right"/>
              <w:ind w:right="1061"/>
              <w:spacing w:after="0"/>
              <w:rPr>
                <w:sz w:val="20"/>
                <w:szCs w:val="20"/>
                <w:color w:val="auto"/>
              </w:rPr>
            </w:pPr>
            <w:r>
              <w:rPr>
                <w:rFonts w:ascii="Times New Roman" w:cs="Times New Roman" w:eastAsia="Times New Roman" w:hAnsi="Times New Roman"/>
                <w:sz w:val="20"/>
                <w:szCs w:val="20"/>
                <w:color w:val="auto"/>
                <w:w w:val="98"/>
              </w:rPr>
              <w:t>_________________________________</w:t>
            </w:r>
          </w:p>
        </w:tc>
        <w:tc>
          <w:tcPr>
            <w:tcW w:w="0" w:type="dxa"/>
            <w:vAlign w:val="bottom"/>
          </w:tcPr>
          <w:p>
            <w:pPr>
              <w:spacing w:after="0"/>
              <w:rPr>
                <w:sz w:val="1"/>
                <w:szCs w:val="1"/>
                <w:color w:val="auto"/>
              </w:rPr>
            </w:pPr>
          </w:p>
        </w:tc>
      </w:tr>
      <w:tr>
        <w:trPr>
          <w:trHeight w:val="21"/>
        </w:trPr>
        <w:tc>
          <w:tcPr>
            <w:tcW w:w="1220" w:type="dxa"/>
            <w:vAlign w:val="bottom"/>
          </w:tcPr>
          <w:p>
            <w:pPr>
              <w:spacing w:after="0" w:line="20" w:lineRule="exact"/>
              <w:rPr>
                <w:sz w:val="1"/>
                <w:szCs w:val="1"/>
                <w:color w:val="auto"/>
              </w:rPr>
            </w:pPr>
          </w:p>
        </w:tc>
        <w:tc>
          <w:tcPr>
            <w:tcW w:w="3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40" w:type="dxa"/>
            <w:vAlign w:val="bottom"/>
            <w:vMerge w:val="restart"/>
          </w:tcPr>
          <w:p>
            <w:pPr>
              <w:jc w:val="right"/>
              <w:ind w:right="1101"/>
              <w:spacing w:after="0"/>
              <w:rPr>
                <w:sz w:val="20"/>
                <w:szCs w:val="20"/>
                <w:color w:val="auto"/>
              </w:rPr>
            </w:pPr>
            <w:r>
              <w:rPr>
                <w:rFonts w:ascii="Times New Roman" w:cs="Times New Roman" w:eastAsia="Times New Roman" w:hAnsi="Times New Roman"/>
                <w:sz w:val="20"/>
                <w:szCs w:val="20"/>
                <w:color w:val="auto"/>
              </w:rPr>
              <w:t>________________________________</w:t>
            </w:r>
          </w:p>
        </w:tc>
        <w:tc>
          <w:tcPr>
            <w:tcW w:w="0" w:type="dxa"/>
            <w:vAlign w:val="bottom"/>
          </w:tcPr>
          <w:p>
            <w:pPr>
              <w:spacing w:after="0"/>
              <w:rPr>
                <w:sz w:val="1"/>
                <w:szCs w:val="1"/>
                <w:color w:val="auto"/>
              </w:rPr>
            </w:pPr>
          </w:p>
        </w:tc>
      </w:tr>
      <w:tr>
        <w:trPr>
          <w:trHeight w:val="324"/>
        </w:trPr>
        <w:tc>
          <w:tcPr>
            <w:tcW w:w="12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78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b w:val="1"/>
                <w:bCs w:val="1"/>
                <w:color w:val="auto"/>
              </w:rPr>
              <w:t>EXHIBIT A</w:t>
            </w:r>
          </w:p>
        </w:tc>
        <w:tc>
          <w:tcPr>
            <w:tcW w:w="44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2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780" w:type="dxa"/>
            <w:vAlign w:val="bottom"/>
            <w:gridSpan w:val="3"/>
            <w:vMerge w:val="continue"/>
          </w:tcPr>
          <w:p>
            <w:pPr>
              <w:spacing w:after="0"/>
              <w:rPr>
                <w:sz w:val="18"/>
                <w:szCs w:val="18"/>
                <w:color w:val="auto"/>
              </w:rPr>
            </w:pPr>
          </w:p>
        </w:tc>
        <w:tc>
          <w:tcPr>
            <w:tcW w:w="4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NONQUALIFIED STOCK OPTION AGREEMENT</w:t>
      </w:r>
    </w:p>
    <w:p>
      <w:pPr>
        <w:spacing w:after="0" w:line="23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Pursuant to the Grant Notice to which this Agreement is attached, the Company has granted to Grantee an Option under the Plan to purchase the number of Shares set forth in the Grant Notice.</w:t>
      </w:r>
    </w:p>
    <w:p>
      <w:pPr>
        <w:spacing w:after="0" w:line="16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2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207"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Capitalized terms not specifically defined herein shall have the meanings specified in the Plan or the Grant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Notice.</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1.2 </w:t>
      </w:r>
      <w:r>
        <w:rPr>
          <w:rFonts w:ascii="Times New Roman" w:cs="Times New Roman" w:eastAsia="Times New Roman" w:hAnsi="Times New Roman"/>
          <w:sz w:val="20"/>
          <w:szCs w:val="20"/>
          <w:u w:val="single" w:color="auto"/>
          <w:color w:val="auto"/>
        </w:rPr>
        <w:t>Incorporation of Terms of Plan</w:t>
      </w:r>
      <w:r>
        <w:rPr>
          <w:rFonts w:ascii="Times New Roman" w:cs="Times New Roman" w:eastAsia="Times New Roman" w:hAnsi="Times New Roman"/>
          <w:sz w:val="20"/>
          <w:szCs w:val="20"/>
          <w:color w:val="auto"/>
        </w:rPr>
        <w:t>. The Option is subject to the terms and conditions set forth in this Agreement, the Grant Notice and the Plan, which are incorporated herein by reference. In the event of any inconsistency between the Plan and this Agreement, the terms of the Plan shall control.</w:t>
      </w:r>
    </w:p>
    <w:p>
      <w:pPr>
        <w:spacing w:after="0" w:line="188"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 xml:space="preserve">1.3 </w:t>
      </w:r>
      <w:r>
        <w:rPr>
          <w:rFonts w:ascii="Times New Roman" w:cs="Times New Roman" w:eastAsia="Times New Roman" w:hAnsi="Times New Roman"/>
          <w:sz w:val="20"/>
          <w:szCs w:val="20"/>
          <w:u w:val="single" w:color="auto"/>
          <w:color w:val="auto"/>
        </w:rPr>
        <w:t>Nonqualifed Stock Option</w:t>
      </w:r>
      <w:r>
        <w:rPr>
          <w:rFonts w:ascii="Times New Roman" w:cs="Times New Roman" w:eastAsia="Times New Roman" w:hAnsi="Times New Roman"/>
          <w:sz w:val="20"/>
          <w:szCs w:val="20"/>
          <w:color w:val="auto"/>
        </w:rPr>
        <w:t>. This Option is intended not to qualify as an incentive stock option within the meaning of Section 422 of the Code.</w:t>
      </w:r>
    </w:p>
    <w:p>
      <w:pPr>
        <w:spacing w:after="0" w:line="39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2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b w:val="1"/>
          <w:bCs w:val="1"/>
          <w:color w:val="auto"/>
        </w:rPr>
        <w:t>GRANT OF OPTION</w:t>
      </w:r>
    </w:p>
    <w:p>
      <w:pPr>
        <w:spacing w:after="0" w:line="20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2.1 </w:t>
      </w:r>
      <w:r>
        <w:rPr>
          <w:rFonts w:ascii="Times New Roman" w:cs="Times New Roman" w:eastAsia="Times New Roman" w:hAnsi="Times New Roman"/>
          <w:sz w:val="20"/>
          <w:szCs w:val="20"/>
          <w:u w:val="single" w:color="auto"/>
          <w:color w:val="auto"/>
        </w:rPr>
        <w:t>Grant of Option</w:t>
      </w:r>
      <w:r>
        <w:rPr>
          <w:rFonts w:ascii="Times New Roman" w:cs="Times New Roman" w:eastAsia="Times New Roman" w:hAnsi="Times New Roman"/>
          <w:sz w:val="20"/>
          <w:szCs w:val="20"/>
          <w:color w:val="auto"/>
        </w:rPr>
        <w:t>. In consideration of Grantee’s past and/or continued employment with or service to the Company or a Subsidiary and for other good and valuable consideration, effective as of the grant date set forth in the Grant Notice (the “</w:t>
      </w:r>
      <w:r>
        <w:rPr>
          <w:rFonts w:ascii="Times New Roman" w:cs="Times New Roman" w:eastAsia="Times New Roman" w:hAnsi="Times New Roman"/>
          <w:sz w:val="20"/>
          <w:szCs w:val="20"/>
          <w:u w:val="single" w:color="auto"/>
          <w:color w:val="auto"/>
        </w:rPr>
        <w:t>Grant Date</w:t>
      </w:r>
      <w:r>
        <w:rPr>
          <w:rFonts w:ascii="Times New Roman" w:cs="Times New Roman" w:eastAsia="Times New Roman" w:hAnsi="Times New Roman"/>
          <w:sz w:val="20"/>
          <w:szCs w:val="20"/>
          <w:color w:val="auto"/>
        </w:rPr>
        <w:t>”), the Company has granted to Grantee the Option to purchase any part or all of an aggregate of the number of Shares set forth in the Grant Notice, upon the terms and conditions set forth in the Grant Notice, the Plan and this Agreement, subject to adjustments as provided in Section 4.2 of the Plan.</w:t>
      </w:r>
    </w:p>
    <w:p>
      <w:pPr>
        <w:spacing w:after="0" w:line="194"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19"/>
          <w:szCs w:val="19"/>
          <w:u w:val="single" w:color="auto"/>
          <w:color w:val="auto"/>
        </w:rPr>
        <w:t>Exercise Price</w:t>
      </w:r>
      <w:r>
        <w:rPr>
          <w:rFonts w:ascii="Times New Roman" w:cs="Times New Roman" w:eastAsia="Times New Roman" w:hAnsi="Times New Roman"/>
          <w:sz w:val="19"/>
          <w:szCs w:val="19"/>
          <w:color w:val="auto"/>
        </w:rPr>
        <w:t>. The exercise price per Share subject to the Option (the “</w:t>
      </w:r>
      <w:r>
        <w:rPr>
          <w:rFonts w:ascii="Times New Roman" w:cs="Times New Roman" w:eastAsia="Times New Roman" w:hAnsi="Times New Roman"/>
          <w:sz w:val="19"/>
          <w:szCs w:val="19"/>
          <w:u w:val="single" w:color="auto"/>
          <w:color w:val="auto"/>
        </w:rPr>
        <w:t>Exercise Price</w:t>
      </w:r>
      <w:r>
        <w:rPr>
          <w:rFonts w:ascii="Times New Roman" w:cs="Times New Roman" w:eastAsia="Times New Roman" w:hAnsi="Times New Roman"/>
          <w:sz w:val="19"/>
          <w:szCs w:val="19"/>
          <w:color w:val="auto"/>
        </w:rPr>
        <w:t>”) shall be as set forth in the Grant Notice.</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PERIOD OF EXERCISABILITY</w:t>
      </w:r>
    </w:p>
    <w:p>
      <w:pPr>
        <w:sectPr>
          <w:pgSz w:w="11900" w:h="16838" w:orient="portrait"/>
          <w:cols w:equalWidth="0" w:num="1">
            <w:col w:w="11420"/>
          </w:cols>
          <w:pgMar w:left="240" w:top="775" w:right="239" w:bottom="1440" w:gutter="0" w:footer="0" w:header="0"/>
        </w:sectPr>
      </w:pPr>
    </w:p>
    <w:bookmarkStart w:id="48" w:name="page49"/>
    <w:bookmarkEnd w:id="48"/>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u w:val="single" w:color="auto"/>
          <w:color w:val="auto"/>
        </w:rPr>
        <w:t>Commencement of Exercisability</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Sections 3.2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3.3</w:t>
      </w:r>
      <w:r>
        <w:rPr>
          <w:rFonts w:ascii="Times New Roman" w:cs="Times New Roman" w:eastAsia="Times New Roman" w:hAnsi="Times New Roman"/>
          <w:sz w:val="20"/>
          <w:szCs w:val="20"/>
          <w:color w:val="auto"/>
        </w:rPr>
        <w:t xml:space="preserve"> hereof, the Option shall become vested and exercisable in such amounts and at such times as are set forth in the Grant Notice. In the event Grantee Separates from Service, other than in connection with Grantee’s death, Disability or Retirement as defined in </w:t>
      </w:r>
      <w:r>
        <w:rPr>
          <w:rFonts w:ascii="Times New Roman" w:cs="Times New Roman" w:eastAsia="Times New Roman" w:hAnsi="Times New Roman"/>
          <w:sz w:val="20"/>
          <w:szCs w:val="20"/>
          <w:u w:val="single" w:color="auto"/>
          <w:color w:val="auto"/>
        </w:rPr>
        <w:t>Section 3.3(d)</w:t>
      </w:r>
      <w:r>
        <w:rPr>
          <w:rFonts w:ascii="Times New Roman" w:cs="Times New Roman" w:eastAsia="Times New Roman" w:hAnsi="Times New Roman"/>
          <w:sz w:val="20"/>
          <w:szCs w:val="20"/>
          <w:color w:val="auto"/>
        </w:rPr>
        <w:t xml:space="preserve"> hereof, prior to the “Initial Exercisability Date” set forth in the Grant Notice with respect to all or any portion of this Option, all or such portion of this Option that shall not have become exercisable immediately shall be forfeited and not exercisable by the Grantee. In the event Grantee Separates from Service on account of death, Disability or Retirement, this Option shall become 100% vested for the period of time set forth in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xml:space="preserve"> hereof.</w:t>
      </w:r>
    </w:p>
    <w:p>
      <w:pPr>
        <w:spacing w:after="0" w:line="19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u w:val="single" w:color="auto"/>
          <w:color w:val="auto"/>
        </w:rPr>
        <w:t>Duration of Exercisability</w:t>
      </w:r>
      <w:r>
        <w:rPr>
          <w:rFonts w:ascii="Times New Roman" w:cs="Times New Roman" w:eastAsia="Times New Roman" w:hAnsi="Times New Roman"/>
          <w:sz w:val="20"/>
          <w:szCs w:val="20"/>
          <w:color w:val="auto"/>
        </w:rPr>
        <w:t xml:space="preserve">. Once a portion of this Option shall have become exercisable in accordance with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xml:space="preserve"> hereof, such portion shall remain exercisable until it becomes unexercisable under </w:t>
      </w: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rPr>
        <w:t xml:space="preserve"> hereof.</w:t>
      </w:r>
    </w:p>
    <w:p>
      <w:pPr>
        <w:spacing w:after="0" w:line="173"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3.3</w:t>
      </w:r>
      <w:r>
        <w:rPr>
          <w:sz w:val="20"/>
          <w:szCs w:val="20"/>
          <w:color w:val="auto"/>
        </w:rPr>
        <w:tab/>
      </w:r>
      <w:r>
        <w:rPr>
          <w:rFonts w:ascii="Times New Roman" w:cs="Times New Roman" w:eastAsia="Times New Roman" w:hAnsi="Times New Roman"/>
          <w:sz w:val="19"/>
          <w:szCs w:val="19"/>
          <w:u w:val="single" w:color="auto"/>
          <w:color w:val="auto"/>
        </w:rPr>
        <w:t>Expiration of Option</w:t>
      </w:r>
      <w:r>
        <w:rPr>
          <w:rFonts w:ascii="Times New Roman" w:cs="Times New Roman" w:eastAsia="Times New Roman" w:hAnsi="Times New Roman"/>
          <w:sz w:val="19"/>
          <w:szCs w:val="19"/>
          <w:color w:val="auto"/>
        </w:rPr>
        <w:t>. The Option may not be exercised to any extent by anyone after the first to occur of the following events:</w:t>
      </w:r>
    </w:p>
    <w:p>
      <w:pPr>
        <w:spacing w:after="0" w:line="229" w:lineRule="exact"/>
        <w:rPr>
          <w:sz w:val="20"/>
          <w:szCs w:val="20"/>
          <w:color w:val="auto"/>
        </w:rPr>
      </w:pPr>
    </w:p>
    <w:p>
      <w:pPr>
        <w:ind w:left="1720" w:hanging="415"/>
        <w:spacing w:after="0"/>
        <w:tabs>
          <w:tab w:leader="none" w:pos="1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expiration date set forth in the Grant Notice;</w:t>
      </w:r>
    </w:p>
    <w:p>
      <w:pPr>
        <w:spacing w:after="0" w:line="229" w:lineRule="exact"/>
        <w:rPr>
          <w:rFonts w:ascii="Times New Roman" w:cs="Times New Roman" w:eastAsia="Times New Roman" w:hAnsi="Times New Roman"/>
          <w:sz w:val="20"/>
          <w:szCs w:val="20"/>
          <w:color w:val="auto"/>
        </w:rPr>
      </w:pPr>
    </w:p>
    <w:p>
      <w:pPr>
        <w:jc w:val="both"/>
        <w:ind w:firstLine="1305"/>
        <w:spacing w:after="0" w:line="254" w:lineRule="auto"/>
        <w:tabs>
          <w:tab w:leader="none" w:pos="1747"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the Committee may otherwise approve, in the event of Grantee’s Separation from Service other than for Cause or by reason of Grantee’s death, Disability or Retirement, the expiration of three (3) months from the date of Grantee’s Separation from Service;</w:t>
      </w:r>
    </w:p>
    <w:p>
      <w:pPr>
        <w:spacing w:after="0" w:line="188" w:lineRule="exact"/>
        <w:rPr>
          <w:rFonts w:ascii="Times New Roman" w:cs="Times New Roman" w:eastAsia="Times New Roman" w:hAnsi="Times New Roman"/>
          <w:sz w:val="20"/>
          <w:szCs w:val="20"/>
          <w:color w:val="auto"/>
        </w:rPr>
      </w:pPr>
    </w:p>
    <w:p>
      <w:pPr>
        <w:ind w:firstLine="1305"/>
        <w:spacing w:after="0" w:line="269" w:lineRule="auto"/>
        <w:tabs>
          <w:tab w:leader="none" w:pos="1766"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the Committee may otherwise approve, the expiration of two (2) years from the date of Grantee’s Separation from Service by reason of Grantee’s death or Disability; or</w:t>
      </w:r>
    </w:p>
    <w:p>
      <w:pPr>
        <w:spacing w:after="0" w:line="173" w:lineRule="exact"/>
        <w:rPr>
          <w:rFonts w:ascii="Times New Roman" w:cs="Times New Roman" w:eastAsia="Times New Roman" w:hAnsi="Times New Roman"/>
          <w:sz w:val="20"/>
          <w:szCs w:val="20"/>
          <w:color w:val="auto"/>
        </w:rPr>
      </w:pPr>
    </w:p>
    <w:p>
      <w:pPr>
        <w:jc w:val="both"/>
        <w:ind w:firstLine="1305"/>
        <w:spacing w:after="0" w:line="254" w:lineRule="auto"/>
        <w:tabs>
          <w:tab w:leader="none" w:pos="1774"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the Committee may otherwise approve, the expiration of two (2) years from the date of Grantee’s Separation from Service by reason of Grantee’s Retirement; for purposes of this Agreement, “Retirement” means termination of service after the Grantee has completed 10 years of service with the Company and has reached the age of 55.</w:t>
      </w:r>
    </w:p>
    <w:p>
      <w:pPr>
        <w:spacing w:after="0" w:line="188" w:lineRule="exact"/>
        <w:rPr>
          <w:rFonts w:ascii="Times New Roman" w:cs="Times New Roman" w:eastAsia="Times New Roman" w:hAnsi="Times New Roman"/>
          <w:sz w:val="20"/>
          <w:szCs w:val="20"/>
          <w:color w:val="auto"/>
        </w:rPr>
      </w:pPr>
    </w:p>
    <w:p>
      <w:pPr>
        <w:ind w:left="1720" w:hanging="415"/>
        <w:spacing w:after="0"/>
        <w:tabs>
          <w:tab w:leader="none" w:pos="1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the Committee may otherwise approve, upon Grantee’s Separation from Service for Cause.</w:t>
      </w:r>
    </w:p>
    <w:p>
      <w:pPr>
        <w:spacing w:after="0" w:line="229"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3.4 </w:t>
      </w: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Upon the occurrence of a Change in Control, the Committee shall determine the treatment of the Option consistent with the provisions of Section 13 of the Plan.</w:t>
      </w:r>
    </w:p>
    <w:p>
      <w:pPr>
        <w:spacing w:after="0" w:line="173"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3.5</w:t>
      </w:r>
      <w:r>
        <w:rPr>
          <w:sz w:val="20"/>
          <w:szCs w:val="20"/>
          <w:color w:val="auto"/>
        </w:rPr>
        <w:tab/>
      </w:r>
      <w:r>
        <w:rPr>
          <w:rFonts w:ascii="Times New Roman" w:cs="Times New Roman" w:eastAsia="Times New Roman" w:hAnsi="Times New Roman"/>
          <w:sz w:val="19"/>
          <w:szCs w:val="19"/>
          <w:u w:val="single" w:color="auto"/>
          <w:color w:val="auto"/>
        </w:rPr>
        <w:t>Tax Withholding</w:t>
      </w:r>
      <w:r>
        <w:rPr>
          <w:rFonts w:ascii="Times New Roman" w:cs="Times New Roman" w:eastAsia="Times New Roman" w:hAnsi="Times New Roman"/>
          <w:sz w:val="19"/>
          <w:szCs w:val="19"/>
          <w:color w:val="auto"/>
        </w:rPr>
        <w:t>. Notwithstanding any other provision of this Agreement:</w:t>
      </w:r>
    </w:p>
    <w:p>
      <w:pPr>
        <w:spacing w:after="0" w:line="229" w:lineRule="exact"/>
        <w:rPr>
          <w:sz w:val="20"/>
          <w:szCs w:val="20"/>
          <w:color w:val="auto"/>
        </w:rPr>
      </w:pPr>
    </w:p>
    <w:p>
      <w:pPr>
        <w:jc w:val="both"/>
        <w:ind w:firstLine="1305"/>
        <w:spacing w:after="0" w:line="249" w:lineRule="auto"/>
        <w:tabs>
          <w:tab w:leader="none" w:pos="1711"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its Subsidiaries have the authority to deduct or withhold, or require Grantee to remit to the Company or the applicable Subsidiary, an amount sufficient to satisfy applicable federal, state, local and foreign taxes (including the employee portion of any FICA obligation) required by law to be withheld, if any, with respect to any taxable event arising pursuant to this Agreement. The Company and its Subsidiaries may withhold or Grantee may make such payment in one or more of the forms specified below:</w:t>
      </w:r>
    </w:p>
    <w:p>
      <w:pPr>
        <w:spacing w:after="0" w:line="193" w:lineRule="exact"/>
        <w:rPr>
          <w:rFonts w:ascii="Times New Roman" w:cs="Times New Roman" w:eastAsia="Times New Roman" w:hAnsi="Times New Roman"/>
          <w:sz w:val="20"/>
          <w:szCs w:val="20"/>
          <w:color w:val="auto"/>
        </w:rPr>
      </w:pPr>
    </w:p>
    <w:p>
      <w:pPr>
        <w:ind w:left="2340" w:hanging="387"/>
        <w:spacing w:after="0"/>
        <w:tabs>
          <w:tab w:leader="none" w:pos="2340" w:val="left"/>
        </w:tabs>
        <w:numPr>
          <w:ilvl w:val="1"/>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 cash or check made payable to the Company or the Subsidiary with respect to which the withholding obligation</w:t>
      </w:r>
    </w:p>
    <w:p>
      <w:pPr>
        <w:spacing w:after="0" w:line="33" w:lineRule="exact"/>
        <w:rPr>
          <w:rFonts w:ascii="Times New Roman" w:cs="Times New Roman" w:eastAsia="Times New Roman" w:hAnsi="Times New Roman"/>
          <w:sz w:val="19"/>
          <w:szCs w:val="19"/>
          <w:color w:val="auto"/>
        </w:rPr>
      </w:pPr>
    </w:p>
    <w:p>
      <w:pPr>
        <w:ind w:left="6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arises;</w:t>
      </w:r>
    </w:p>
    <w:p>
      <w:pPr>
        <w:sectPr>
          <w:pgSz w:w="11900" w:h="16838" w:orient="portrait"/>
          <w:cols w:equalWidth="0" w:num="1">
            <w:col w:w="11420"/>
          </w:cols>
          <w:pgMar w:left="240" w:top="616" w:right="239" w:bottom="1440" w:gutter="0" w:footer="0" w:header="0"/>
        </w:sectPr>
      </w:pPr>
    </w:p>
    <w:bookmarkStart w:id="49" w:name="page50"/>
    <w:bookmarkEnd w:id="49"/>
    <w:p>
      <w:pPr>
        <w:ind w:left="2392" w:hanging="447"/>
        <w:spacing w:after="0"/>
        <w:tabs>
          <w:tab w:leader="none" w:pos="2392" w:val="left"/>
        </w:tabs>
        <w:numPr>
          <w:ilvl w:val="2"/>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the deduction of such amount from other cash compensation payable to Grantee;</w:t>
      </w:r>
    </w:p>
    <w:p>
      <w:pPr>
        <w:spacing w:after="0" w:line="229" w:lineRule="exact"/>
        <w:rPr>
          <w:rFonts w:ascii="Times New Roman" w:cs="Times New Roman" w:eastAsia="Times New Roman" w:hAnsi="Times New Roman"/>
          <w:sz w:val="20"/>
          <w:szCs w:val="20"/>
          <w:color w:val="auto"/>
        </w:rPr>
      </w:pPr>
    </w:p>
    <w:p>
      <w:pPr>
        <w:jc w:val="both"/>
        <w:ind w:left="652" w:firstLine="1293"/>
        <w:spacing w:after="0" w:line="249" w:lineRule="auto"/>
        <w:tabs>
          <w:tab w:leader="none" w:pos="2500" w:val="left"/>
        </w:tabs>
        <w:numPr>
          <w:ilvl w:val="2"/>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the consent of the Committee, by requesting that the Company withhold a net number of Shares issuable upon the exercise of the Option having a then current Fair Market Value not exceeding the amount necessary to satisfy the withholding obligation of the Company and its Subsidiaries based on the applicable statutory withholding rates for federal, state, local and foreign income tax and payroll tax purposes;</w:t>
      </w:r>
    </w:p>
    <w:p>
      <w:pPr>
        <w:spacing w:after="0" w:line="193" w:lineRule="exact"/>
        <w:rPr>
          <w:rFonts w:ascii="Times New Roman" w:cs="Times New Roman" w:eastAsia="Times New Roman" w:hAnsi="Times New Roman"/>
          <w:sz w:val="20"/>
          <w:szCs w:val="20"/>
          <w:color w:val="auto"/>
        </w:rPr>
      </w:pPr>
    </w:p>
    <w:p>
      <w:pPr>
        <w:jc w:val="both"/>
        <w:ind w:left="652" w:firstLine="1293"/>
        <w:spacing w:after="0" w:line="274" w:lineRule="auto"/>
        <w:tabs>
          <w:tab w:leader="none" w:pos="2440" w:val="left"/>
        </w:tabs>
        <w:numPr>
          <w:ilvl w:val="2"/>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the consent of the Committee, by tendering to the Company Shares having a then current Fair Market Value not exceeding the amount necessary to satisfy the withholding obligation of the Company and its Subsidiaries due upon the exercise of the Option based on the applicable statutory withholding rates for federal, state, local and foreign income tax and payroll tax purposes;</w:t>
      </w:r>
    </w:p>
    <w:p>
      <w:pPr>
        <w:spacing w:after="0" w:line="170" w:lineRule="exact"/>
        <w:rPr>
          <w:rFonts w:ascii="Times New Roman" w:cs="Times New Roman" w:eastAsia="Times New Roman" w:hAnsi="Times New Roman"/>
          <w:sz w:val="19"/>
          <w:szCs w:val="19"/>
          <w:color w:val="auto"/>
        </w:rPr>
      </w:pPr>
    </w:p>
    <w:p>
      <w:pPr>
        <w:jc w:val="both"/>
        <w:ind w:left="652" w:firstLine="1293"/>
        <w:spacing w:after="0" w:line="245" w:lineRule="auto"/>
        <w:tabs>
          <w:tab w:leader="none" w:pos="2427" w:val="left"/>
        </w:tabs>
        <w:numPr>
          <w:ilvl w:val="2"/>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the consent of the Committee, through the delivery of a notice that Grantee has placed a market sell order with a broker designated by the Company with respect to Shares then issuable upon exercise of the Option, and that the broker has been directed to pay a sufficient portion of the net proceeds of the sale to the Company or the Subsidiary with respect to which the withholding obligation arises in satisfaction of such withholding taxes;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payment of such proceeds is then made to the Company or the applicable Subsidiary at such time as may be required by the Committee, but in any event not later than the settlement of such sale; or</w:t>
      </w:r>
    </w:p>
    <w:p>
      <w:pPr>
        <w:spacing w:after="0" w:line="198" w:lineRule="exact"/>
        <w:rPr>
          <w:rFonts w:ascii="Times New Roman" w:cs="Times New Roman" w:eastAsia="Times New Roman" w:hAnsi="Times New Roman"/>
          <w:sz w:val="20"/>
          <w:szCs w:val="20"/>
          <w:color w:val="auto"/>
        </w:rPr>
      </w:pPr>
    </w:p>
    <w:p>
      <w:pPr>
        <w:ind w:left="2432" w:hanging="487"/>
        <w:spacing w:after="0"/>
        <w:tabs>
          <w:tab w:leader="none" w:pos="2432" w:val="left"/>
        </w:tabs>
        <w:numPr>
          <w:ilvl w:val="2"/>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any combination of the foregoing.</w:t>
      </w:r>
    </w:p>
    <w:p>
      <w:pPr>
        <w:spacing w:after="0" w:line="229" w:lineRule="exact"/>
        <w:rPr>
          <w:rFonts w:ascii="Times New Roman" w:cs="Times New Roman" w:eastAsia="Times New Roman" w:hAnsi="Times New Roman"/>
          <w:sz w:val="20"/>
          <w:szCs w:val="20"/>
          <w:color w:val="auto"/>
        </w:rPr>
      </w:pPr>
    </w:p>
    <w:p>
      <w:pPr>
        <w:jc w:val="both"/>
        <w:ind w:left="-8" w:firstLine="1305"/>
        <w:spacing w:after="0" w:line="243" w:lineRule="auto"/>
        <w:tabs>
          <w:tab w:leader="none" w:pos="1744"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withholding taxes arising in connection with the Option, in the event Grantee fails to provide timely payment of all sums required pursuant to </w:t>
      </w:r>
      <w:r>
        <w:rPr>
          <w:rFonts w:ascii="Times New Roman" w:cs="Times New Roman" w:eastAsia="Times New Roman" w:hAnsi="Times New Roman"/>
          <w:sz w:val="20"/>
          <w:szCs w:val="20"/>
          <w:u w:val="single" w:color="auto"/>
          <w:color w:val="auto"/>
        </w:rPr>
        <w:t>Section 3.5(a)</w:t>
      </w:r>
      <w:r>
        <w:rPr>
          <w:rFonts w:ascii="Times New Roman" w:cs="Times New Roman" w:eastAsia="Times New Roman" w:hAnsi="Times New Roman"/>
          <w:sz w:val="20"/>
          <w:szCs w:val="20"/>
          <w:color w:val="auto"/>
        </w:rPr>
        <w:t xml:space="preserve"> hereof, the Company shall have the right and option, but not the obligation, to treat such failure as an election by Grantee to satisfy all or any portion of Grantee’s required payment obligation pursuant to </w:t>
      </w:r>
      <w:r>
        <w:rPr>
          <w:rFonts w:ascii="Times New Roman" w:cs="Times New Roman" w:eastAsia="Times New Roman" w:hAnsi="Times New Roman"/>
          <w:sz w:val="20"/>
          <w:szCs w:val="20"/>
          <w:u w:val="single" w:color="auto"/>
          <w:color w:val="auto"/>
        </w:rPr>
        <w:t>Section 3.5(a)(ii)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3.5(a)(iii)</w:t>
      </w:r>
      <w:r>
        <w:rPr>
          <w:rFonts w:ascii="Times New Roman" w:cs="Times New Roman" w:eastAsia="Times New Roman" w:hAnsi="Times New Roman"/>
          <w:sz w:val="20"/>
          <w:szCs w:val="20"/>
          <w:color w:val="auto"/>
        </w:rPr>
        <w:t xml:space="preserve"> above, or any combination of the foregoing as the Company may determine to be appropriate. The Company shall not be obligated to deliver any certificate representing Shares issuable with respect to the exercise of the Option to Grantee or his or her legal representative unless and until Grantee or his or her legal representative shall have paid or otherwise satisfied in full the amount of all federal, state, local and foreign taxes applicable with respect to the taxable income of Grantee resulting from the exercise of the Option or any other taxable event related to the Option.</w:t>
      </w:r>
    </w:p>
    <w:p>
      <w:pPr>
        <w:spacing w:after="0" w:line="203" w:lineRule="exact"/>
        <w:rPr>
          <w:rFonts w:ascii="Times New Roman" w:cs="Times New Roman" w:eastAsia="Times New Roman" w:hAnsi="Times New Roman"/>
          <w:sz w:val="20"/>
          <w:szCs w:val="20"/>
          <w:color w:val="auto"/>
        </w:rPr>
      </w:pPr>
    </w:p>
    <w:p>
      <w:pPr>
        <w:ind w:left="1772" w:hanging="475"/>
        <w:spacing w:after="0"/>
        <w:tabs>
          <w:tab w:leader="none" w:pos="1772"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any tax withholding obligation arising in connection with the Option will be satisfied under </w:t>
      </w:r>
      <w:r>
        <w:rPr>
          <w:rFonts w:ascii="Times New Roman" w:cs="Times New Roman" w:eastAsia="Times New Roman" w:hAnsi="Times New Roman"/>
          <w:sz w:val="20"/>
          <w:szCs w:val="20"/>
          <w:u w:val="single" w:color="auto"/>
          <w:color w:val="auto"/>
        </w:rPr>
        <w:t>Section 3.5(a)</w:t>
      </w:r>
    </w:p>
    <w:p>
      <w:pPr>
        <w:spacing w:after="0" w:line="21" w:lineRule="exact"/>
        <w:rPr>
          <w:rFonts w:ascii="Times New Roman" w:cs="Times New Roman" w:eastAsia="Times New Roman" w:hAnsi="Times New Roman"/>
          <w:sz w:val="20"/>
          <w:szCs w:val="20"/>
          <w:color w:val="auto"/>
        </w:rPr>
      </w:pPr>
    </w:p>
    <w:p>
      <w:pPr>
        <w:jc w:val="both"/>
        <w:ind w:left="-8" w:firstLine="8"/>
        <w:spacing w:after="0"/>
        <w:tabs>
          <w:tab w:leader="none" w:pos="362" w:val="left"/>
        </w:tabs>
        <w:numPr>
          <w:ilvl w:val="0"/>
          <w:numId w:val="2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above, then the Company may elect to instruct any brokerage firm determined acceptable to the Company for such purpose to sell on Grantee’s behalf a whole number of Shares from those Shares that are issuable upon exercise of the Option as the Company determines to be appropriate to generate cash proceeds sufficient to satisfy the tax withholding obligation and to remit the proceeds of such sale to the Company or the Subsidiary with respect to which the withholding obligation arises. Grantee’s acceptance of this Award constitutes Grantee’s instruction and authorization to the Company and such brokerage firm to complete the transactions described in this </w:t>
      </w:r>
      <w:r>
        <w:rPr>
          <w:rFonts w:ascii="Times New Roman" w:cs="Times New Roman" w:eastAsia="Times New Roman" w:hAnsi="Times New Roman"/>
          <w:sz w:val="20"/>
          <w:szCs w:val="20"/>
          <w:u w:val="single" w:color="auto"/>
          <w:color w:val="auto"/>
        </w:rPr>
        <w:t>Section 3.5(c)</w:t>
      </w:r>
      <w:r>
        <w:rPr>
          <w:rFonts w:ascii="Times New Roman" w:cs="Times New Roman" w:eastAsia="Times New Roman" w:hAnsi="Times New Roman"/>
          <w:sz w:val="20"/>
          <w:szCs w:val="20"/>
          <w:color w:val="auto"/>
        </w:rPr>
        <w:t>, including the transactions described in the previous sentence, as applicable. The Company may refuse to issue any Shares to Grantee until the foregoing tax withholding obligations are satisfied.</w:t>
      </w:r>
    </w:p>
    <w:p>
      <w:pPr>
        <w:spacing w:after="0" w:line="204" w:lineRule="exact"/>
        <w:rPr>
          <w:rFonts w:ascii="Times New Roman" w:cs="Times New Roman" w:eastAsia="Times New Roman" w:hAnsi="Times New Roman"/>
          <w:sz w:val="20"/>
          <w:szCs w:val="20"/>
          <w:u w:val="single" w:color="auto"/>
          <w:color w:val="auto"/>
        </w:rPr>
      </w:pPr>
    </w:p>
    <w:p>
      <w:pPr>
        <w:ind w:left="-8" w:firstLine="1305"/>
        <w:spacing w:after="0" w:line="269" w:lineRule="auto"/>
        <w:tabs>
          <w:tab w:leader="none" w:pos="1734"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Grantee is ultimately liable and responsible for all taxes owed in connection with the Option, regardless of any action the Company or any Subsidiary takes with respect to any tax withholding</w:t>
      </w:r>
    </w:p>
    <w:p>
      <w:pPr>
        <w:sectPr>
          <w:pgSz w:w="11900" w:h="16838" w:orient="portrait"/>
          <w:cols w:equalWidth="0" w:num="1">
            <w:col w:w="11412"/>
          </w:cols>
          <w:pgMar w:left="248" w:top="616" w:right="239" w:bottom="1440" w:gutter="0" w:footer="0" w:header="0"/>
        </w:sectPr>
      </w:pPr>
    </w:p>
    <w:bookmarkStart w:id="50" w:name="page51"/>
    <w:bookmarkEnd w:id="50"/>
    <w:p>
      <w:pPr>
        <w:jc w:val="both"/>
        <w:spacing w:after="0" w:line="249" w:lineRule="auto"/>
        <w:rPr>
          <w:sz w:val="20"/>
          <w:szCs w:val="20"/>
          <w:color w:val="auto"/>
        </w:rPr>
      </w:pPr>
      <w:r>
        <w:rPr>
          <w:rFonts w:ascii="Times New Roman" w:cs="Times New Roman" w:eastAsia="Times New Roman" w:hAnsi="Times New Roman"/>
          <w:sz w:val="20"/>
          <w:szCs w:val="20"/>
          <w:color w:val="auto"/>
        </w:rPr>
        <w:t>obligations that arise in connection with the Option. Neither the Company nor any Subsidiary makes any representation or undertaking regarding the treatment of any tax withholding in connection with the awarding, vesting or exercise of the Option or the subsequent sale of Shares. The Company and the Subsidiaries do not commit and are under no obligation to structure the Option to reduce or eliminate Grantee’s tax liability.</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EXERCISE OF OPTION</w:t>
      </w:r>
    </w:p>
    <w:p>
      <w:pPr>
        <w:spacing w:after="0" w:line="20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u w:val="single" w:color="auto"/>
          <w:color w:val="auto"/>
        </w:rPr>
        <w:t>Person Eligible to Exercise</w:t>
      </w:r>
      <w:r>
        <w:rPr>
          <w:rFonts w:ascii="Times New Roman" w:cs="Times New Roman" w:eastAsia="Times New Roman" w:hAnsi="Times New Roman"/>
          <w:sz w:val="20"/>
          <w:szCs w:val="20"/>
          <w:color w:val="auto"/>
        </w:rPr>
        <w:t xml:space="preserve">. Except as otherwise provided by the Committee at any time, during the lifetime of Grantee, only the Grantee (or Grantee’s court-appointed representative) may exercise the Option or any portion thereof. After the death of Grantee, the Option may, prior to the time when the Option becomes unexercisable under </w:t>
      </w: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rPr>
        <w:t xml:space="preserve"> hereof, be exercised by Grantee’s personal representative or by any person empowered to do so under the deceased Grantee’s will or under the then applicable laws of descent and distribution.</w:t>
      </w:r>
    </w:p>
    <w:p>
      <w:pPr>
        <w:spacing w:after="0" w:line="19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u w:val="single" w:color="auto"/>
          <w:color w:val="auto"/>
        </w:rPr>
        <w:t>Partial Exercise</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hereof, the Option may be exercised in whole or in part at any time prior to the time when the Option or applicable portion thereof becomes unexercisable under </w:t>
      </w: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rPr>
        <w:t xml:space="preserve"> hereof.</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4.3 </w:t>
      </w:r>
      <w:r>
        <w:rPr>
          <w:rFonts w:ascii="Times New Roman" w:cs="Times New Roman" w:eastAsia="Times New Roman" w:hAnsi="Times New Roman"/>
          <w:sz w:val="20"/>
          <w:szCs w:val="20"/>
          <w:u w:val="single" w:color="auto"/>
          <w:color w:val="auto"/>
        </w:rPr>
        <w:t>Manner of Exercise</w:t>
      </w:r>
      <w:r>
        <w:rPr>
          <w:rFonts w:ascii="Times New Roman" w:cs="Times New Roman" w:eastAsia="Times New Roman" w:hAnsi="Times New Roman"/>
          <w:sz w:val="20"/>
          <w:szCs w:val="20"/>
          <w:color w:val="auto"/>
        </w:rPr>
        <w:t xml:space="preserve">. The Option may be exercised solely by delivery to the Secretary of the Company (or any third party administrator or other person or entity designated by the Company), during regular business hours, of all of the following prior to the time when the Option or such portion thereof becomes unexercisable under </w:t>
      </w: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rPr>
        <w:t xml:space="preserve"> hereof:</w:t>
      </w:r>
    </w:p>
    <w:p>
      <w:pPr>
        <w:spacing w:after="0" w:line="188" w:lineRule="exact"/>
        <w:rPr>
          <w:sz w:val="20"/>
          <w:szCs w:val="20"/>
          <w:color w:val="auto"/>
        </w:rPr>
      </w:pPr>
    </w:p>
    <w:p>
      <w:pPr>
        <w:ind w:firstLine="1305"/>
        <w:spacing w:after="0" w:line="269" w:lineRule="auto"/>
        <w:tabs>
          <w:tab w:leader="none" w:pos="1746"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exercise notice in a form specified by the Committee, stating that the Option or portion thereof is thereby exercised, such notice complying with all applicable rules established by the Committee;</w:t>
      </w:r>
    </w:p>
    <w:p>
      <w:pPr>
        <w:spacing w:after="0" w:line="173" w:lineRule="exact"/>
        <w:rPr>
          <w:rFonts w:ascii="Times New Roman" w:cs="Times New Roman" w:eastAsia="Times New Roman" w:hAnsi="Times New Roman"/>
          <w:sz w:val="20"/>
          <w:szCs w:val="20"/>
          <w:color w:val="auto"/>
        </w:rPr>
      </w:pPr>
    </w:p>
    <w:p>
      <w:pPr>
        <w:ind w:firstLine="1305"/>
        <w:spacing w:after="0" w:line="269" w:lineRule="auto"/>
        <w:tabs>
          <w:tab w:leader="none" w:pos="1845"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receipt by the Company of full payment for the Shares with respect to which the Option or portion thereof is exercised, in such form of consideration permitted under </w:t>
      </w:r>
      <w:r>
        <w:rPr>
          <w:rFonts w:ascii="Times New Roman" w:cs="Times New Roman" w:eastAsia="Times New Roman" w:hAnsi="Times New Roman"/>
          <w:sz w:val="20"/>
          <w:szCs w:val="20"/>
          <w:u w:val="single" w:color="auto"/>
          <w:color w:val="auto"/>
        </w:rPr>
        <w:t>Section 4.4</w:t>
      </w:r>
      <w:r>
        <w:rPr>
          <w:rFonts w:ascii="Times New Roman" w:cs="Times New Roman" w:eastAsia="Times New Roman" w:hAnsi="Times New Roman"/>
          <w:sz w:val="20"/>
          <w:szCs w:val="20"/>
          <w:color w:val="auto"/>
        </w:rPr>
        <w:t xml:space="preserve"> hereof that is acceptable to the Committee;</w:t>
      </w:r>
    </w:p>
    <w:p>
      <w:pPr>
        <w:spacing w:after="0" w:line="173" w:lineRule="exact"/>
        <w:rPr>
          <w:rFonts w:ascii="Times New Roman" w:cs="Times New Roman" w:eastAsia="Times New Roman" w:hAnsi="Times New Roman"/>
          <w:sz w:val="20"/>
          <w:szCs w:val="20"/>
          <w:color w:val="auto"/>
        </w:rPr>
      </w:pPr>
    </w:p>
    <w:p>
      <w:pPr>
        <w:ind w:left="1720" w:hanging="415"/>
        <w:spacing w:after="0"/>
        <w:tabs>
          <w:tab w:leader="none" w:pos="1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payment of any applicable withholding tax in accordance with </w:t>
      </w:r>
      <w:r>
        <w:rPr>
          <w:rFonts w:ascii="Times New Roman" w:cs="Times New Roman" w:eastAsia="Times New Roman" w:hAnsi="Times New Roman"/>
          <w:sz w:val="20"/>
          <w:szCs w:val="20"/>
          <w:u w:val="single" w:color="auto"/>
          <w:color w:val="auto"/>
        </w:rPr>
        <w:t>Section 3.5</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right="20" w:firstLine="1305"/>
        <w:spacing w:after="0" w:line="269" w:lineRule="auto"/>
        <w:tabs>
          <w:tab w:leader="none" w:pos="1895"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written representations or documents as may be required in the Committee’s sole discretion to effect compliance with applicable law; and</w:t>
      </w:r>
    </w:p>
    <w:p>
      <w:pPr>
        <w:spacing w:after="0" w:line="173" w:lineRule="exact"/>
        <w:rPr>
          <w:rFonts w:ascii="Times New Roman" w:cs="Times New Roman" w:eastAsia="Times New Roman" w:hAnsi="Times New Roman"/>
          <w:sz w:val="20"/>
          <w:szCs w:val="20"/>
          <w:color w:val="auto"/>
        </w:rPr>
      </w:pPr>
    </w:p>
    <w:p>
      <w:pPr>
        <w:jc w:val="both"/>
        <w:ind w:firstLine="1305"/>
        <w:spacing w:after="0" w:line="249" w:lineRule="auto"/>
        <w:tabs>
          <w:tab w:leader="none" w:pos="1721"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the Option or portion thereof shall be exercised pursuant to </w:t>
      </w: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 xml:space="preserve"> hereof by any person or persons other than Grantee, appropriate proof of the right of such person or persons to exercise the Option. Notwithstanding any of the foregoing, the Committee shall have the right to specify all conditions of the manner of exercise, which conditions may vary by Grantee and which may be subject to change from time to time.</w:t>
      </w:r>
    </w:p>
    <w:p>
      <w:pPr>
        <w:spacing w:after="0" w:line="194"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0"/>
          <w:szCs w:val="20"/>
          <w:color w:val="auto"/>
        </w:rPr>
        <w:t>4.4</w:t>
      </w:r>
      <w:r>
        <w:rPr>
          <w:sz w:val="20"/>
          <w:szCs w:val="20"/>
          <w:color w:val="auto"/>
        </w:rPr>
        <w:tab/>
      </w:r>
      <w:r>
        <w:rPr>
          <w:rFonts w:ascii="Times New Roman" w:cs="Times New Roman" w:eastAsia="Times New Roman" w:hAnsi="Times New Roman"/>
          <w:sz w:val="20"/>
          <w:szCs w:val="20"/>
          <w:u w:val="single" w:color="auto"/>
          <w:color w:val="auto"/>
        </w:rPr>
        <w:t>Method of Payment</w:t>
      </w:r>
      <w:r>
        <w:rPr>
          <w:rFonts w:ascii="Times New Roman" w:cs="Times New Roman" w:eastAsia="Times New Roman" w:hAnsi="Times New Roman"/>
          <w:sz w:val="20"/>
          <w:szCs w:val="20"/>
          <w:color w:val="auto"/>
        </w:rPr>
        <w:t>. Payment of the exercise price shall be by any of the following, or a combination thereof, at the election of</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Grantee:</w:t>
      </w:r>
    </w:p>
    <w:p>
      <w:pPr>
        <w:spacing w:after="0" w:line="207" w:lineRule="exact"/>
        <w:rPr>
          <w:sz w:val="20"/>
          <w:szCs w:val="20"/>
          <w:color w:val="auto"/>
        </w:rPr>
      </w:pPr>
    </w:p>
    <w:p>
      <w:pPr>
        <w:ind w:left="1720" w:hanging="415"/>
        <w:spacing w:after="0"/>
        <w:tabs>
          <w:tab w:leader="none" w:pos="1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or check;</w:t>
      </w:r>
    </w:p>
    <w:p>
      <w:pPr>
        <w:sectPr>
          <w:pgSz w:w="11900" w:h="16838" w:orient="portrait"/>
          <w:cols w:equalWidth="0" w:num="1">
            <w:col w:w="11420"/>
          </w:cols>
          <w:pgMar w:left="240" w:top="616" w:right="239" w:bottom="1440" w:gutter="0" w:footer="0" w:header="0"/>
        </w:sectPr>
      </w:pPr>
    </w:p>
    <w:bookmarkStart w:id="51" w:name="page52"/>
    <w:bookmarkEnd w:id="51"/>
    <w:p>
      <w:pPr>
        <w:jc w:val="both"/>
        <w:ind w:firstLine="1305"/>
        <w:spacing w:after="0" w:line="254" w:lineRule="auto"/>
        <w:tabs>
          <w:tab w:leader="none" w:pos="1787"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the consent of the Committee, surrender of Shares (including, without limitation, Shares otherwise issuable upon exercise of the Option) held for such period of time as may be required by the Committee in order to avoid adverse accounting consequences and having a Fair Market Value on the date of delivery equal to the aggregate exercise price of the Option or exercised portion thereof;</w:t>
      </w:r>
    </w:p>
    <w:p>
      <w:pPr>
        <w:spacing w:after="0" w:line="188" w:lineRule="exact"/>
        <w:rPr>
          <w:rFonts w:ascii="Times New Roman" w:cs="Times New Roman" w:eastAsia="Times New Roman" w:hAnsi="Times New Roman"/>
          <w:sz w:val="20"/>
          <w:szCs w:val="20"/>
          <w:color w:val="auto"/>
        </w:rPr>
      </w:pPr>
    </w:p>
    <w:p>
      <w:pPr>
        <w:jc w:val="both"/>
        <w:ind w:firstLine="1305"/>
        <w:spacing w:after="0" w:line="247" w:lineRule="auto"/>
        <w:tabs>
          <w:tab w:leader="none" w:pos="1752"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the consent of the Committee and subject to </w:t>
      </w:r>
      <w:r>
        <w:rPr>
          <w:rFonts w:ascii="Times New Roman" w:cs="Times New Roman" w:eastAsia="Times New Roman" w:hAnsi="Times New Roman"/>
          <w:sz w:val="20"/>
          <w:szCs w:val="20"/>
          <w:u w:val="single" w:color="auto"/>
          <w:color w:val="auto"/>
        </w:rPr>
        <w:t>Section 5.18</w:t>
      </w:r>
      <w:r>
        <w:rPr>
          <w:rFonts w:ascii="Times New Roman" w:cs="Times New Roman" w:eastAsia="Times New Roman" w:hAnsi="Times New Roman"/>
          <w:sz w:val="20"/>
          <w:szCs w:val="20"/>
          <w:color w:val="auto"/>
        </w:rPr>
        <w:t xml:space="preserve"> hereof, through the delivery of a notice that Grantee has placed a market sell order with a broker designated by the Company with respect to Shares then issuable upon exercise of the Option, and that the broker has been directed to pay a sufficient portion of the net proceeds of the sale to the Company in satisfaction of the Option exercise price;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payment of such proceeds is then made to the Company at such time as may be required by the Committee, but in any event not later than the settlement of such sale; or</w:t>
      </w:r>
    </w:p>
    <w:p>
      <w:pPr>
        <w:spacing w:after="0" w:line="194" w:lineRule="exact"/>
        <w:rPr>
          <w:rFonts w:ascii="Times New Roman" w:cs="Times New Roman" w:eastAsia="Times New Roman" w:hAnsi="Times New Roman"/>
          <w:sz w:val="20"/>
          <w:szCs w:val="20"/>
          <w:color w:val="auto"/>
        </w:rPr>
      </w:pPr>
    </w:p>
    <w:p>
      <w:pPr>
        <w:ind w:left="1720" w:hanging="415"/>
        <w:spacing w:after="0"/>
        <w:tabs>
          <w:tab w:leader="none" w:pos="1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form of legal consideration acceptable to the Committee.</w:t>
      </w:r>
    </w:p>
    <w:p>
      <w:pPr>
        <w:spacing w:after="0" w:line="22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 xml:space="preserve">4.5 </w:t>
      </w:r>
      <w:r>
        <w:rPr>
          <w:rFonts w:ascii="Times New Roman" w:cs="Times New Roman" w:eastAsia="Times New Roman" w:hAnsi="Times New Roman"/>
          <w:sz w:val="20"/>
          <w:szCs w:val="20"/>
          <w:u w:val="single" w:color="auto"/>
          <w:color w:val="auto"/>
        </w:rPr>
        <w:t>Conditions to Issuance of Stock</w:t>
      </w:r>
      <w:r>
        <w:rPr>
          <w:rFonts w:ascii="Times New Roman" w:cs="Times New Roman" w:eastAsia="Times New Roman" w:hAnsi="Times New Roman"/>
          <w:sz w:val="20"/>
          <w:szCs w:val="20"/>
          <w:color w:val="auto"/>
        </w:rPr>
        <w:t xml:space="preserve">. The Company shall not be required to issue or deliver any Shares purchased upon the exercise of the Option or portion thereof prior to fulfillment of all of the following conditions: (a) the admission of such Shares to listing on all stock exchanges on which such Shares are then listed, (b) the completion of any registration or other qualification of such Shares under any state or federal law or under rulings or regulations of the SEC or other governmental regulatory body, that the Committee shall, in its absolute discretion, deem necessary or advisable, (c) the obtaining of any approval or other clearance from any state or federal governmental agency that the Committee shall, in its absolute discretion, determine to be necessary or advisable, (d) the receipt by the Company of full payment for such Shares, which may be in one or more of the forms of consideration permitted under </w:t>
      </w:r>
      <w:r>
        <w:rPr>
          <w:rFonts w:ascii="Times New Roman" w:cs="Times New Roman" w:eastAsia="Times New Roman" w:hAnsi="Times New Roman"/>
          <w:sz w:val="20"/>
          <w:szCs w:val="20"/>
          <w:u w:val="single" w:color="auto"/>
          <w:color w:val="auto"/>
        </w:rPr>
        <w:t>Section 4.4</w:t>
      </w:r>
      <w:r>
        <w:rPr>
          <w:rFonts w:ascii="Times New Roman" w:cs="Times New Roman" w:eastAsia="Times New Roman" w:hAnsi="Times New Roman"/>
          <w:sz w:val="20"/>
          <w:szCs w:val="20"/>
          <w:color w:val="auto"/>
        </w:rPr>
        <w:t xml:space="preserve"> hereof, and (e) the receipt of full payment of any applicable withholding tax in accordance with </w:t>
      </w:r>
      <w:r>
        <w:rPr>
          <w:rFonts w:ascii="Times New Roman" w:cs="Times New Roman" w:eastAsia="Times New Roman" w:hAnsi="Times New Roman"/>
          <w:sz w:val="20"/>
          <w:szCs w:val="20"/>
          <w:u w:val="single" w:color="auto"/>
          <w:color w:val="auto"/>
        </w:rPr>
        <w:t>Section 3.5</w:t>
      </w:r>
      <w:r>
        <w:rPr>
          <w:rFonts w:ascii="Times New Roman" w:cs="Times New Roman" w:eastAsia="Times New Roman" w:hAnsi="Times New Roman"/>
          <w:sz w:val="20"/>
          <w:szCs w:val="20"/>
          <w:color w:val="auto"/>
        </w:rPr>
        <w:t xml:space="preserve"> hereof by the Company or its Subsidiary with respect to which the applicable withholding obligation arises.</w:t>
      </w:r>
    </w:p>
    <w:p>
      <w:pPr>
        <w:spacing w:after="0" w:line="20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9"/>
          <w:szCs w:val="19"/>
          <w:color w:val="auto"/>
        </w:rPr>
        <w:t xml:space="preserve">4.6 </w:t>
      </w:r>
      <w:r>
        <w:rPr>
          <w:rFonts w:ascii="Times New Roman" w:cs="Times New Roman" w:eastAsia="Times New Roman" w:hAnsi="Times New Roman"/>
          <w:sz w:val="19"/>
          <w:szCs w:val="19"/>
          <w:u w:val="single" w:color="auto"/>
          <w:color w:val="auto"/>
        </w:rPr>
        <w:t>Rights as Stockholder</w:t>
      </w:r>
      <w:r>
        <w:rPr>
          <w:rFonts w:ascii="Times New Roman" w:cs="Times New Roman" w:eastAsia="Times New Roman" w:hAnsi="Times New Roman"/>
          <w:sz w:val="19"/>
          <w:szCs w:val="19"/>
          <w:color w:val="auto"/>
        </w:rPr>
        <w:t>. Neither Grantee nor any person claiming under or through Grantee will have any of the rights or privileges of a stockholder of the Company in respect of any Shares purchasable upon the exercise of any part of the Option unless and until certificates representing such Shares (which may be in book-entry form) will have been issued and recorded on the records of the Company or its transfer agents or registrars and delivered to Grantee (including through electronic delivery to a brokerage account). No adjustment will be made for a dividend or other right for which the record date is prior to the date of such issuance, recordation and delivery, except as provided in Section 4.2 of the Plan. Except as otherwise provided herein, after such issuance, recordation and delivery, Grantee will have all the rights of a stockholder of the Company with respect to such Shares, including, without limitation, the right to receive dividends and distributions on such Shares.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OTHER PROVISIONS</w:t>
      </w:r>
    </w:p>
    <w:p>
      <w:pPr>
        <w:spacing w:after="0" w:line="207"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0"/>
          <w:szCs w:val="20"/>
          <w:u w:val="single" w:color="auto"/>
          <w:color w:val="auto"/>
        </w:rPr>
        <w:t>Administration</w:t>
      </w:r>
      <w:r>
        <w:rPr>
          <w:rFonts w:ascii="Times New Roman" w:cs="Times New Roman" w:eastAsia="Times New Roman" w:hAnsi="Times New Roman"/>
          <w:sz w:val="20"/>
          <w:szCs w:val="20"/>
          <w:color w:val="auto"/>
        </w:rPr>
        <w:t>. The Committee shall have the power to interpret the Plan, the Grant Notice and this Agreement and to adopt such rules for the administration, interpretation and application of the Plan, the Grant Notice and this Agreement as are consistent therewith and to interpret, amend or revoke any such rules. All actions taken and all interpretations and determinations made by the Committee will be final and binding upon Grantee, the Company and all other interested persons. To the extent allowable pursuant to applicable law, no member of the Committee or the Board will be personally liable for any action, determination or interpretation made with respect to the Plan, the Grant Notice or this Agreement.</w:t>
      </w:r>
    </w:p>
    <w:p>
      <w:pPr>
        <w:sectPr>
          <w:pgSz w:w="11900" w:h="16838" w:orient="portrait"/>
          <w:cols w:equalWidth="0" w:num="1">
            <w:col w:w="11420"/>
          </w:cols>
          <w:pgMar w:left="240" w:top="616" w:right="239" w:bottom="1440" w:gutter="0" w:footer="0" w:header="0"/>
        </w:sectPr>
      </w:pPr>
    </w:p>
    <w:bookmarkStart w:id="52" w:name="page53"/>
    <w:bookmarkEnd w:id="52"/>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5.2</w:t>
      </w:r>
      <w:r>
        <w:rPr>
          <w:sz w:val="20"/>
          <w:szCs w:val="20"/>
          <w:color w:val="auto"/>
        </w:rPr>
        <w:tab/>
      </w:r>
      <w:r>
        <w:rPr>
          <w:rFonts w:ascii="Times New Roman" w:cs="Times New Roman" w:eastAsia="Times New Roman" w:hAnsi="Times New Roman"/>
          <w:sz w:val="19"/>
          <w:szCs w:val="19"/>
          <w:u w:val="single" w:color="auto"/>
          <w:color w:val="auto"/>
        </w:rPr>
        <w:t>Whole Shares</w:t>
      </w:r>
      <w:r>
        <w:rPr>
          <w:rFonts w:ascii="Times New Roman" w:cs="Times New Roman" w:eastAsia="Times New Roman" w:hAnsi="Times New Roman"/>
          <w:sz w:val="19"/>
          <w:szCs w:val="19"/>
          <w:color w:val="auto"/>
        </w:rPr>
        <w:t>. The Option may only be exercised for whole Shares.</w:t>
      </w:r>
    </w:p>
    <w:p>
      <w:pPr>
        <w:spacing w:after="0" w:line="22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 xml:space="preserve">5.3 </w:t>
      </w:r>
      <w:r>
        <w:rPr>
          <w:rFonts w:ascii="Times New Roman" w:cs="Times New Roman" w:eastAsia="Times New Roman" w:hAnsi="Times New Roman"/>
          <w:sz w:val="20"/>
          <w:szCs w:val="20"/>
          <w:u w:val="single" w:color="auto"/>
          <w:color w:val="auto"/>
        </w:rPr>
        <w:t>Option Not Transferable</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 xml:space="preserve"> hereof and except as otherwise provided by the Committee at any time, the Option may not be sold, pledged, assigned or transferred in any manner other than by will or the laws of descent and distribution, unless and until the Shares underlying the Option have been issued, and all restrictions applicable to such Shares have lapsed. Neither the Option nor any interest or right therein or part thereof shall be liable for the debts, contracts or engagements of Grantee or his or her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w:t>
      </w:r>
    </w:p>
    <w:p>
      <w:pPr>
        <w:spacing w:after="0" w:line="20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 xml:space="preserve">5.4 </w:t>
      </w:r>
      <w:r>
        <w:rPr>
          <w:rFonts w:ascii="Times New Roman" w:cs="Times New Roman" w:eastAsia="Times New Roman" w:hAnsi="Times New Roman"/>
          <w:sz w:val="20"/>
          <w:szCs w:val="20"/>
          <w:u w:val="single" w:color="auto"/>
          <w:color w:val="auto"/>
        </w:rPr>
        <w:t>Adjustments</w:t>
      </w:r>
      <w:r>
        <w:rPr>
          <w:rFonts w:ascii="Times New Roman" w:cs="Times New Roman" w:eastAsia="Times New Roman" w:hAnsi="Times New Roman"/>
          <w:sz w:val="20"/>
          <w:szCs w:val="20"/>
          <w:color w:val="auto"/>
        </w:rPr>
        <w:t>. Upon the occurrence of certain events relating to Shares contemplated by Section 4.2 of the Plan (including, without limitation, an extraordinary cash dividend on such Stock), the Committee shall make such adjustments as the Committee deems appropriate in the number of Shares subject to the Option, the exercise price of the Option and the kind of securities that may be issued upon exercise of the Option. Grantee acknowledges that the Option is subject to adjustment, modification and termination in certain events as provided in this Agreement and Section 4.2 of the Plan. If any such adjustment shall result in a fractional Share, such fractional Share shall be disregarded.</w:t>
      </w:r>
    </w:p>
    <w:p>
      <w:pPr>
        <w:spacing w:after="0" w:line="194"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 xml:space="preserve">5.5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xml:space="preserve">. Any notice to be given under the terms of this Agreement to the Company shall be addressed to the Company in care of the Secretary of the Company at the Company’s principal office, and any notice to be given to Grantee shall be addressed to Grantee at Grantee’s last address reflected on the Company’s records. By a notice given pursuant to this </w:t>
      </w:r>
      <w:r>
        <w:rPr>
          <w:rFonts w:ascii="Times New Roman" w:cs="Times New Roman" w:eastAsia="Times New Roman" w:hAnsi="Times New Roman"/>
          <w:sz w:val="20"/>
          <w:szCs w:val="20"/>
          <w:u w:val="single" w:color="auto"/>
          <w:color w:val="auto"/>
        </w:rPr>
        <w:t>Section 5.5</w:t>
      </w:r>
      <w:r>
        <w:rPr>
          <w:rFonts w:ascii="Times New Roman" w:cs="Times New Roman" w:eastAsia="Times New Roman" w:hAnsi="Times New Roman"/>
          <w:sz w:val="20"/>
          <w:szCs w:val="20"/>
          <w:color w:val="auto"/>
        </w:rPr>
        <w:t xml:space="preserve">, either party may hereafter designate a different address for notices to be given to that party. Any notice that is required to be given to Grantee shall, if Grantee is then deceased, be given to the person entitled to exercise the Option pursuant to </w:t>
      </w: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 xml:space="preserve"> hereof by written notice under this </w:t>
      </w:r>
      <w:r>
        <w:rPr>
          <w:rFonts w:ascii="Times New Roman" w:cs="Times New Roman" w:eastAsia="Times New Roman" w:hAnsi="Times New Roman"/>
          <w:sz w:val="20"/>
          <w:szCs w:val="20"/>
          <w:u w:val="single" w:color="auto"/>
          <w:color w:val="auto"/>
        </w:rPr>
        <w:t>Section 5.5</w:t>
      </w:r>
      <w:r>
        <w:rPr>
          <w:rFonts w:ascii="Times New Roman" w:cs="Times New Roman" w:eastAsia="Times New Roman" w:hAnsi="Times New Roman"/>
          <w:sz w:val="20"/>
          <w:szCs w:val="20"/>
          <w:color w:val="auto"/>
        </w:rPr>
        <w:t>.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200"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 xml:space="preserve">5.6 </w:t>
      </w:r>
      <w:r>
        <w:rPr>
          <w:rFonts w:ascii="Times New Roman" w:cs="Times New Roman" w:eastAsia="Times New Roman" w:hAnsi="Times New Roman"/>
          <w:sz w:val="20"/>
          <w:szCs w:val="20"/>
          <w:u w:val="single" w:color="auto"/>
          <w:color w:val="auto"/>
        </w:rPr>
        <w:t>Titles</w:t>
      </w:r>
      <w:r>
        <w:rPr>
          <w:rFonts w:ascii="Times New Roman" w:cs="Times New Roman" w:eastAsia="Times New Roman" w:hAnsi="Times New Roman"/>
          <w:sz w:val="20"/>
          <w:szCs w:val="20"/>
          <w:color w:val="auto"/>
        </w:rPr>
        <w:t>. Titles are provided herein for convenience only and are not to serve as a basis for interpretation or construction of this Agreement.</w:t>
      </w:r>
    </w:p>
    <w:p>
      <w:pPr>
        <w:spacing w:after="0" w:line="173"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 xml:space="preserve">5.7 </w:t>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The laws of the State of Delaware shall govern the interpretation, validity, administration, enforcement and performance of the terms of this Agreement regardless of the law that might be applied under principles of conflicts of laws.</w:t>
      </w:r>
    </w:p>
    <w:p>
      <w:pPr>
        <w:spacing w:after="0" w:line="17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 xml:space="preserve">5.8 </w:t>
      </w:r>
      <w:r>
        <w:rPr>
          <w:rFonts w:ascii="Times New Roman" w:cs="Times New Roman" w:eastAsia="Times New Roman" w:hAnsi="Times New Roman"/>
          <w:sz w:val="20"/>
          <w:szCs w:val="20"/>
          <w:u w:val="single" w:color="auto"/>
          <w:color w:val="auto"/>
        </w:rPr>
        <w:t>Conformity to Securities Laws</w:t>
      </w:r>
      <w:r>
        <w:rPr>
          <w:rFonts w:ascii="Times New Roman" w:cs="Times New Roman" w:eastAsia="Times New Roman" w:hAnsi="Times New Roman"/>
          <w:sz w:val="20"/>
          <w:szCs w:val="20"/>
          <w:color w:val="auto"/>
        </w:rPr>
        <w:t>. Grantee acknowledges that the Plan, the Grant Notice and this Agreement are intended to conform to the extent necessary with all applicable laws, including, without limitation, the provisions of the Securities Act and the Exchange Act and any and all regulations and rules promulgated thereunder by the SEC and state securities laws and regulations. Notwithstanding anything herein to the contrary, the Plan shall be administered, and the Option is granted and may be exercised, only in such a manner as to conform to applicable law. To the extent permitted by applicable law, the Plan and this Agreement shall be deemed amended to the extent necessary to conform to applicable law.</w:t>
      </w:r>
    </w:p>
    <w:p>
      <w:pPr>
        <w:spacing w:after="0" w:line="19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5.9 </w:t>
      </w:r>
      <w:r>
        <w:rPr>
          <w:rFonts w:ascii="Times New Roman" w:cs="Times New Roman" w:eastAsia="Times New Roman" w:hAnsi="Times New Roman"/>
          <w:sz w:val="20"/>
          <w:szCs w:val="20"/>
          <w:u w:val="single" w:color="auto"/>
          <w:color w:val="auto"/>
        </w:rPr>
        <w:t>Amendment, Suspension and Termination</w:t>
      </w:r>
      <w:r>
        <w:rPr>
          <w:rFonts w:ascii="Times New Roman" w:cs="Times New Roman" w:eastAsia="Times New Roman" w:hAnsi="Times New Roman"/>
          <w:sz w:val="20"/>
          <w:szCs w:val="20"/>
          <w:color w:val="auto"/>
        </w:rPr>
        <w:t xml:space="preserve">. To the extent permitted by the Plan, this Agreement may be wholly or partially amended or otherwise modified, suspended or terminated at any time or from time to time by the Committee or the Board,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except as may otherwise be provided by</w:t>
      </w:r>
    </w:p>
    <w:p>
      <w:pPr>
        <w:sectPr>
          <w:pgSz w:w="11900" w:h="16838" w:orient="portrait"/>
          <w:cols w:equalWidth="0" w:num="1">
            <w:col w:w="11420"/>
          </w:cols>
          <w:pgMar w:left="240" w:top="616" w:right="239" w:bottom="1440" w:gutter="0" w:footer="0" w:header="0"/>
        </w:sectPr>
      </w:pPr>
    </w:p>
    <w:bookmarkStart w:id="53" w:name="page54"/>
    <w:bookmarkEnd w:id="53"/>
    <w:p>
      <w:pPr>
        <w:jc w:val="both"/>
        <w:spacing w:after="0" w:line="269" w:lineRule="auto"/>
        <w:rPr>
          <w:sz w:val="20"/>
          <w:szCs w:val="20"/>
          <w:color w:val="auto"/>
        </w:rPr>
      </w:pPr>
      <w:r>
        <w:rPr>
          <w:rFonts w:ascii="Times New Roman" w:cs="Times New Roman" w:eastAsia="Times New Roman" w:hAnsi="Times New Roman"/>
          <w:sz w:val="20"/>
          <w:szCs w:val="20"/>
          <w:color w:val="auto"/>
        </w:rPr>
        <w:t>the Plan, no amendment, modification, suspension or termination of this Agreement shall adversely affect the Option in any material way without the prior written consent of Grantee.</w:t>
      </w:r>
    </w:p>
    <w:p>
      <w:pPr>
        <w:spacing w:after="0" w:line="17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5.10 </w:t>
      </w: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xml:space="preserve">. The Company may assign any of its rights under this Agreement to single or multiple assignees, and this Agreement shall inure to the benefit of the successors and assigns of the Company. Subject to the restrictions on transfer set forth in </w:t>
      </w:r>
      <w:r>
        <w:rPr>
          <w:rFonts w:ascii="Times New Roman" w:cs="Times New Roman" w:eastAsia="Times New Roman" w:hAnsi="Times New Roman"/>
          <w:sz w:val="20"/>
          <w:szCs w:val="20"/>
          <w:u w:val="single" w:color="auto"/>
          <w:color w:val="auto"/>
        </w:rPr>
        <w:t>Section 5.3</w:t>
      </w:r>
      <w:r>
        <w:rPr>
          <w:rFonts w:ascii="Times New Roman" w:cs="Times New Roman" w:eastAsia="Times New Roman" w:hAnsi="Times New Roman"/>
          <w:sz w:val="20"/>
          <w:szCs w:val="20"/>
          <w:color w:val="auto"/>
        </w:rPr>
        <w:t xml:space="preserve"> hereof and the Plan, this Agreement shall be binding upon and inure to the benefit of the heirs, legatees, legal representatives, successors and assigns of the parties hereto.</w:t>
      </w:r>
    </w:p>
    <w:p>
      <w:pPr>
        <w:spacing w:after="0" w:line="19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 xml:space="preserve">5.11 </w:t>
      </w:r>
      <w:r>
        <w:rPr>
          <w:rFonts w:ascii="Times New Roman" w:cs="Times New Roman" w:eastAsia="Times New Roman" w:hAnsi="Times New Roman"/>
          <w:sz w:val="20"/>
          <w:szCs w:val="20"/>
          <w:u w:val="single" w:color="auto"/>
          <w:color w:val="auto"/>
        </w:rPr>
        <w:t>Limitations Applicable to Section 16 Persons</w:t>
      </w:r>
      <w:r>
        <w:rPr>
          <w:rFonts w:ascii="Times New Roman" w:cs="Times New Roman" w:eastAsia="Times New Roman" w:hAnsi="Times New Roman"/>
          <w:sz w:val="20"/>
          <w:szCs w:val="20"/>
          <w:color w:val="auto"/>
        </w:rPr>
        <w:t>. Notwithstanding any other provision of the Plan or this Agreement, if Grantee is subject to Section 16 of the Exchange Act, the Plan, the Option, the Grant Notice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19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 xml:space="preserve">5.12 </w:t>
      </w:r>
      <w:r>
        <w:rPr>
          <w:rFonts w:ascii="Times New Roman" w:cs="Times New Roman" w:eastAsia="Times New Roman" w:hAnsi="Times New Roman"/>
          <w:sz w:val="20"/>
          <w:szCs w:val="20"/>
          <w:u w:val="single" w:color="auto"/>
          <w:color w:val="auto"/>
        </w:rPr>
        <w:t>Not a Contract of Employment</w:t>
      </w:r>
      <w:r>
        <w:rPr>
          <w:rFonts w:ascii="Times New Roman" w:cs="Times New Roman" w:eastAsia="Times New Roman" w:hAnsi="Times New Roman"/>
          <w:sz w:val="20"/>
          <w:szCs w:val="20"/>
          <w:color w:val="auto"/>
        </w:rPr>
        <w:t>. Nothing in this Agreement or in the Plan shall confer upon Grantee any right to continue to serve as an employee or other service provider of the Company or any Subsidiary or shall interfere with or restrict in any way the rights of the Company and its Subsidiaries, which rights are hereby expressly reserved, to discharge or terminate the services of Grantee at any time for any reason whatsoever, with or without cause, except to the extent expressly provided otherwise in a written agreement between the Company or a Subsidiary and Grantee.</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5.13 </w:t>
      </w: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The Plan, the Grant Notice and this Agreement (including any exhibit hereto) constitute the entire agreement of the parties and supersede in their entirety all prior undertakings and agreements of the Company and Grantee with respect to the subject matter hereof.</w:t>
      </w:r>
    </w:p>
    <w:p>
      <w:pPr>
        <w:spacing w:after="0" w:line="188"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 xml:space="preserve">5.14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This Award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However, notwithstanding any other provision of the Plan, the Grant Notice or this Agreement, if at any time the Committee determines that this Award (or any portion thereof) may be subject to Section 409A, the Committee shall have the right in its sole discretion (without any obligation to do so or to indemnify Grantee or any other person for failure to do so) to adopt such amendments to the Plan, the Grant Notice or this Agreement, or adopt other policies and procedures (including amendments, policies and procedures with retroactive effect), or take any other actions, as the Committee determines are necessary or appropriate for this Award either to be exempt from the application of Section 409A or to comply with the requirements of Section 409A. Nothing in the Plan or this Agreement shall be construed to make the Company liable to Grantee for any tax, interest, or penalties that Grantee might owe as a result of the grant, holding, vesting, exercise, or payment of this Option or any Shares related thereto.</w:t>
      </w:r>
    </w:p>
    <w:p>
      <w:pPr>
        <w:spacing w:after="0" w:line="20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5.15 </w:t>
      </w:r>
      <w:r>
        <w:rPr>
          <w:rFonts w:ascii="Times New Roman" w:cs="Times New Roman" w:eastAsia="Times New Roman" w:hAnsi="Times New Roman"/>
          <w:sz w:val="20"/>
          <w:szCs w:val="20"/>
          <w:u w:val="single" w:color="auto"/>
          <w:color w:val="auto"/>
        </w:rPr>
        <w:t>Agreement Severable</w:t>
      </w:r>
      <w:r>
        <w:rPr>
          <w:rFonts w:ascii="Times New Roman" w:cs="Times New Roman" w:eastAsia="Times New Roman" w:hAnsi="Times New Roman"/>
          <w:sz w:val="20"/>
          <w:szCs w:val="20"/>
          <w:color w:val="auto"/>
        </w:rPr>
        <w:t>. In the event that any provision of the Grant Notice or this Agreement is held invalid or unenforceable, such provision will be severable from, and such invalidity or unenforceability will not be construed to have any effect on, the remaining provisions of the Grant Notice or this Agreement.</w:t>
      </w:r>
    </w:p>
    <w:p>
      <w:pPr>
        <w:spacing w:after="0" w:line="188"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 xml:space="preserve">5.16 </w:t>
      </w:r>
      <w:r>
        <w:rPr>
          <w:rFonts w:ascii="Times New Roman" w:cs="Times New Roman" w:eastAsia="Times New Roman" w:hAnsi="Times New Roman"/>
          <w:sz w:val="20"/>
          <w:szCs w:val="20"/>
          <w:u w:val="single" w:color="auto"/>
          <w:color w:val="auto"/>
        </w:rPr>
        <w:t>Limitation on Grantee’s Rights</w:t>
      </w:r>
      <w:r>
        <w:rPr>
          <w:rFonts w:ascii="Times New Roman" w:cs="Times New Roman" w:eastAsia="Times New Roman" w:hAnsi="Times New Roman"/>
          <w:sz w:val="20"/>
          <w:szCs w:val="20"/>
          <w:color w:val="auto"/>
        </w:rPr>
        <w:t>. Participation in the Plan confers no rights or interests other than as herein provided. This Agreement creates only a contractual obligation on the part of the Company</w:t>
      </w:r>
    </w:p>
    <w:p>
      <w:pPr>
        <w:sectPr>
          <w:pgSz w:w="11900" w:h="16838" w:orient="portrait"/>
          <w:cols w:equalWidth="0" w:num="1">
            <w:col w:w="11420"/>
          </w:cols>
          <w:pgMar w:left="240" w:top="616" w:right="239" w:bottom="1440" w:gutter="0" w:footer="0" w:header="0"/>
        </w:sectPr>
      </w:pPr>
    </w:p>
    <w:bookmarkStart w:id="54" w:name="page55"/>
    <w:bookmarkEnd w:id="54"/>
    <w:p>
      <w:pPr>
        <w:jc w:val="both"/>
        <w:spacing w:after="0" w:line="249" w:lineRule="auto"/>
        <w:rPr>
          <w:sz w:val="20"/>
          <w:szCs w:val="20"/>
          <w:color w:val="auto"/>
        </w:rPr>
      </w:pPr>
      <w:r>
        <w:rPr>
          <w:rFonts w:ascii="Times New Roman" w:cs="Times New Roman" w:eastAsia="Times New Roman" w:hAnsi="Times New Roman"/>
          <w:sz w:val="20"/>
          <w:szCs w:val="20"/>
          <w:color w:val="auto"/>
        </w:rPr>
        <w:t>as to amounts payable and shall not be construed as creating a trust. Neither the Plan nor any underlying program, in and of itself, has any assets. Grantee shall have only the rights of a general unsecured creditor of the Company with respect to amounts credited and benefits payable, if any, with respect to the Option, and rights no greater than the right to receive the Shares as a general unsecured creditor with respect to options, as and when exercised pursuant to the terms hereof.</w:t>
      </w:r>
    </w:p>
    <w:p>
      <w:pPr>
        <w:spacing w:after="0" w:line="19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5.17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The Grant Notice may be executed in one or more counterparts, including by way of any electronic signature, subject to applicable law, each of which shall be deemed an original and all of which together shall constitute one instrument.</w:t>
      </w:r>
    </w:p>
    <w:p>
      <w:pPr>
        <w:spacing w:after="0" w:line="173"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 xml:space="preserve">5.18 </w:t>
      </w:r>
      <w:r>
        <w:rPr>
          <w:rFonts w:ascii="Times New Roman" w:cs="Times New Roman" w:eastAsia="Times New Roman" w:hAnsi="Times New Roman"/>
          <w:sz w:val="20"/>
          <w:szCs w:val="20"/>
          <w:u w:val="single" w:color="auto"/>
          <w:color w:val="auto"/>
        </w:rPr>
        <w:t>Broker-Assisted Sales</w:t>
      </w:r>
      <w:r>
        <w:rPr>
          <w:rFonts w:ascii="Times New Roman" w:cs="Times New Roman" w:eastAsia="Times New Roman" w:hAnsi="Times New Roman"/>
          <w:sz w:val="20"/>
          <w:szCs w:val="20"/>
          <w:color w:val="auto"/>
        </w:rPr>
        <w:t xml:space="preserve">. In the event of any broker-assisted sale of Shares in connection with the payment of withholding taxes as provided in </w:t>
      </w:r>
      <w:r>
        <w:rPr>
          <w:rFonts w:ascii="Times New Roman" w:cs="Times New Roman" w:eastAsia="Times New Roman" w:hAnsi="Times New Roman"/>
          <w:sz w:val="20"/>
          <w:szCs w:val="20"/>
          <w:u w:val="single" w:color="auto"/>
          <w:color w:val="auto"/>
        </w:rPr>
        <w:t>Section 3.4(a)(v)</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3.4(c)</w:t>
      </w:r>
      <w:r>
        <w:rPr>
          <w:rFonts w:ascii="Times New Roman" w:cs="Times New Roman" w:eastAsia="Times New Roman" w:hAnsi="Times New Roman"/>
          <w:sz w:val="20"/>
          <w:szCs w:val="20"/>
          <w:color w:val="auto"/>
        </w:rPr>
        <w:t xml:space="preserve"> hereof or the payment of the exercise price as provided in </w:t>
      </w:r>
      <w:r>
        <w:rPr>
          <w:rFonts w:ascii="Times New Roman" w:cs="Times New Roman" w:eastAsia="Times New Roman" w:hAnsi="Times New Roman"/>
          <w:sz w:val="20"/>
          <w:szCs w:val="20"/>
          <w:u w:val="single" w:color="auto"/>
          <w:color w:val="auto"/>
        </w:rPr>
        <w:t>Section 4.4(c)</w:t>
      </w:r>
      <w:r>
        <w:rPr>
          <w:rFonts w:ascii="Times New Roman" w:cs="Times New Roman" w:eastAsia="Times New Roman" w:hAnsi="Times New Roman"/>
          <w:sz w:val="20"/>
          <w:szCs w:val="20"/>
          <w:color w:val="auto"/>
        </w:rPr>
        <w:t xml:space="preserve"> hereof: (a) any Shares to be sold through a broker-assisted sale will be sold on the day the tax withholding obligation or exercise of the Option, as applicable, occurs or arises, or as soon thereafter as practicable; (b) such Shares may be sold as part of a block trade with other Grantees in the Plan in which all Grantees receive an average price; (c) Grantee will be responsible for all broker’s fees and other costs of sale, and Grantee agrees to indemnify and hold the Company harmless from any losses, costs, damages, or expenses relating to any such sale; (d) to the extent the proceeds of such sale exceed the applicable tax withholding obligation or exercise price, the Company agrees to pay such excess in cash to Grantee as soon as reasonably practicable; (e) Grantee acknowledges that the Company or its designee is under no obligation to arrange for such sale at any particular price, and that the proceeds of any such sale may not be sufficient to satisfy the applicable tax withholding obligation or exercise price; and (f) in the event the proceeds of such sale are insufficient to satisfy the applicable tax withholding obligation, Grantee agrees to pay immediately upon demand to the Company or its Subsidiary with respect to which the withholding obligation arises, an amount sufficient to satisfy any remaining portion of the Company’s or the applicable Subsidiary’s withholding obligation.</w:t>
      </w:r>
    </w:p>
    <w:p>
      <w:pPr>
        <w:spacing w:after="0" w:line="20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 xml:space="preserve">5.19 </w:t>
      </w:r>
      <w:r>
        <w:rPr>
          <w:rFonts w:ascii="Times New Roman" w:cs="Times New Roman" w:eastAsia="Times New Roman" w:hAnsi="Times New Roman"/>
          <w:sz w:val="20"/>
          <w:szCs w:val="20"/>
          <w:u w:val="single" w:color="auto"/>
          <w:color w:val="auto"/>
        </w:rPr>
        <w:t>Clawback</w:t>
      </w:r>
      <w:r>
        <w:rPr>
          <w:rFonts w:ascii="Times New Roman" w:cs="Times New Roman" w:eastAsia="Times New Roman" w:hAnsi="Times New Roman"/>
          <w:sz w:val="20"/>
          <w:szCs w:val="20"/>
          <w:color w:val="auto"/>
        </w:rPr>
        <w:t>. Any Shares issued pursuant to this Award shall be subject to mandatory repayment by the Grantee to the Company to the extent that such Grantee is, or in the future becomes, subject to (a) any “clawback” or recoupment policy adopted by the Company or any Subsidiary thereof to comply with the requirements of any applicable laws, rules or regulations, including pursuant to final rules adopted by the SEC pursuant to the Dodd-Frank Wall Street Reform and Consumer Protection Act, or otherwise, or (b) any applicable laws which impose mandatory recoupment, under circumstances set forth in such applicable laws, including the Sarbanes-Oxley Act of 2002.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26229518.2</w:t>
      </w:r>
    </w:p>
    <w:p>
      <w:pPr>
        <w:sectPr>
          <w:pgSz w:w="11900" w:h="16838" w:orient="portrait"/>
          <w:cols w:equalWidth="0" w:num="1">
            <w:col w:w="11420"/>
          </w:cols>
          <w:pgMar w:left="240" w:top="616" w:right="2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20"/>
          <w:szCs w:val="20"/>
          <w:b w:val="1"/>
          <w:bCs w:val="1"/>
          <w:color w:val="auto"/>
        </w:rPr>
        <w:t>NN,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2019 OMNIBUS INCENTIVE PLAN</w:t>
      </w:r>
    </w:p>
    <w:p>
      <w:pPr>
        <w:jc w:val="center"/>
        <w:spacing w:after="0"/>
        <w:rPr>
          <w:sz w:val="20"/>
          <w:szCs w:val="20"/>
          <w:color w:val="auto"/>
        </w:rPr>
      </w:pPr>
      <w:r>
        <w:rPr>
          <w:rFonts w:ascii="Times New Roman" w:cs="Times New Roman" w:eastAsia="Times New Roman" w:hAnsi="Times New Roman"/>
          <w:sz w:val="20"/>
          <w:szCs w:val="20"/>
          <w:b w:val="1"/>
          <w:bCs w:val="1"/>
          <w:color w:val="auto"/>
        </w:rPr>
        <w:t>RESTRICTED SHARES GRANT NOTICE</w:t>
      </w:r>
    </w:p>
    <w:p>
      <w:pPr>
        <w:spacing w:after="0" w:line="207"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NN,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pursuant to its 2019 Omnibus Incentive Plan, as amended from time to time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hereby grants to the holder listed below (“</w:t>
      </w:r>
      <w:r>
        <w:rPr>
          <w:rFonts w:ascii="Times New Roman" w:cs="Times New Roman" w:eastAsia="Times New Roman" w:hAnsi="Times New Roman"/>
          <w:sz w:val="20"/>
          <w:szCs w:val="20"/>
          <w:u w:val="single" w:color="auto"/>
          <w:color w:val="auto"/>
        </w:rPr>
        <w:t>Grantee</w:t>
      </w:r>
      <w:r>
        <w:rPr>
          <w:rFonts w:ascii="Times New Roman" w:cs="Times New Roman" w:eastAsia="Times New Roman" w:hAnsi="Times New Roman"/>
          <w:sz w:val="20"/>
          <w:szCs w:val="20"/>
          <w:color w:val="auto"/>
        </w:rPr>
        <w:t>”), the right to receive a number of Restricted Shares as set forth below (the “</w:t>
      </w:r>
      <w:r>
        <w:rPr>
          <w:rFonts w:ascii="Times New Roman" w:cs="Times New Roman" w:eastAsia="Times New Roman" w:hAnsi="Times New Roman"/>
          <w:sz w:val="20"/>
          <w:szCs w:val="20"/>
          <w:u w:val="single" w:color="auto"/>
          <w:color w:val="auto"/>
        </w:rPr>
        <w:t>Restricted Share Award</w:t>
      </w:r>
      <w:r>
        <w:rPr>
          <w:rFonts w:ascii="Times New Roman" w:cs="Times New Roman" w:eastAsia="Times New Roman" w:hAnsi="Times New Roman"/>
          <w:sz w:val="20"/>
          <w:szCs w:val="20"/>
          <w:color w:val="auto"/>
        </w:rPr>
        <w:t>”). The Restricted Shares are subject to the terms and conditions set forth in this Restricted Shares Grant Notice (the “</w:t>
      </w:r>
      <w:r>
        <w:rPr>
          <w:rFonts w:ascii="Times New Roman" w:cs="Times New Roman" w:eastAsia="Times New Roman" w:hAnsi="Times New Roman"/>
          <w:sz w:val="20"/>
          <w:szCs w:val="20"/>
          <w:u w:val="single" w:color="auto"/>
          <w:color w:val="auto"/>
        </w:rPr>
        <w:t>Grant Notice</w:t>
      </w:r>
      <w:r>
        <w:rPr>
          <w:rFonts w:ascii="Times New Roman" w:cs="Times New Roman" w:eastAsia="Times New Roman" w:hAnsi="Times New Roman"/>
          <w:sz w:val="20"/>
          <w:szCs w:val="20"/>
          <w:color w:val="auto"/>
        </w:rPr>
        <w:t xml:space="preserve">”) and the Restricted Share Award Agreement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and the Plan, which are incorporated herein by reference. Unless otherwise defined, the terms defined in the Plan shall have the same defined meanings in the Grant Notice and the Agreement.</w:t>
      </w:r>
    </w:p>
    <w:p>
      <w:pPr>
        <w:sectPr>
          <w:pgSz w:w="11900" w:h="16838" w:orient="portrait"/>
          <w:cols w:equalWidth="0" w:num="1">
            <w:col w:w="11420"/>
          </w:cols>
          <w:pgMar w:left="240" w:top="356" w:right="23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b w:val="1"/>
          <w:bCs w:val="1"/>
          <w:color w:val="auto"/>
        </w:rPr>
        <w:t>Grantee: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___________________________</w:t>
      </w:r>
    </w:p>
    <w:p>
      <w:pPr>
        <w:spacing w:after="0" w:line="200" w:lineRule="exact"/>
        <w:rPr>
          <w:sz w:val="20"/>
          <w:szCs w:val="20"/>
          <w:color w:val="auto"/>
        </w:rPr>
      </w:pPr>
    </w:p>
    <w:p>
      <w:pPr>
        <w:sectPr>
          <w:pgSz w:w="11900" w:h="16838" w:orient="portrait"/>
          <w:cols w:equalWidth="0" w:num="2">
            <w:col w:w="3300" w:space="720"/>
            <w:col w:w="7400"/>
          </w:cols>
          <w:pgMar w:left="240" w:top="356" w:right="239" w:bottom="1440" w:gutter="0" w:footer="0" w:header="0"/>
          <w:type w:val="continuous"/>
        </w:sectPr>
      </w:pPr>
    </w:p>
    <w:p>
      <w:pPr>
        <w:spacing w:after="0" w:line="3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b w:val="1"/>
          <w:bCs w:val="1"/>
          <w:color w:val="auto"/>
        </w:rPr>
        <w:t>Grant Date:</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___________________________</w:t>
      </w:r>
    </w:p>
    <w:p>
      <w:pPr>
        <w:spacing w:after="0" w:line="200" w:lineRule="exact"/>
        <w:rPr>
          <w:sz w:val="20"/>
          <w:szCs w:val="20"/>
          <w:color w:val="auto"/>
        </w:rPr>
      </w:pPr>
    </w:p>
    <w:p>
      <w:pPr>
        <w:sectPr>
          <w:pgSz w:w="11900" w:h="16838" w:orient="portrait"/>
          <w:cols w:equalWidth="0" w:num="2">
            <w:col w:w="3300" w:space="720"/>
            <w:col w:w="7400"/>
          </w:cols>
          <w:pgMar w:left="240" w:top="356" w:right="239" w:bottom="1440" w:gutter="0" w:footer="0" w:header="0"/>
          <w:type w:val="continuous"/>
        </w:sectPr>
      </w:pPr>
    </w:p>
    <w:p>
      <w:pPr>
        <w:spacing w:after="0" w:line="3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b w:val="1"/>
          <w:bCs w:val="1"/>
          <w:color w:val="auto"/>
        </w:rPr>
        <w:t>Total Number of Restricted Shares:</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___________ shares</w:t>
      </w:r>
    </w:p>
    <w:p>
      <w:pPr>
        <w:spacing w:after="0" w:line="200" w:lineRule="exact"/>
        <w:rPr>
          <w:sz w:val="20"/>
          <w:szCs w:val="20"/>
          <w:color w:val="auto"/>
        </w:rPr>
      </w:pPr>
    </w:p>
    <w:p>
      <w:pPr>
        <w:sectPr>
          <w:pgSz w:w="11900" w:h="16838" w:orient="portrait"/>
          <w:cols w:equalWidth="0" w:num="2">
            <w:col w:w="3300" w:space="720"/>
            <w:col w:w="7400"/>
          </w:cols>
          <w:pgMar w:left="240" w:top="356" w:right="239" w:bottom="1440" w:gutter="0" w:footer="0" w:header="0"/>
          <w:type w:val="continuous"/>
        </w:sectPr>
      </w:pP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54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b w:val="1"/>
                <w:bCs w:val="1"/>
                <w:color w:val="auto"/>
              </w:rPr>
              <w:t>Vesting Schedule:</w:t>
            </w:r>
          </w:p>
        </w:tc>
        <w:tc>
          <w:tcPr>
            <w:tcW w:w="3180" w:type="dxa"/>
            <w:vAlign w:val="bottom"/>
            <w:gridSpan w:val="3"/>
          </w:tcPr>
          <w:p>
            <w:pPr>
              <w:jc w:val="center"/>
              <w:ind w:left="561"/>
              <w:spacing w:after="0"/>
              <w:rPr>
                <w:sz w:val="20"/>
                <w:szCs w:val="20"/>
                <w:color w:val="auto"/>
              </w:rPr>
            </w:pPr>
            <w:r>
              <w:rPr>
                <w:rFonts w:ascii="Times New Roman" w:cs="Times New Roman" w:eastAsia="Times New Roman" w:hAnsi="Times New Roman"/>
                <w:sz w:val="20"/>
                <w:szCs w:val="20"/>
                <w:color w:val="auto"/>
                <w:w w:val="99"/>
              </w:rPr>
              <w:t>Percentage of Restricted Shares</w:t>
            </w:r>
          </w:p>
        </w:tc>
        <w:tc>
          <w:tcPr>
            <w:tcW w:w="0" w:type="dxa"/>
            <w:vAlign w:val="bottom"/>
          </w:tcPr>
          <w:p>
            <w:pPr>
              <w:spacing w:after="0"/>
              <w:rPr>
                <w:sz w:val="1"/>
                <w:szCs w:val="1"/>
                <w:color w:val="auto"/>
              </w:rPr>
            </w:pPr>
          </w:p>
        </w:tc>
      </w:tr>
      <w:tr>
        <w:trPr>
          <w:trHeight w:val="212"/>
        </w:trPr>
        <w:tc>
          <w:tcPr>
            <w:tcW w:w="7540" w:type="dxa"/>
            <w:vAlign w:val="bottom"/>
            <w:gridSpan w:val="3"/>
            <w:vMerge w:val="continue"/>
          </w:tcPr>
          <w:p>
            <w:pPr>
              <w:spacing w:after="0"/>
              <w:rPr>
                <w:sz w:val="18"/>
                <w:szCs w:val="18"/>
                <w:color w:val="auto"/>
              </w:rPr>
            </w:pPr>
          </w:p>
        </w:tc>
        <w:tc>
          <w:tcPr>
            <w:tcW w:w="3180" w:type="dxa"/>
            <w:vAlign w:val="bottom"/>
            <w:gridSpan w:val="3"/>
          </w:tcPr>
          <w:p>
            <w:pPr>
              <w:jc w:val="center"/>
              <w:ind w:left="501"/>
              <w:spacing w:after="0" w:line="212" w:lineRule="exact"/>
              <w:rPr>
                <w:sz w:val="20"/>
                <w:szCs w:val="20"/>
                <w:color w:val="auto"/>
              </w:rPr>
            </w:pPr>
            <w:r>
              <w:rPr>
                <w:rFonts w:ascii="Times New Roman" w:cs="Times New Roman" w:eastAsia="Times New Roman" w:hAnsi="Times New Roman"/>
                <w:sz w:val="20"/>
                <w:szCs w:val="20"/>
                <w:color w:val="auto"/>
                <w:w w:val="98"/>
              </w:rPr>
              <w:t>Which Become Vested</w:t>
            </w:r>
          </w:p>
        </w:tc>
        <w:tc>
          <w:tcPr>
            <w:tcW w:w="0" w:type="dxa"/>
            <w:vAlign w:val="bottom"/>
          </w:tcPr>
          <w:p>
            <w:pPr>
              <w:spacing w:after="0"/>
              <w:rPr>
                <w:sz w:val="1"/>
                <w:szCs w:val="1"/>
                <w:color w:val="auto"/>
              </w:rPr>
            </w:pPr>
          </w:p>
        </w:tc>
      </w:tr>
      <w:tr>
        <w:trPr>
          <w:trHeight w:val="210"/>
        </w:trPr>
        <w:tc>
          <w:tcPr>
            <w:tcW w:w="5320" w:type="dxa"/>
            <w:vAlign w:val="bottom"/>
          </w:tcPr>
          <w:p>
            <w:pPr>
              <w:spacing w:after="0"/>
              <w:rPr>
                <w:sz w:val="18"/>
                <w:szCs w:val="18"/>
                <w:color w:val="auto"/>
              </w:rPr>
            </w:pPr>
          </w:p>
        </w:tc>
        <w:tc>
          <w:tcPr>
            <w:tcW w:w="1020" w:type="dxa"/>
            <w:vAlign w:val="bottom"/>
            <w:tcBorders>
              <w:bottom w:val="single" w:sz="8" w:color="auto"/>
            </w:tcBorders>
          </w:tcPr>
          <w:p>
            <w:pPr>
              <w:jc w:val="center"/>
              <w:spacing w:after="0" w:line="209" w:lineRule="exact"/>
              <w:rPr>
                <w:sz w:val="20"/>
                <w:szCs w:val="20"/>
                <w:color w:val="auto"/>
              </w:rPr>
            </w:pPr>
            <w:r>
              <w:rPr>
                <w:rFonts w:ascii="Times New Roman" w:cs="Times New Roman" w:eastAsia="Times New Roman" w:hAnsi="Times New Roman"/>
                <w:sz w:val="20"/>
                <w:szCs w:val="20"/>
                <w:color w:val="auto"/>
                <w:w w:val="97"/>
              </w:rPr>
              <w:t>Vesting Date</w:t>
            </w:r>
          </w:p>
        </w:tc>
        <w:tc>
          <w:tcPr>
            <w:tcW w:w="12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7540" w:type="dxa"/>
            <w:vAlign w:val="bottom"/>
            <w:gridSpan w:val="3"/>
          </w:tcPr>
          <w:p>
            <w:pPr>
              <w:jc w:val="center"/>
              <w:ind w:left="4001"/>
              <w:spacing w:after="0"/>
              <w:rPr>
                <w:sz w:val="20"/>
                <w:szCs w:val="20"/>
                <w:color w:val="auto"/>
              </w:rPr>
            </w:pPr>
            <w:r>
              <w:rPr>
                <w:rFonts w:ascii="Times New Roman" w:cs="Times New Roman" w:eastAsia="Times New Roman" w:hAnsi="Times New Roman"/>
                <w:sz w:val="20"/>
                <w:szCs w:val="20"/>
                <w:color w:val="auto"/>
                <w:w w:val="99"/>
              </w:rPr>
              <w:t>_____________________</w:t>
            </w:r>
          </w:p>
        </w:tc>
        <w:tc>
          <w:tcPr>
            <w:tcW w:w="3180" w:type="dxa"/>
            <w:vAlign w:val="bottom"/>
            <w:gridSpan w:val="3"/>
          </w:tcPr>
          <w:p>
            <w:pPr>
              <w:jc w:val="center"/>
              <w:ind w:left="561"/>
              <w:spacing w:after="0"/>
              <w:rPr>
                <w:sz w:val="20"/>
                <w:szCs w:val="20"/>
                <w:color w:val="auto"/>
              </w:rPr>
            </w:pPr>
            <w:r>
              <w:rPr>
                <w:rFonts w:ascii="Times New Roman" w:cs="Times New Roman" w:eastAsia="Times New Roman" w:hAnsi="Times New Roman"/>
                <w:sz w:val="20"/>
                <w:szCs w:val="20"/>
                <w:color w:val="auto"/>
                <w:w w:val="99"/>
              </w:rPr>
              <w:t>_____________________</w:t>
            </w:r>
          </w:p>
        </w:tc>
        <w:tc>
          <w:tcPr>
            <w:tcW w:w="0" w:type="dxa"/>
            <w:vAlign w:val="bottom"/>
          </w:tcPr>
          <w:p>
            <w:pPr>
              <w:spacing w:after="0"/>
              <w:rPr>
                <w:sz w:val="1"/>
                <w:szCs w:val="1"/>
                <w:color w:val="auto"/>
              </w:rPr>
            </w:pPr>
          </w:p>
        </w:tc>
      </w:tr>
      <w:tr>
        <w:trPr>
          <w:trHeight w:val="338"/>
        </w:trPr>
        <w:tc>
          <w:tcPr>
            <w:tcW w:w="7540" w:type="dxa"/>
            <w:vAlign w:val="bottom"/>
            <w:gridSpan w:val="3"/>
          </w:tcPr>
          <w:p>
            <w:pPr>
              <w:jc w:val="center"/>
              <w:ind w:left="4001"/>
              <w:spacing w:after="0"/>
              <w:rPr>
                <w:sz w:val="20"/>
                <w:szCs w:val="20"/>
                <w:color w:val="auto"/>
              </w:rPr>
            </w:pPr>
            <w:r>
              <w:rPr>
                <w:rFonts w:ascii="Times New Roman" w:cs="Times New Roman" w:eastAsia="Times New Roman" w:hAnsi="Times New Roman"/>
                <w:sz w:val="20"/>
                <w:szCs w:val="20"/>
                <w:color w:val="auto"/>
                <w:w w:val="99"/>
              </w:rPr>
              <w:t>_____________________</w:t>
            </w:r>
          </w:p>
        </w:tc>
        <w:tc>
          <w:tcPr>
            <w:tcW w:w="3180" w:type="dxa"/>
            <w:vAlign w:val="bottom"/>
            <w:gridSpan w:val="3"/>
          </w:tcPr>
          <w:p>
            <w:pPr>
              <w:jc w:val="center"/>
              <w:ind w:left="561"/>
              <w:spacing w:after="0"/>
              <w:rPr>
                <w:sz w:val="20"/>
                <w:szCs w:val="20"/>
                <w:color w:val="auto"/>
              </w:rPr>
            </w:pPr>
            <w:r>
              <w:rPr>
                <w:rFonts w:ascii="Times New Roman" w:cs="Times New Roman" w:eastAsia="Times New Roman" w:hAnsi="Times New Roman"/>
                <w:sz w:val="20"/>
                <w:szCs w:val="20"/>
                <w:color w:val="auto"/>
                <w:w w:val="99"/>
              </w:rPr>
              <w:t>_____________________</w:t>
            </w:r>
          </w:p>
        </w:tc>
        <w:tc>
          <w:tcPr>
            <w:tcW w:w="0" w:type="dxa"/>
            <w:vAlign w:val="bottom"/>
          </w:tcPr>
          <w:p>
            <w:pPr>
              <w:spacing w:after="0"/>
              <w:rPr>
                <w:sz w:val="1"/>
                <w:szCs w:val="1"/>
                <w:color w:val="auto"/>
              </w:rPr>
            </w:pPr>
          </w:p>
        </w:tc>
      </w:tr>
      <w:tr>
        <w:trPr>
          <w:trHeight w:val="338"/>
        </w:trPr>
        <w:tc>
          <w:tcPr>
            <w:tcW w:w="7540" w:type="dxa"/>
            <w:vAlign w:val="bottom"/>
            <w:gridSpan w:val="3"/>
          </w:tcPr>
          <w:p>
            <w:pPr>
              <w:jc w:val="center"/>
              <w:ind w:left="4001"/>
              <w:spacing w:after="0"/>
              <w:rPr>
                <w:sz w:val="20"/>
                <w:szCs w:val="20"/>
                <w:color w:val="auto"/>
              </w:rPr>
            </w:pPr>
            <w:r>
              <w:rPr>
                <w:rFonts w:ascii="Times New Roman" w:cs="Times New Roman" w:eastAsia="Times New Roman" w:hAnsi="Times New Roman"/>
                <w:sz w:val="20"/>
                <w:szCs w:val="20"/>
                <w:color w:val="auto"/>
                <w:w w:val="99"/>
              </w:rPr>
              <w:t>_____________________</w:t>
            </w:r>
          </w:p>
        </w:tc>
        <w:tc>
          <w:tcPr>
            <w:tcW w:w="3180" w:type="dxa"/>
            <w:vAlign w:val="bottom"/>
            <w:gridSpan w:val="3"/>
          </w:tcPr>
          <w:p>
            <w:pPr>
              <w:jc w:val="center"/>
              <w:ind w:left="541"/>
              <w:spacing w:after="0"/>
              <w:rPr>
                <w:sz w:val="20"/>
                <w:szCs w:val="20"/>
                <w:color w:val="auto"/>
              </w:rPr>
            </w:pPr>
            <w:r>
              <w:rPr>
                <w:rFonts w:ascii="Times New Roman" w:cs="Times New Roman" w:eastAsia="Times New Roman" w:hAnsi="Times New Roman"/>
                <w:sz w:val="20"/>
                <w:szCs w:val="20"/>
                <w:color w:val="auto"/>
                <w:w w:val="99"/>
              </w:rPr>
              <w:t>______________________</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By his or her signature and the Company’s signature below, Grantee agrees to be bound by the terms and conditions of the Plan, the Agreement and the Grant Notice. Grantee has reviewed the Agreement, the Plan and the Grant Notice in their entirety. Grantee hereby agrees to accept as binding, conclusive and final all decisions or interpretations of the Committee upon any questions arising under the Plan, the Grant Notice or the Agreement.</w:t>
      </w:r>
    </w:p>
    <w:p>
      <w:pPr>
        <w:sectPr>
          <w:pgSz w:w="11900" w:h="16838" w:orient="portrait"/>
          <w:cols w:equalWidth="0" w:num="1">
            <w:col w:w="11420"/>
          </w:cols>
          <w:pgMar w:left="240" w:top="356" w:right="239" w:bottom="1440" w:gutter="0" w:footer="0" w:header="0"/>
          <w:type w:val="continuous"/>
        </w:sectPr>
      </w:pPr>
    </w:p>
    <w:bookmarkStart w:id="56" w:name="page57"/>
    <w:bookmarkEnd w:id="56"/>
    <w:tbl>
      <w:tblPr>
        <w:tblLayout w:type="fixed"/>
        <w:tblInd w:w="0" w:type="dxa"/>
        <w:tblCellMar>
          <w:top w:w="0" w:type="dxa"/>
          <w:left w:w="0" w:type="dxa"/>
          <w:bottom w:w="0" w:type="dxa"/>
          <w:right w:w="0" w:type="dxa"/>
        </w:tblCellMar>
      </w:tblPr>
      <w:tr>
        <w:trPr>
          <w:trHeight w:val="262"/>
        </w:trPr>
        <w:tc>
          <w:tcPr>
            <w:tcW w:w="12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NN, INC.</w:t>
            </w:r>
          </w:p>
        </w:tc>
        <w:tc>
          <w:tcPr>
            <w:tcW w:w="4120" w:type="dxa"/>
            <w:vAlign w:val="bottom"/>
          </w:tcPr>
          <w:p>
            <w:pPr>
              <w:spacing w:after="0"/>
              <w:rPr>
                <w:sz w:val="22"/>
                <w:szCs w:val="22"/>
                <w:color w:val="auto"/>
              </w:rPr>
            </w:pPr>
          </w:p>
        </w:tc>
        <w:tc>
          <w:tcPr>
            <w:tcW w:w="1600" w:type="dxa"/>
            <w:vAlign w:val="bottom"/>
          </w:tcPr>
          <w:p>
            <w:pPr>
              <w:ind w:left="380"/>
              <w:spacing w:after="0"/>
              <w:rPr>
                <w:sz w:val="20"/>
                <w:szCs w:val="20"/>
                <w:color w:val="auto"/>
              </w:rPr>
            </w:pPr>
            <w:r>
              <w:rPr>
                <w:rFonts w:ascii="Times New Roman" w:cs="Times New Roman" w:eastAsia="Times New Roman" w:hAnsi="Times New Roman"/>
                <w:sz w:val="20"/>
                <w:szCs w:val="20"/>
                <w:b w:val="1"/>
                <w:bCs w:val="1"/>
                <w:color w:val="auto"/>
              </w:rPr>
              <w:t>GRANTEE</w:t>
            </w:r>
          </w:p>
        </w:tc>
        <w:tc>
          <w:tcPr>
            <w:tcW w:w="4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78"/>
        </w:trPr>
        <w:tc>
          <w:tcPr>
            <w:tcW w:w="12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120" w:type="dxa"/>
            <w:vAlign w:val="bottom"/>
          </w:tcPr>
          <w:p>
            <w:pPr>
              <w:spacing w:after="0"/>
              <w:rPr>
                <w:sz w:val="24"/>
                <w:szCs w:val="24"/>
                <w:color w:val="auto"/>
              </w:rPr>
            </w:pPr>
          </w:p>
        </w:tc>
        <w:tc>
          <w:tcPr>
            <w:tcW w:w="160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By:</w:t>
            </w:r>
          </w:p>
        </w:tc>
        <w:tc>
          <w:tcPr>
            <w:tcW w:w="4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2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Print Name:</w:t>
            </w:r>
          </w:p>
        </w:tc>
        <w:tc>
          <w:tcPr>
            <w:tcW w:w="4120" w:type="dxa"/>
            <w:vAlign w:val="bottom"/>
            <w:tcBorders>
              <w:bottom w:val="single" w:sz="8" w:color="auto"/>
            </w:tcBorders>
          </w:tcPr>
          <w:p>
            <w:pPr>
              <w:spacing w:after="0" w:line="20" w:lineRule="exact"/>
              <w:rPr>
                <w:sz w:val="1"/>
                <w:szCs w:val="1"/>
                <w:color w:val="auto"/>
              </w:rPr>
            </w:pPr>
          </w:p>
        </w:tc>
        <w:tc>
          <w:tcPr>
            <w:tcW w:w="1600" w:type="dxa"/>
            <w:vAlign w:val="bottom"/>
            <w:vMerge w:val="restart"/>
          </w:tcPr>
          <w:p>
            <w:pPr>
              <w:ind w:left="380"/>
              <w:spacing w:after="0"/>
              <w:rPr>
                <w:sz w:val="20"/>
                <w:szCs w:val="20"/>
                <w:color w:val="auto"/>
              </w:rPr>
            </w:pPr>
            <w:r>
              <w:rPr>
                <w:rFonts w:ascii="Times New Roman" w:cs="Times New Roman" w:eastAsia="Times New Roman" w:hAnsi="Times New Roman"/>
                <w:sz w:val="20"/>
                <w:szCs w:val="20"/>
                <w:color w:val="auto"/>
              </w:rPr>
              <w:t>Print Name:</w:t>
            </w:r>
          </w:p>
        </w:tc>
        <w:tc>
          <w:tcPr>
            <w:tcW w:w="4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1220" w:type="dxa"/>
            <w:vAlign w:val="bottom"/>
            <w:vMerge w:val="continue"/>
          </w:tcPr>
          <w:p>
            <w:pPr>
              <w:spacing w:after="0"/>
              <w:rPr>
                <w:sz w:val="21"/>
                <w:szCs w:val="21"/>
                <w:color w:val="auto"/>
              </w:rPr>
            </w:pPr>
          </w:p>
        </w:tc>
        <w:tc>
          <w:tcPr>
            <w:tcW w:w="4120" w:type="dxa"/>
            <w:vAlign w:val="bottom"/>
          </w:tcPr>
          <w:p>
            <w:pPr>
              <w:spacing w:after="0"/>
              <w:rPr>
                <w:sz w:val="21"/>
                <w:szCs w:val="21"/>
                <w:color w:val="auto"/>
              </w:rPr>
            </w:pPr>
          </w:p>
        </w:tc>
        <w:tc>
          <w:tcPr>
            <w:tcW w:w="1600" w:type="dxa"/>
            <w:vAlign w:val="bottom"/>
            <w:vMerge w:val="continue"/>
          </w:tcPr>
          <w:p>
            <w:pPr>
              <w:spacing w:after="0"/>
              <w:rPr>
                <w:sz w:val="21"/>
                <w:szCs w:val="21"/>
                <w:color w:val="auto"/>
              </w:rPr>
            </w:pPr>
          </w:p>
        </w:tc>
        <w:tc>
          <w:tcPr>
            <w:tcW w:w="4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12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Title:</w:t>
            </w:r>
          </w:p>
        </w:tc>
        <w:tc>
          <w:tcPr>
            <w:tcW w:w="4120" w:type="dxa"/>
            <w:vAlign w:val="bottom"/>
            <w:tcBorders>
              <w:bottom w:val="single" w:sz="8" w:color="auto"/>
            </w:tcBorders>
          </w:tcPr>
          <w:p>
            <w:pPr>
              <w:spacing w:after="0" w:line="20" w:lineRule="exact"/>
              <w:rPr>
                <w:sz w:val="1"/>
                <w:szCs w:val="1"/>
                <w:color w:val="auto"/>
              </w:rPr>
            </w:pPr>
          </w:p>
        </w:tc>
        <w:tc>
          <w:tcPr>
            <w:tcW w:w="1600" w:type="dxa"/>
            <w:vAlign w:val="bottom"/>
            <w:vMerge w:val="restart"/>
          </w:tcPr>
          <w:p>
            <w:pPr>
              <w:ind w:left="380"/>
              <w:spacing w:after="0"/>
              <w:rPr>
                <w:sz w:val="20"/>
                <w:szCs w:val="20"/>
                <w:color w:val="auto"/>
              </w:rPr>
            </w:pPr>
            <w:r>
              <w:rPr>
                <w:rFonts w:ascii="Times New Roman" w:cs="Times New Roman" w:eastAsia="Times New Roman" w:hAnsi="Times New Roman"/>
                <w:sz w:val="20"/>
                <w:szCs w:val="20"/>
                <w:color w:val="auto"/>
              </w:rPr>
              <w:t>Address:</w:t>
            </w:r>
          </w:p>
        </w:tc>
        <w:tc>
          <w:tcPr>
            <w:tcW w:w="4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7"/>
        </w:trPr>
        <w:tc>
          <w:tcPr>
            <w:tcW w:w="1220" w:type="dxa"/>
            <w:vAlign w:val="bottom"/>
            <w:vMerge w:val="continue"/>
          </w:tcPr>
          <w:p>
            <w:pPr>
              <w:spacing w:after="0"/>
              <w:rPr>
                <w:sz w:val="24"/>
                <w:szCs w:val="24"/>
                <w:color w:val="auto"/>
              </w:rPr>
            </w:pPr>
          </w:p>
        </w:tc>
        <w:tc>
          <w:tcPr>
            <w:tcW w:w="412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4440" w:type="dxa"/>
            <w:vAlign w:val="bottom"/>
          </w:tcPr>
          <w:p>
            <w:pPr>
              <w:jc w:val="right"/>
              <w:ind w:right="1061"/>
              <w:spacing w:after="0"/>
              <w:rPr>
                <w:sz w:val="20"/>
                <w:szCs w:val="20"/>
                <w:color w:val="auto"/>
              </w:rPr>
            </w:pPr>
            <w:r>
              <w:rPr>
                <w:rFonts w:ascii="Times New Roman" w:cs="Times New Roman" w:eastAsia="Times New Roman" w:hAnsi="Times New Roman"/>
                <w:sz w:val="20"/>
                <w:szCs w:val="20"/>
                <w:color w:val="auto"/>
                <w:w w:val="98"/>
              </w:rPr>
              <w:t>_________________________________</w:t>
            </w:r>
          </w:p>
        </w:tc>
        <w:tc>
          <w:tcPr>
            <w:tcW w:w="0" w:type="dxa"/>
            <w:vAlign w:val="bottom"/>
          </w:tcPr>
          <w:p>
            <w:pPr>
              <w:spacing w:after="0"/>
              <w:rPr>
                <w:sz w:val="1"/>
                <w:szCs w:val="1"/>
                <w:color w:val="auto"/>
              </w:rPr>
            </w:pPr>
          </w:p>
        </w:tc>
      </w:tr>
      <w:tr>
        <w:trPr>
          <w:trHeight w:val="21"/>
        </w:trPr>
        <w:tc>
          <w:tcPr>
            <w:tcW w:w="1220" w:type="dxa"/>
            <w:vAlign w:val="bottom"/>
          </w:tcPr>
          <w:p>
            <w:pPr>
              <w:spacing w:after="0" w:line="20" w:lineRule="exact"/>
              <w:rPr>
                <w:sz w:val="1"/>
                <w:szCs w:val="1"/>
                <w:color w:val="auto"/>
              </w:rPr>
            </w:pPr>
          </w:p>
        </w:tc>
        <w:tc>
          <w:tcPr>
            <w:tcW w:w="4120" w:type="dxa"/>
            <w:vAlign w:val="bottom"/>
            <w:tcBorders>
              <w:bottom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440" w:type="dxa"/>
            <w:vAlign w:val="bottom"/>
            <w:vMerge w:val="restart"/>
          </w:tcPr>
          <w:p>
            <w:pPr>
              <w:jc w:val="right"/>
              <w:ind w:right="1101"/>
              <w:spacing w:after="0"/>
              <w:rPr>
                <w:sz w:val="20"/>
                <w:szCs w:val="20"/>
                <w:color w:val="auto"/>
              </w:rPr>
            </w:pPr>
            <w:r>
              <w:rPr>
                <w:rFonts w:ascii="Times New Roman" w:cs="Times New Roman" w:eastAsia="Times New Roman" w:hAnsi="Times New Roman"/>
                <w:sz w:val="20"/>
                <w:szCs w:val="20"/>
                <w:color w:val="auto"/>
              </w:rPr>
              <w:t>________________________________</w:t>
            </w:r>
          </w:p>
        </w:tc>
        <w:tc>
          <w:tcPr>
            <w:tcW w:w="0" w:type="dxa"/>
            <w:vAlign w:val="bottom"/>
          </w:tcPr>
          <w:p>
            <w:pPr>
              <w:spacing w:after="0"/>
              <w:rPr>
                <w:sz w:val="1"/>
                <w:szCs w:val="1"/>
                <w:color w:val="auto"/>
              </w:rPr>
            </w:pPr>
          </w:p>
        </w:tc>
      </w:tr>
      <w:tr>
        <w:trPr>
          <w:trHeight w:val="324"/>
        </w:trPr>
        <w:tc>
          <w:tcPr>
            <w:tcW w:w="12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4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80" w:top="518" w:right="2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RESTRICTED SHARE AWARD AGREEMENT</w:t>
      </w:r>
    </w:p>
    <w:p>
      <w:pPr>
        <w:spacing w:after="0" w:line="233"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20"/>
          <w:szCs w:val="20"/>
          <w:color w:val="auto"/>
        </w:rPr>
        <w:t>Pursuant to this Restricted Share Award Agreement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and the Grant Notice to which it is attached, the Company has granted to Grantee the right to receive the number of Restricted Shares set forth in the Grant Notice, subject to the terms and conditions of this Agreement and the Company’s 2019 Omnibus Incentive Plan, as amended from time to time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2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207"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Capitalized terms not specifically defined herein shall have the meanings specified in the Plan or the Grant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Notice.</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1.2 </w:t>
      </w:r>
      <w:r>
        <w:rPr>
          <w:rFonts w:ascii="Times New Roman" w:cs="Times New Roman" w:eastAsia="Times New Roman" w:hAnsi="Times New Roman"/>
          <w:sz w:val="20"/>
          <w:szCs w:val="20"/>
          <w:u w:val="single" w:color="auto"/>
          <w:color w:val="auto"/>
        </w:rPr>
        <w:t>Incorporation of Terms of Plan</w:t>
      </w:r>
      <w:r>
        <w:rPr>
          <w:rFonts w:ascii="Times New Roman" w:cs="Times New Roman" w:eastAsia="Times New Roman" w:hAnsi="Times New Roman"/>
          <w:sz w:val="20"/>
          <w:szCs w:val="20"/>
          <w:color w:val="auto"/>
        </w:rPr>
        <w:t>. This Restricted Share Award is subject to the terms and conditions set forth in this Agreement, the Grant Notice and the Plan, which are incorporated herein by reference. In the event of any inconsistency between the Plan and this Agreement, the terms of the Plan shall control.</w:t>
      </w:r>
    </w:p>
    <w:p>
      <w:pPr>
        <w:spacing w:after="0" w:line="1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GRANT OF RESTRICTED SHARES</w:t>
      </w:r>
    </w:p>
    <w:p>
      <w:pPr>
        <w:spacing w:after="0" w:line="207"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 xml:space="preserve">2.1 </w:t>
      </w:r>
      <w:r>
        <w:rPr>
          <w:rFonts w:ascii="Times New Roman" w:cs="Times New Roman" w:eastAsia="Times New Roman" w:hAnsi="Times New Roman"/>
          <w:sz w:val="20"/>
          <w:szCs w:val="20"/>
          <w:u w:val="single" w:color="auto"/>
          <w:color w:val="auto"/>
        </w:rPr>
        <w:t>Grant</w:t>
      </w:r>
      <w:r>
        <w:rPr>
          <w:rFonts w:ascii="Times New Roman" w:cs="Times New Roman" w:eastAsia="Times New Roman" w:hAnsi="Times New Roman"/>
          <w:sz w:val="20"/>
          <w:szCs w:val="20"/>
          <w:color w:val="auto"/>
        </w:rPr>
        <w:t>. In consideration of Grantee’s past and/or continued employment with or service to the Company or a Subsidiary and for other good and valuable consideration, effective as of the grant date set forth in the Grant Notice (the “</w:t>
      </w:r>
      <w:r>
        <w:rPr>
          <w:rFonts w:ascii="Times New Roman" w:cs="Times New Roman" w:eastAsia="Times New Roman" w:hAnsi="Times New Roman"/>
          <w:sz w:val="20"/>
          <w:szCs w:val="20"/>
          <w:u w:val="single" w:color="auto"/>
          <w:color w:val="auto"/>
        </w:rPr>
        <w:t>Grant Date</w:t>
      </w:r>
      <w:r>
        <w:rPr>
          <w:rFonts w:ascii="Times New Roman" w:cs="Times New Roman" w:eastAsia="Times New Roman" w:hAnsi="Times New Roman"/>
          <w:sz w:val="20"/>
          <w:szCs w:val="20"/>
          <w:color w:val="auto"/>
        </w:rPr>
        <w:t>”), the Company has granted to Grantee the Restricted Share Award. The Restricted Shares granted pursuant to this Award shall be issued in the form of a book entry of Shares in Grantee’s name as soon as reasonably practicable after the Grant Date and shall be subject to Grantee’s acknowledgement and acceptance of the Grant Notice and this Agreement.</w:t>
      </w:r>
    </w:p>
    <w:p>
      <w:pPr>
        <w:spacing w:after="0" w:line="19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2.2 </w:t>
      </w:r>
      <w:r>
        <w:rPr>
          <w:rFonts w:ascii="Times New Roman" w:cs="Times New Roman" w:eastAsia="Times New Roman" w:hAnsi="Times New Roman"/>
          <w:sz w:val="20"/>
          <w:szCs w:val="20"/>
          <w:u w:val="single" w:color="auto"/>
          <w:color w:val="auto"/>
        </w:rPr>
        <w:t>Lapse of Restrictions</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Sections 3.2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3.3</w:t>
      </w:r>
      <w:r>
        <w:rPr>
          <w:rFonts w:ascii="Times New Roman" w:cs="Times New Roman" w:eastAsia="Times New Roman" w:hAnsi="Times New Roman"/>
          <w:sz w:val="20"/>
          <w:szCs w:val="20"/>
          <w:color w:val="auto"/>
        </w:rPr>
        <w:t xml:space="preserve"> hereof, the restrictions associated with the Restricted Shares granted pursuant to the Grant Notice shall lapse at such times (each, a “</w:t>
      </w:r>
      <w:r>
        <w:rPr>
          <w:rFonts w:ascii="Times New Roman" w:cs="Times New Roman" w:eastAsia="Times New Roman" w:hAnsi="Times New Roman"/>
          <w:sz w:val="20"/>
          <w:szCs w:val="20"/>
          <w:u w:val="single" w:color="auto"/>
          <w:color w:val="auto"/>
        </w:rPr>
        <w:t>Vesting Date</w:t>
      </w:r>
      <w:r>
        <w:rPr>
          <w:rFonts w:ascii="Times New Roman" w:cs="Times New Roman" w:eastAsia="Times New Roman" w:hAnsi="Times New Roman"/>
          <w:sz w:val="20"/>
          <w:szCs w:val="20"/>
          <w:color w:val="auto"/>
        </w:rPr>
        <w:t xml:space="preserve">”) as set forth on the Vesting Schedule contained in the Grant Notice. Certificates representing the Restricted Shares that have vested under pursuant to this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will be distributed to the Grantee as soon as practicable after each Vesting Date, or an appropriate book entry notation shall be made.</w:t>
      </w:r>
    </w:p>
    <w:p>
      <w:pPr>
        <w:spacing w:after="0" w:line="194"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 xml:space="preserve">2.3 </w:t>
      </w:r>
      <w:r>
        <w:rPr>
          <w:rFonts w:ascii="Times New Roman" w:cs="Times New Roman" w:eastAsia="Times New Roman" w:hAnsi="Times New Roman"/>
          <w:sz w:val="20"/>
          <w:szCs w:val="20"/>
          <w:u w:val="single" w:color="auto"/>
          <w:color w:val="auto"/>
        </w:rPr>
        <w:t>Voting Rights and Dividends</w:t>
      </w:r>
      <w:r>
        <w:rPr>
          <w:rFonts w:ascii="Times New Roman" w:cs="Times New Roman" w:eastAsia="Times New Roman" w:hAnsi="Times New Roman"/>
          <w:sz w:val="20"/>
          <w:szCs w:val="20"/>
          <w:color w:val="auto"/>
        </w:rPr>
        <w:t xml:space="preserve">. During the period prior to vesting, except as otherwise provided herein, Grantee will have all of the rights of a shareholder with respect to all of the Restricted Shares, including without limitation the right to vote such Restricted Shares and the right to receive all dividends or other distributions with respect to such Restricted Shares. Prior to the distribution of unrestricted Shares pursuant to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hereof, certificates representing Restricted Shares issued pursuant to this Agreement will be held (or appropriate book entry notation will be made) by the Company (the "</w:t>
      </w:r>
      <w:r>
        <w:rPr>
          <w:rFonts w:ascii="Times New Roman" w:cs="Times New Roman" w:eastAsia="Times New Roman" w:hAnsi="Times New Roman"/>
          <w:sz w:val="20"/>
          <w:szCs w:val="20"/>
          <w:u w:val="single" w:color="auto"/>
          <w:color w:val="auto"/>
        </w:rPr>
        <w:t>Custodian</w:t>
      </w:r>
      <w:r>
        <w:rPr>
          <w:rFonts w:ascii="Times New Roman" w:cs="Times New Roman" w:eastAsia="Times New Roman" w:hAnsi="Times New Roman"/>
          <w:sz w:val="20"/>
          <w:szCs w:val="20"/>
          <w:color w:val="auto"/>
        </w:rPr>
        <w:t>") in the name of the Grantee. The Custodian will take such action as is necessary and appropriate to enable the Grantee to vote the Restricted Shares. All cash dividends received by the Custodian, if any, with respect to the Restricted Shares will be delivered to Grantee as soon as practicable after the Custodian’s receipt thereof. Stock dividends issued with respect to the Restricted Shares shall be treated as additional Restricted Shares that are subject to the same restrictions and other terms and conditions that apply to the Restricted</w:t>
      </w:r>
    </w:p>
    <w:p>
      <w:pPr>
        <w:sectPr>
          <w:pgSz w:w="11900" w:h="16838" w:orient="portrait"/>
          <w:cols w:equalWidth="0" w:num="1">
            <w:col w:w="11420"/>
          </w:cols>
          <w:pgMar w:left="240" w:top="356" w:right="239" w:bottom="1440" w:gutter="0" w:footer="0" w:header="0"/>
        </w:sectPr>
      </w:pPr>
    </w:p>
    <w:bookmarkStart w:id="58" w:name="page59"/>
    <w:bookmarkEnd w:id="58"/>
    <w:p>
      <w:pPr>
        <w:jc w:val="both"/>
        <w:spacing w:after="0" w:line="269" w:lineRule="auto"/>
        <w:rPr>
          <w:sz w:val="20"/>
          <w:szCs w:val="20"/>
          <w:color w:val="auto"/>
        </w:rPr>
      </w:pPr>
      <w:r>
        <w:rPr>
          <w:rFonts w:ascii="Times New Roman" w:cs="Times New Roman" w:eastAsia="Times New Roman" w:hAnsi="Times New Roman"/>
          <w:sz w:val="20"/>
          <w:szCs w:val="20"/>
          <w:color w:val="auto"/>
        </w:rPr>
        <w:t xml:space="preserve">Shares granted in the Grant Notice. Notwithstanding the foregoing, no voting rights or dividend rights shall inure to the Grantee following the forfeiture of the Restricted Shares pursuant to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xml:space="preserve"> hereof.</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SEPARATION FROM SERVICE; CHANGE IN CONTROL</w:t>
      </w:r>
    </w:p>
    <w:p>
      <w:pPr>
        <w:spacing w:after="0" w:line="20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u w:val="single" w:color="auto"/>
          <w:color w:val="auto"/>
        </w:rPr>
        <w:t>In General</w:t>
      </w:r>
      <w:r>
        <w:rPr>
          <w:rFonts w:ascii="Times New Roman" w:cs="Times New Roman" w:eastAsia="Times New Roman" w:hAnsi="Times New Roman"/>
          <w:sz w:val="20"/>
          <w:szCs w:val="20"/>
          <w:color w:val="auto"/>
        </w:rPr>
        <w:t xml:space="preserve">. In the event that Grantee Separates from Service for any reason, other than death, Retirement or Disability, all Restricted Shares for which the forfeiture restrictions have not lapsed pursuant to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prior to the Grantee’s Separation from Service shall be immediately forfeited and Grantee shall have no further rights with respect to such Restricted Shares, except as may be determined otherwise by the Committee in its the sole and absolute discretion.</w:t>
      </w:r>
    </w:p>
    <w:p>
      <w:pPr>
        <w:spacing w:after="0" w:line="19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u w:val="single" w:color="auto"/>
          <w:color w:val="auto"/>
        </w:rPr>
        <w:t>Death, Retirement or Disability</w:t>
      </w:r>
      <w:r>
        <w:rPr>
          <w:rFonts w:ascii="Times New Roman" w:cs="Times New Roman" w:eastAsia="Times New Roman" w:hAnsi="Times New Roman"/>
          <w:sz w:val="20"/>
          <w:szCs w:val="20"/>
          <w:color w:val="auto"/>
        </w:rPr>
        <w:t xml:space="preserve">. In the event that the Grantee’s employment terminates by reason of death, Retirement or Disability, all Restricted Shares shall be deemed vested and, the restrictions under the Plan and this Agreement with respect to the Restricted Shares, including the restriction on transfer set forth in </w:t>
      </w: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 xml:space="preserve"> hereof, shall automatically expire and shall be of no further force or effect. For purposes of this Agreement, “Retirement” means termination of service after the Grantee has completed 10 years of service with the Company and has reached the age of 55.</w:t>
      </w:r>
    </w:p>
    <w:p>
      <w:pPr>
        <w:spacing w:after="0" w:line="19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3.3 </w:t>
      </w: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Upon the occurrence of a Change in Control, the Committee shall determine the treatment of the Restricted Shares consistent with the provisions of Section 13 of the Plan.</w:t>
      </w:r>
    </w:p>
    <w:p>
      <w:pPr>
        <w:spacing w:after="0" w:line="169"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26"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20"/>
          <w:szCs w:val="20"/>
          <w:b w:val="1"/>
          <w:bCs w:val="1"/>
          <w:color w:val="auto"/>
        </w:rPr>
        <w:t>OTHER PROVISIONS</w:t>
      </w:r>
    </w:p>
    <w:p>
      <w:pPr>
        <w:spacing w:after="0" w:line="20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u w:val="single" w:color="auto"/>
          <w:color w:val="auto"/>
        </w:rPr>
        <w:t>No Transfer or Pledge of Restricted Shares</w:t>
      </w:r>
      <w:r>
        <w:rPr>
          <w:rFonts w:ascii="Times New Roman" w:cs="Times New Roman" w:eastAsia="Times New Roman" w:hAnsi="Times New Roman"/>
          <w:sz w:val="20"/>
          <w:szCs w:val="20"/>
          <w:color w:val="auto"/>
        </w:rPr>
        <w:t>. No Restricted Shares may be sold, assigned, transferred, pledged, hypothecated or otherwise encumbered or disposed of prior to the date the forfeiture restrictions with respect to such shares have lapsed, if at all, on the Vesting Date applicable to such shares and the underlying Shares have been delivered to the Grantee, other than by will or the laws of descent and distribution.</w:t>
      </w:r>
    </w:p>
    <w:p>
      <w:pPr>
        <w:spacing w:after="0" w:line="194"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u w:val="single" w:color="auto"/>
          <w:color w:val="auto"/>
        </w:rPr>
        <w:t>Tax Withholding</w:t>
      </w:r>
      <w:r>
        <w:rPr>
          <w:rFonts w:ascii="Times New Roman" w:cs="Times New Roman" w:eastAsia="Times New Roman" w:hAnsi="Times New Roman"/>
          <w:sz w:val="20"/>
          <w:szCs w:val="20"/>
          <w:color w:val="auto"/>
        </w:rPr>
        <w:t>. If the Grantee makes an election under Section 83(b) of the Code with respect to any Restricted Shares, the grant of such Restricted Shares shall be further conditioned upon the Grantee making prompt payment to the Company of any applicable withholding obligations or withholding taxes (“</w:t>
      </w:r>
      <w:r>
        <w:rPr>
          <w:rFonts w:ascii="Times New Roman" w:cs="Times New Roman" w:eastAsia="Times New Roman" w:hAnsi="Times New Roman"/>
          <w:sz w:val="20"/>
          <w:szCs w:val="20"/>
          <w:u w:val="single" w:color="auto"/>
          <w:color w:val="auto"/>
        </w:rPr>
        <w:t>Withholding Taxes</w:t>
      </w:r>
      <w:r>
        <w:rPr>
          <w:rFonts w:ascii="Times New Roman" w:cs="Times New Roman" w:eastAsia="Times New Roman" w:hAnsi="Times New Roman"/>
          <w:sz w:val="20"/>
          <w:szCs w:val="20"/>
          <w:color w:val="auto"/>
        </w:rPr>
        <w:t xml:space="preserve">”). Failure by the Grantee to pay such Withholding Taxes will render the Restricted Shares subject to such election null and void </w:t>
      </w:r>
      <w:r>
        <w:rPr>
          <w:rFonts w:ascii="Times New Roman" w:cs="Times New Roman" w:eastAsia="Times New Roman" w:hAnsi="Times New Roman"/>
          <w:sz w:val="20"/>
          <w:szCs w:val="20"/>
          <w:i w:val="1"/>
          <w:iCs w:val="1"/>
          <w:color w:val="auto"/>
        </w:rPr>
        <w:t>ab initio</w:t>
      </w:r>
      <w:r>
        <w:rPr>
          <w:rFonts w:ascii="Times New Roman" w:cs="Times New Roman" w:eastAsia="Times New Roman" w:hAnsi="Times New Roman"/>
          <w:sz w:val="20"/>
          <w:szCs w:val="20"/>
          <w:color w:val="auto"/>
        </w:rPr>
        <w:t xml:space="preserve"> and such Restricted Shares will be immediately cancelled. If the Grantee does not make an election under Section 83(b) of the Code with respect to the Restricted Share Award, the Company's obligation to release the vested Restricted Shares shall be subject to the Grantee's satisfaction of any applicable Withholding Taxes, and the Grantee shall pay the amount of any such Withholding Taxes to the Company as set forth in this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The Grantee may satisfy his or her obligation to pay the Withholding Taxes with respect to any Restricted Shares for which an election under Section 83(b) of the Code has not been made by: (i) making a cash payment to the Company in an amount equal to the Withholding Taxes; (ii) having the Company withhold Shares otherwise deliverable to the Grantee pursuant to settlement of vested Restricted Shares; or (iii) delivering, actually or by attestation, to the Company Shares already owned by the Grantee; provided that in the case of (ii) or (iii) the amount of such Shares withheld or Shares delivered (with the value of such Shares being based on the Fair Market Value of a Share as of the payment date as determined by the Committee) shall be determined consistent with the Plan. The Grantee acknowledges and agrees that the Company has the right to deduct from compensation or other amounts owing to the Grantee an amount not to exceed the Withholding Taxes. Neither</w:t>
      </w:r>
    </w:p>
    <w:p>
      <w:pPr>
        <w:sectPr>
          <w:pgSz w:w="11900" w:h="16838" w:orient="portrait"/>
          <w:cols w:equalWidth="0" w:num="1">
            <w:col w:w="11420"/>
          </w:cols>
          <w:pgMar w:left="240" w:top="360" w:right="239" w:bottom="1440" w:gutter="0" w:footer="0" w:header="0"/>
        </w:sectPr>
      </w:pPr>
    </w:p>
    <w:bookmarkStart w:id="59" w:name="page60"/>
    <w:bookmarkEnd w:id="59"/>
    <w:p>
      <w:pPr>
        <w:jc w:val="both"/>
        <w:spacing w:after="0" w:line="254" w:lineRule="auto"/>
        <w:rPr>
          <w:sz w:val="20"/>
          <w:szCs w:val="20"/>
          <w:color w:val="auto"/>
        </w:rPr>
      </w:pPr>
      <w:r>
        <w:rPr>
          <w:rFonts w:ascii="Times New Roman" w:cs="Times New Roman" w:eastAsia="Times New Roman" w:hAnsi="Times New Roman"/>
          <w:sz w:val="20"/>
          <w:szCs w:val="20"/>
          <w:color w:val="auto"/>
        </w:rPr>
        <w:t>the Company nor any Subsidiary makes any representation or undertaking regarding the treatment of any tax withholding in connection with the awarding or vesting of the Restricted Shares or the subsequent sale of Shares. The Company and the Subsidiaries do not commit and are under no obligation to structure this Restricted Share Award to reduce or eliminate Grantee’s tax liability.</w:t>
      </w:r>
    </w:p>
    <w:p>
      <w:pPr>
        <w:spacing w:after="0" w:line="18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 xml:space="preserve">4.3 </w:t>
      </w:r>
      <w:r>
        <w:rPr>
          <w:rFonts w:ascii="Times New Roman" w:cs="Times New Roman" w:eastAsia="Times New Roman" w:hAnsi="Times New Roman"/>
          <w:sz w:val="20"/>
          <w:szCs w:val="20"/>
          <w:u w:val="single" w:color="auto"/>
          <w:color w:val="auto"/>
        </w:rPr>
        <w:t>Stock Subject to Award</w:t>
      </w:r>
      <w:r>
        <w:rPr>
          <w:rFonts w:ascii="Times New Roman" w:cs="Times New Roman" w:eastAsia="Times New Roman" w:hAnsi="Times New Roman"/>
          <w:sz w:val="20"/>
          <w:szCs w:val="20"/>
          <w:color w:val="auto"/>
        </w:rPr>
        <w:t>. In the event that the Company Shares should, as a result of a stock split or stock dividend or combination of shares or any other change, redesignation, merger, consolidation, recapitalization or otherwise, be increased or decreased or changed into or exchanged for a different number or kind of shares of stock or other securities of the Company or of another corporation, or in the event of any other event contemplated by Section 4.2 of the Plan, the number of Restricted Shares that have been awarded to Grantee shall be adjusted in an equitable and proportionate manner to reflect such action. If any such adjustment shall result in a fractional share, such fraction shall be disregarded.</w:t>
      </w:r>
    </w:p>
    <w:p>
      <w:pPr>
        <w:spacing w:after="0" w:line="19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4.4 </w:t>
      </w:r>
      <w:r>
        <w:rPr>
          <w:rFonts w:ascii="Times New Roman" w:cs="Times New Roman" w:eastAsia="Times New Roman" w:hAnsi="Times New Roman"/>
          <w:sz w:val="20"/>
          <w:szCs w:val="20"/>
          <w:u w:val="single" w:color="auto"/>
          <w:color w:val="auto"/>
        </w:rPr>
        <w:t>Stock Power</w:t>
      </w:r>
      <w:r>
        <w:rPr>
          <w:rFonts w:ascii="Times New Roman" w:cs="Times New Roman" w:eastAsia="Times New Roman" w:hAnsi="Times New Roman"/>
          <w:sz w:val="20"/>
          <w:szCs w:val="20"/>
          <w:color w:val="auto"/>
        </w:rPr>
        <w:t xml:space="preserve">. Concurrently with the execution of this Agreement, the Grantee shall deliver to the Company a stock power, endorsed in blank, relating to the Restricted Shares. Such stock power shall be in the form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ind w:left="560"/>
        <w:spacing w:after="0"/>
        <w:tabs>
          <w:tab w:leader="none" w:pos="980" w:val="left"/>
        </w:tabs>
        <w:rPr>
          <w:sz w:val="20"/>
          <w:szCs w:val="20"/>
          <w:color w:val="auto"/>
        </w:rPr>
      </w:pPr>
      <w:r>
        <w:rPr>
          <w:rFonts w:ascii="Times New Roman" w:cs="Times New Roman" w:eastAsia="Times New Roman" w:hAnsi="Times New Roman"/>
          <w:sz w:val="20"/>
          <w:szCs w:val="20"/>
          <w:color w:val="auto"/>
        </w:rPr>
        <w:t>4.5</w:t>
      </w:r>
      <w:r>
        <w:rPr>
          <w:sz w:val="20"/>
          <w:szCs w:val="20"/>
          <w:color w:val="auto"/>
        </w:rPr>
        <w:tab/>
      </w:r>
      <w:r>
        <w:rPr>
          <w:rFonts w:ascii="Times New Roman" w:cs="Times New Roman" w:eastAsia="Times New Roman" w:hAnsi="Times New Roman"/>
          <w:sz w:val="19"/>
          <w:szCs w:val="19"/>
          <w:u w:val="single" w:color="auto"/>
          <w:color w:val="auto"/>
        </w:rPr>
        <w:t>Legend</w:t>
      </w:r>
      <w:r>
        <w:rPr>
          <w:rFonts w:ascii="Times New Roman" w:cs="Times New Roman" w:eastAsia="Times New Roman" w:hAnsi="Times New Roman"/>
          <w:sz w:val="19"/>
          <w:szCs w:val="19"/>
          <w:color w:val="auto"/>
        </w:rPr>
        <w:t>. Each certificate representing Restricted Shares shall bear a legend in substantially the following form:</w:t>
      </w:r>
    </w:p>
    <w:p>
      <w:pPr>
        <w:spacing w:after="0" w:line="22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THIS CERTIFICATE AND THE SHARES OF STOCK REPRESENTED HEREBY ARE SUBJECT TO THE TERMS AND CONDITIONS (INCLUDING FORFEITURE AND RESTRICTIONS AGAINST TRANSFER) CONTAINED IN THE NN, INC. 2019 OMNIBUS INCENTIVE PLAN (THE "PLAN") AND THE RESTRICTED SHARE AGREEMENT (THE "AGREEMENT") BETWEEN THE OWNER OF THE RESTRICTED SHARES REPRESENTED HEREBY AND NN, INC. (THE "COMPANY"). THE RELEASE OF SUCH STOCK FROM SUCH TERMS AND CONDITIONS SHALL BE MADE ONLY IN ACCORDANCE WITH THE PROVISIONS OF THE PLAN AND THE AGREEMENT, COPIES OF WHICH ARE ON FILE AT THE COMPANY.</w:t>
      </w:r>
    </w:p>
    <w:p>
      <w:pPr>
        <w:spacing w:after="0" w:line="199" w:lineRule="exact"/>
        <w:rPr>
          <w:sz w:val="20"/>
          <w:szCs w:val="20"/>
          <w:color w:val="auto"/>
        </w:rPr>
      </w:pPr>
    </w:p>
    <w:p>
      <w:pPr>
        <w:jc w:val="both"/>
        <w:ind w:firstLine="655"/>
        <w:spacing w:after="0" w:line="254" w:lineRule="auto"/>
        <w:rPr>
          <w:sz w:val="20"/>
          <w:szCs w:val="20"/>
          <w:color w:val="auto"/>
        </w:rPr>
      </w:pPr>
      <w:r>
        <w:rPr>
          <w:rFonts w:ascii="Times New Roman" w:cs="Times New Roman" w:eastAsia="Times New Roman" w:hAnsi="Times New Roman"/>
          <w:sz w:val="20"/>
          <w:szCs w:val="20"/>
          <w:color w:val="auto"/>
        </w:rPr>
        <w:t xml:space="preserve">4.6 </w:t>
      </w:r>
      <w:r>
        <w:rPr>
          <w:rFonts w:ascii="Times New Roman" w:cs="Times New Roman" w:eastAsia="Times New Roman" w:hAnsi="Times New Roman"/>
          <w:sz w:val="20"/>
          <w:szCs w:val="20"/>
          <w:u w:val="single" w:color="auto"/>
          <w:color w:val="auto"/>
        </w:rPr>
        <w:t>No Right to Continued Employment</w:t>
      </w:r>
      <w:r>
        <w:rPr>
          <w:rFonts w:ascii="Times New Roman" w:cs="Times New Roman" w:eastAsia="Times New Roman" w:hAnsi="Times New Roman"/>
          <w:sz w:val="20"/>
          <w:szCs w:val="20"/>
          <w:color w:val="auto"/>
        </w:rPr>
        <w:t>. This Agreement shall not be construed as giving the Grantee the right to be retained in the employ of the Company (or any Subsidiary of the Company), and the Company (or any Subsidiary of the Company) may at any time dismiss the Grantee from employment, free from any liability or any claim under the Plan.</w:t>
      </w:r>
    </w:p>
    <w:p>
      <w:pPr>
        <w:spacing w:after="0" w:line="188" w:lineRule="exact"/>
        <w:rPr>
          <w:sz w:val="20"/>
          <w:szCs w:val="20"/>
          <w:color w:val="auto"/>
        </w:rPr>
      </w:pPr>
    </w:p>
    <w:p>
      <w:pPr>
        <w:jc w:val="both"/>
        <w:ind w:firstLine="643"/>
        <w:spacing w:after="0" w:line="249" w:lineRule="auto"/>
        <w:rPr>
          <w:sz w:val="20"/>
          <w:szCs w:val="20"/>
          <w:color w:val="auto"/>
        </w:rPr>
      </w:pPr>
      <w:r>
        <w:rPr>
          <w:rFonts w:ascii="Times New Roman" w:cs="Times New Roman" w:eastAsia="Times New Roman" w:hAnsi="Times New Roman"/>
          <w:sz w:val="20"/>
          <w:szCs w:val="20"/>
          <w:color w:val="auto"/>
        </w:rPr>
        <w:t xml:space="preserve">4.7 </w:t>
      </w:r>
      <w:r>
        <w:rPr>
          <w:rFonts w:ascii="Times New Roman" w:cs="Times New Roman" w:eastAsia="Times New Roman" w:hAnsi="Times New Roman"/>
          <w:sz w:val="20"/>
          <w:szCs w:val="20"/>
          <w:u w:val="single" w:color="auto"/>
          <w:color w:val="auto"/>
        </w:rPr>
        <w:t>Governing Provisions</w:t>
      </w:r>
      <w:r>
        <w:rPr>
          <w:rFonts w:ascii="Times New Roman" w:cs="Times New Roman" w:eastAsia="Times New Roman" w:hAnsi="Times New Roman"/>
          <w:sz w:val="20"/>
          <w:szCs w:val="20"/>
          <w:color w:val="auto"/>
        </w:rPr>
        <w:t>. This Agreement is made under and subject to the provisions of the Plan, and all of the provisions of the Plan are also provisions of this Agreement. If there is a difference or conflict between the provisions of this Agreement and the provisions of the Plan, the provisions of the Plan will govern. By signing this Agreement, the Grantee confirms that he or she has received a copy of the Plan.</w:t>
      </w:r>
    </w:p>
    <w:p>
      <w:pPr>
        <w:spacing w:after="0" w:line="19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4.8 </w:t>
      </w: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and the Plan contain the entire understanding and agreement between the Company and the Grantee concerning the Restricted Shares granted hereby, and supersede any prior or contemporaneous negotiations and understandings. The Company and the Grantee have made no promises, agreements, conditions or understandings relating to the Restricted Shares, either orally or in writing, that are not included in this Agreement or the Plan.</w:t>
      </w:r>
    </w:p>
    <w:p>
      <w:pPr>
        <w:spacing w:after="0" w:line="19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4.9 </w:t>
      </w:r>
      <w:r>
        <w:rPr>
          <w:rFonts w:ascii="Times New Roman" w:cs="Times New Roman" w:eastAsia="Times New Roman" w:hAnsi="Times New Roman"/>
          <w:sz w:val="20"/>
          <w:szCs w:val="20"/>
          <w:u w:val="single" w:color="auto"/>
          <w:color w:val="auto"/>
        </w:rPr>
        <w:t>Captions</w:t>
      </w:r>
      <w:r>
        <w:rPr>
          <w:rFonts w:ascii="Times New Roman" w:cs="Times New Roman" w:eastAsia="Times New Roman" w:hAnsi="Times New Roman"/>
          <w:sz w:val="20"/>
          <w:szCs w:val="20"/>
          <w:color w:val="auto"/>
        </w:rPr>
        <w:t>. The captions and section numbers appearing in this Agreement are inserted only as a matter of convenience. They do not define, limit, construe or describe the scope or intent of the provisions of this Agreement.</w:t>
      </w:r>
    </w:p>
    <w:p>
      <w:pPr>
        <w:sectPr>
          <w:pgSz w:w="11900" w:h="16838" w:orient="portrait"/>
          <w:cols w:equalWidth="0" w:num="1">
            <w:col w:w="11420"/>
          </w:cols>
          <w:pgMar w:left="240" w:top="360" w:right="239" w:bottom="1440" w:gutter="0" w:footer="0" w:header="0"/>
        </w:sectPr>
      </w:pPr>
    </w:p>
    <w:bookmarkStart w:id="60" w:name="page61"/>
    <w:bookmarkEnd w:id="60"/>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4.10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The Grant Notice may be executed in one or more counterparts, including by way of any electronic signature, subject to applicable law, each of which shall be deemed an original and all of which together shall constitute one instrument.</w:t>
      </w:r>
    </w:p>
    <w:p>
      <w:pPr>
        <w:spacing w:after="0" w:line="17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 xml:space="preserve">4.11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xml:space="preserve">. Any notice to be given under the terms of this Agreement to the Company shall be addressed to the Company in care of the Secretary of the Company at the Company’s principal office, and any notice to be given to Grantee shall be addressed to Grantee at Grantee’s last address reflected on the Company’s records. By a notice given pursuant to this </w:t>
      </w:r>
      <w:r>
        <w:rPr>
          <w:rFonts w:ascii="Times New Roman" w:cs="Times New Roman" w:eastAsia="Times New Roman" w:hAnsi="Times New Roman"/>
          <w:sz w:val="20"/>
          <w:szCs w:val="20"/>
          <w:u w:val="single" w:color="auto"/>
          <w:color w:val="auto"/>
        </w:rPr>
        <w:t>Section 4.11</w:t>
      </w:r>
      <w:r>
        <w:rPr>
          <w:rFonts w:ascii="Times New Roman" w:cs="Times New Roman" w:eastAsia="Times New Roman" w:hAnsi="Times New Roman"/>
          <w:sz w:val="20"/>
          <w:szCs w:val="20"/>
          <w:color w:val="auto"/>
        </w:rPr>
        <w:t>,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19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4.12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xml:space="preserve">. To the extent permitted by the Plan, this Agreement may be wholly or partially amended or otherwise modified, suspended or terminated at any time or from time to time by the Committee or the Board,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except as may otherwise be provided by the Plan, no amendment, modification, suspension or termination of this Agreement shall adversely affect this Restricted Share Award in any material way without the prior written consent of Grantee.</w:t>
      </w:r>
    </w:p>
    <w:p>
      <w:pPr>
        <w:spacing w:after="0" w:line="19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4.13 </w:t>
      </w: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xml:space="preserve">. The Company may assign any of its rights under this Agreement to single or multiple assignees, and this Agreement shall inure to the benefit of the successors and assigns of the Company. Subject to the restrictions on transfer set forth in </w:t>
      </w: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 xml:space="preserve"> hereof and the Plan, this Agreement shall be binding upon and inure to the benefit of the heirs, legatees, legal representatives, successors and assigns of the parties hereto.</w:t>
      </w:r>
    </w:p>
    <w:p>
      <w:pPr>
        <w:spacing w:after="0" w:line="19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4.14 </w:t>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The laws of the State of Delaware shall govern the interpretation, validity, administration, enforcement and performance of the terms of this Agreement regardless of the law that might be applied under principles of conflicts of laws.</w:t>
      </w:r>
    </w:p>
    <w:p>
      <w:pPr>
        <w:spacing w:after="0" w:line="17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 xml:space="preserve">4.15 </w:t>
      </w:r>
      <w:r>
        <w:rPr>
          <w:rFonts w:ascii="Times New Roman" w:cs="Times New Roman" w:eastAsia="Times New Roman" w:hAnsi="Times New Roman"/>
          <w:sz w:val="20"/>
          <w:szCs w:val="20"/>
          <w:u w:val="single" w:color="auto"/>
          <w:color w:val="auto"/>
        </w:rPr>
        <w:t>Conformity to Securities Laws</w:t>
      </w:r>
      <w:r>
        <w:rPr>
          <w:rFonts w:ascii="Times New Roman" w:cs="Times New Roman" w:eastAsia="Times New Roman" w:hAnsi="Times New Roman"/>
          <w:sz w:val="20"/>
          <w:szCs w:val="20"/>
          <w:color w:val="auto"/>
        </w:rPr>
        <w:t>. Grantee acknowledges that the Plan, the Grant Notice and this Agreement are intended to conform to the extent necessary with all applicable laws, including, without limitation, the provisions of the Securities Act and the Exchange Act and any and all regulations and rules promulgated thereunder by the SEC and state securities laws and regulations. Notwithstanding anything herein to the contrary, the Plan shall be administered, and the Restricted Shares are granted only in such a manner as to conform to applicable law. To the extent permitted by applicable law, the Plan and this Agreement shall be deemed amended to the extent necessary to conform to applicable law.</w:t>
      </w:r>
    </w:p>
    <w:p>
      <w:pPr>
        <w:spacing w:after="0" w:line="19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4.16 </w:t>
      </w:r>
      <w:r>
        <w:rPr>
          <w:rFonts w:ascii="Times New Roman" w:cs="Times New Roman" w:eastAsia="Times New Roman" w:hAnsi="Times New Roman"/>
          <w:sz w:val="20"/>
          <w:szCs w:val="20"/>
          <w:u w:val="single" w:color="auto"/>
          <w:color w:val="auto"/>
        </w:rPr>
        <w:t>Agreement Severable</w:t>
      </w:r>
      <w:r>
        <w:rPr>
          <w:rFonts w:ascii="Times New Roman" w:cs="Times New Roman" w:eastAsia="Times New Roman" w:hAnsi="Times New Roman"/>
          <w:sz w:val="20"/>
          <w:szCs w:val="20"/>
          <w:color w:val="auto"/>
        </w:rPr>
        <w:t>. In the event that any provision of the Grant Notice or this Agreement is held invalid or unenforceable, such provision will be severable from, and such invalidity or unenforceability will not be construed to have any effect on, the remaining provisions of the Grant Notice or this Agreement.</w:t>
      </w:r>
    </w:p>
    <w:p>
      <w:pPr>
        <w:spacing w:after="0" w:line="188"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 xml:space="preserve">4.17 </w:t>
      </w:r>
      <w:r>
        <w:rPr>
          <w:rFonts w:ascii="Times New Roman" w:cs="Times New Roman" w:eastAsia="Times New Roman" w:hAnsi="Times New Roman"/>
          <w:sz w:val="20"/>
          <w:szCs w:val="20"/>
          <w:u w:val="single" w:color="auto"/>
          <w:color w:val="auto"/>
        </w:rPr>
        <w:t>Clawback</w:t>
      </w:r>
      <w:r>
        <w:rPr>
          <w:rFonts w:ascii="Times New Roman" w:cs="Times New Roman" w:eastAsia="Times New Roman" w:hAnsi="Times New Roman"/>
          <w:sz w:val="20"/>
          <w:szCs w:val="20"/>
          <w:color w:val="auto"/>
        </w:rPr>
        <w:t>. Any Shares issued pursuant to this Award shall be subject to mandatory repayment by the Grantee to the Company to the extent that such Grantee is, or in the future becomes, subject to (a) any “clawback” or recoupment policy adopted by the Company or any Subsidiary thereof to comply with the requirements of any applicable laws, rules or regulations, including pursuant to final rules adopted by the SEC pursuant to the Dodd-Frank Wall Street Reform and Consumer Protection Act, or otherwise, or (b) any applicable laws which impose mandatory recoupment, under circumstances set forth in such applicable laws, including the Sarbanes-Oxley Act of 2002.</w:t>
      </w:r>
    </w:p>
    <w:p>
      <w:pPr>
        <w:sectPr>
          <w:pgSz w:w="11900" w:h="16838" w:orient="portrait"/>
          <w:cols w:equalWidth="0" w:num="1">
            <w:col w:w="11420"/>
          </w:cols>
          <w:pgMar w:left="240" w:top="360" w:right="239" w:bottom="1440" w:gutter="0" w:footer="0" w:header="0"/>
        </w:sectPr>
      </w:pPr>
    </w:p>
    <w:bookmarkStart w:id="61" w:name="page62"/>
    <w:bookmarkEnd w:id="61"/>
    <w:p>
      <w:pPr>
        <w:ind w:left="2940"/>
        <w:spacing w:after="0"/>
        <w:rPr>
          <w:sz w:val="20"/>
          <w:szCs w:val="20"/>
          <w:color w:val="auto"/>
        </w:rPr>
      </w:pPr>
      <w:r>
        <w:rPr>
          <w:rFonts w:ascii="Times New Roman" w:cs="Times New Roman" w:eastAsia="Times New Roman" w:hAnsi="Times New Roman"/>
          <w:sz w:val="19"/>
          <w:szCs w:val="19"/>
          <w:i w:val="1"/>
          <w:iCs w:val="1"/>
          <w:color w:val="auto"/>
        </w:rPr>
        <w:t>[remainder of this page intentionally left blank]</w:t>
      </w:r>
    </w:p>
    <w:p>
      <w:pPr>
        <w:sectPr>
          <w:pgSz w:w="11900" w:h="16838" w:orient="portrait"/>
          <w:cols w:equalWidth="0" w:num="1">
            <w:col w:w="9019"/>
          </w:cols>
          <w:pgMar w:left="1440" w:top="815" w:right="1440" w:bottom="1440" w:gutter="0" w:footer="0" w:header="0"/>
        </w:sectPr>
      </w:pPr>
    </w:p>
    <w:bookmarkStart w:id="62" w:name="page63"/>
    <w:bookmarkEnd w:id="62"/>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IRREVOCABLE STOCK POWER</w:t>
      </w:r>
    </w:p>
    <w:p>
      <w:pPr>
        <w:spacing w:after="0" w:line="200" w:lineRule="exact"/>
        <w:rPr>
          <w:sz w:val="20"/>
          <w:szCs w:val="20"/>
          <w:color w:val="auto"/>
        </w:rPr>
      </w:pPr>
    </w:p>
    <w:p>
      <w:pPr>
        <w:spacing w:after="0" w:line="3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FOR VALUE RECEIVED</w:t>
      </w:r>
      <w:r>
        <w:rPr>
          <w:rFonts w:ascii="Times New Roman" w:cs="Times New Roman" w:eastAsia="Times New Roman" w:hAnsi="Times New Roman"/>
          <w:sz w:val="20"/>
          <w:szCs w:val="20"/>
          <w:color w:val="auto"/>
        </w:rPr>
        <w:t>, the undersigned does hereby sell, assign and transfer to NN, Inc. (the "Company"),</w:t>
      </w:r>
      <w:r>
        <w:rPr>
          <w:rFonts w:ascii="Times New Roman" w:cs="Times New Roman" w:eastAsia="Times New Roman" w:hAnsi="Times New Roman"/>
          <w:sz w:val="20"/>
          <w:szCs w:val="20"/>
          <w:b w:val="1"/>
          <w:bCs w:val="1"/>
          <w:color w:val="auto"/>
        </w:rPr>
        <w:t xml:space="preserve"> ___________ </w:t>
      </w:r>
      <w:r>
        <w:rPr>
          <w:rFonts w:ascii="Times New Roman" w:cs="Times New Roman" w:eastAsia="Times New Roman" w:hAnsi="Times New Roman"/>
          <w:sz w:val="20"/>
          <w:szCs w:val="20"/>
          <w:color w:val="auto"/>
        </w:rPr>
        <w:t>shares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the Company`s common stock represented by Certificate No. _____. The undersigned authorizes the Secretary of the Company to transfer</w:t>
      </w:r>
    </w:p>
    <w:p>
      <w:pPr>
        <w:spacing w:after="0" w:line="243" w:lineRule="exact"/>
        <w:rPr>
          <w:sz w:val="20"/>
          <w:szCs w:val="20"/>
          <w:color w:val="auto"/>
        </w:rPr>
      </w:pPr>
    </w:p>
    <w:p>
      <w:pPr>
        <w:spacing w:after="0" w:line="522" w:lineRule="auto"/>
        <w:rPr>
          <w:sz w:val="20"/>
          <w:szCs w:val="20"/>
          <w:color w:val="auto"/>
        </w:rPr>
      </w:pPr>
      <w:r>
        <w:rPr>
          <w:rFonts w:ascii="Times New Roman" w:cs="Times New Roman" w:eastAsia="Times New Roman" w:hAnsi="Times New Roman"/>
          <w:sz w:val="20"/>
          <w:szCs w:val="20"/>
          <w:color w:val="auto"/>
        </w:rPr>
        <w:t>the stock on the books of the Company in the event of the forfeiture or repayment of any shares issued under the Restricted Share Award Agreement dated ____________, 20__ between the Company and the undersigned.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_________, ____</w:t>
      </w:r>
    </w:p>
    <w:p>
      <w:pPr>
        <w:spacing w:after="0" w:line="34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0"/>
          <w:szCs w:val="20"/>
          <w:b w:val="1"/>
          <w:bCs w:val="1"/>
          <w:color w:val="auto"/>
        </w:rPr>
        <w:t>Signed:</w:t>
      </w:r>
    </w:p>
    <w:p>
      <w:pPr>
        <w:spacing w:after="0" w:line="233"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0"/>
          <w:szCs w:val="20"/>
          <w:color w:val="auto"/>
        </w:rPr>
        <w:t>By:_______________________________________</w:t>
      </w:r>
    </w:p>
    <w:p>
      <w:pPr>
        <w:spacing w:after="0" w:line="1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0"/>
          <w:szCs w:val="20"/>
          <w:color w:val="auto"/>
        </w:rPr>
        <w:t>Name:</w:t>
      </w:r>
    </w:p>
    <w:p>
      <w:pPr>
        <w:spacing w:after="0"/>
        <w:rPr>
          <w:sz w:val="20"/>
          <w:szCs w:val="20"/>
          <w:color w:val="auto"/>
        </w:rPr>
      </w:pPr>
      <w:r>
        <w:rPr>
          <w:rFonts w:ascii="Times New Roman" w:cs="Times New Roman" w:eastAsia="Times New Roman" w:hAnsi="Times New Roman"/>
          <w:sz w:val="14"/>
          <w:szCs w:val="14"/>
          <w:color w:val="auto"/>
        </w:rPr>
        <w:t>26229522.2</w:t>
      </w:r>
    </w:p>
    <w:p>
      <w:pPr>
        <w:sectPr>
          <w:pgSz w:w="11900" w:h="16838" w:orient="portrait"/>
          <w:cols w:equalWidth="0" w:num="1">
            <w:col w:w="11420"/>
          </w:cols>
          <w:pgMar w:left="240" w:top="693" w:right="239" w:bottom="1440" w:gutter="0" w:footer="0" w:header="0"/>
        </w:sectPr>
      </w:pPr>
    </w:p>
    <w:bookmarkStart w:id="63" w:name="page64"/>
    <w:bookmarkEnd w:id="63"/>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NN,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2019 OMNIBUS INCENTIVE PLAN</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PERFORMANCE SHARE UNIT GRANT NOTICE</w:t>
      </w:r>
    </w:p>
    <w:p>
      <w:pPr>
        <w:spacing w:after="0" w:line="207"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NN,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pursuant to its 2019 Omnibus Incentive Plan, as amended from time to time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hereby grants to the holder listed below (“</w:t>
      </w:r>
      <w:r>
        <w:rPr>
          <w:rFonts w:ascii="Times New Roman" w:cs="Times New Roman" w:eastAsia="Times New Roman" w:hAnsi="Times New Roman"/>
          <w:sz w:val="20"/>
          <w:szCs w:val="20"/>
          <w:u w:val="single" w:color="auto"/>
          <w:color w:val="auto"/>
        </w:rPr>
        <w:t>Grantee</w:t>
      </w:r>
      <w:r>
        <w:rPr>
          <w:rFonts w:ascii="Times New Roman" w:cs="Times New Roman" w:eastAsia="Times New Roman" w:hAnsi="Times New Roman"/>
          <w:sz w:val="20"/>
          <w:szCs w:val="20"/>
          <w:color w:val="auto"/>
        </w:rPr>
        <w:t>”), the right to receive a number of performance share units (the “</w:t>
      </w:r>
      <w:r>
        <w:rPr>
          <w:rFonts w:ascii="Times New Roman" w:cs="Times New Roman" w:eastAsia="Times New Roman" w:hAnsi="Times New Roman"/>
          <w:sz w:val="20"/>
          <w:szCs w:val="20"/>
          <w:u w:val="single" w:color="auto"/>
          <w:color w:val="auto"/>
        </w:rPr>
        <w:t>Performance Share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Units</w:t>
      </w:r>
      <w:r>
        <w:rPr>
          <w:rFonts w:ascii="Times New Roman" w:cs="Times New Roman" w:eastAsia="Times New Roman" w:hAnsi="Times New Roman"/>
          <w:sz w:val="20"/>
          <w:szCs w:val="20"/>
          <w:color w:val="auto"/>
        </w:rPr>
        <w:t>”) as set forth below (the “</w:t>
      </w:r>
      <w:r>
        <w:rPr>
          <w:rFonts w:ascii="Times New Roman" w:cs="Times New Roman" w:eastAsia="Times New Roman" w:hAnsi="Times New Roman"/>
          <w:sz w:val="20"/>
          <w:szCs w:val="20"/>
          <w:u w:val="single" w:color="auto"/>
          <w:color w:val="auto"/>
        </w:rPr>
        <w:t>Performance Share Unit Award</w:t>
      </w:r>
      <w:r>
        <w:rPr>
          <w:rFonts w:ascii="Times New Roman" w:cs="Times New Roman" w:eastAsia="Times New Roman" w:hAnsi="Times New Roman"/>
          <w:sz w:val="20"/>
          <w:szCs w:val="20"/>
          <w:color w:val="auto"/>
        </w:rPr>
        <w:t>”). The Performance Share Units are subject to the terms and conditions set forth in this Performance Share Unit Grant Notice (the “</w:t>
      </w:r>
      <w:r>
        <w:rPr>
          <w:rFonts w:ascii="Times New Roman" w:cs="Times New Roman" w:eastAsia="Times New Roman" w:hAnsi="Times New Roman"/>
          <w:sz w:val="20"/>
          <w:szCs w:val="20"/>
          <w:u w:val="single" w:color="auto"/>
          <w:color w:val="auto"/>
        </w:rPr>
        <w:t>Grant Notice</w:t>
      </w:r>
      <w:r>
        <w:rPr>
          <w:rFonts w:ascii="Times New Roman" w:cs="Times New Roman" w:eastAsia="Times New Roman" w:hAnsi="Times New Roman"/>
          <w:sz w:val="20"/>
          <w:szCs w:val="20"/>
          <w:color w:val="auto"/>
        </w:rPr>
        <w:t xml:space="preserve">”), the Performance Share Unit Award Agreement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and the Plan, which are incorporated herein by reference. Unless otherwise defined, the terms defined in the Plan shall have the same defined meanings in the Grant Notice and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40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Grantee:</w:t>
            </w:r>
          </w:p>
        </w:tc>
        <w:tc>
          <w:tcPr>
            <w:tcW w:w="70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______________________________</w:t>
            </w:r>
          </w:p>
        </w:tc>
        <w:tc>
          <w:tcPr>
            <w:tcW w:w="0" w:type="dxa"/>
            <w:vAlign w:val="bottom"/>
          </w:tcPr>
          <w:p>
            <w:pPr>
              <w:spacing w:after="0"/>
              <w:rPr>
                <w:sz w:val="1"/>
                <w:szCs w:val="1"/>
                <w:color w:val="auto"/>
              </w:rPr>
            </w:pPr>
          </w:p>
        </w:tc>
      </w:tr>
      <w:tr>
        <w:trPr>
          <w:trHeight w:val="810"/>
        </w:trPr>
        <w:tc>
          <w:tcPr>
            <w:tcW w:w="40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Grant Date:</w:t>
            </w:r>
          </w:p>
        </w:tc>
        <w:tc>
          <w:tcPr>
            <w:tcW w:w="70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______________________________</w:t>
            </w:r>
          </w:p>
        </w:tc>
        <w:tc>
          <w:tcPr>
            <w:tcW w:w="0" w:type="dxa"/>
            <w:vAlign w:val="bottom"/>
          </w:tcPr>
          <w:p>
            <w:pPr>
              <w:spacing w:after="0"/>
              <w:rPr>
                <w:sz w:val="1"/>
                <w:szCs w:val="1"/>
                <w:color w:val="auto"/>
              </w:rPr>
            </w:pPr>
          </w:p>
        </w:tc>
      </w:tr>
      <w:tr>
        <w:trPr>
          <w:trHeight w:val="810"/>
        </w:trPr>
        <w:tc>
          <w:tcPr>
            <w:tcW w:w="40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Target Number of Performance Share Units:</w:t>
            </w:r>
          </w:p>
        </w:tc>
        <w:tc>
          <w:tcPr>
            <w:tcW w:w="7060" w:type="dxa"/>
            <w:vAlign w:val="bottom"/>
            <w:vMerge w:val="restart"/>
          </w:tcPr>
          <w:p>
            <w:pPr>
              <w:ind w:left="220"/>
              <w:spacing w:after="0"/>
              <w:rPr>
                <w:sz w:val="20"/>
                <w:szCs w:val="20"/>
                <w:color w:val="auto"/>
              </w:rPr>
            </w:pPr>
            <w:r>
              <w:rPr>
                <w:rFonts w:ascii="Times New Roman" w:cs="Times New Roman" w:eastAsia="Times New Roman" w:hAnsi="Times New Roman"/>
                <w:sz w:val="20"/>
                <w:szCs w:val="20"/>
                <w:color w:val="auto"/>
              </w:rPr>
              <w:t>_________ Performance Share Units</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19"/>
                <w:szCs w:val="19"/>
                <w:color w:val="auto"/>
              </w:rPr>
            </w:pPr>
          </w:p>
        </w:tc>
        <w:tc>
          <w:tcPr>
            <w:tcW w:w="7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810"/>
        </w:trPr>
        <w:tc>
          <w:tcPr>
            <w:tcW w:w="40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Performance Period:</w:t>
            </w:r>
          </w:p>
        </w:tc>
        <w:tc>
          <w:tcPr>
            <w:tcW w:w="70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______________________________</w:t>
            </w:r>
          </w:p>
        </w:tc>
        <w:tc>
          <w:tcPr>
            <w:tcW w:w="0" w:type="dxa"/>
            <w:vAlign w:val="bottom"/>
          </w:tcPr>
          <w:p>
            <w:pPr>
              <w:spacing w:after="0"/>
              <w:rPr>
                <w:sz w:val="1"/>
                <w:szCs w:val="1"/>
                <w:color w:val="auto"/>
              </w:rPr>
            </w:pPr>
          </w:p>
        </w:tc>
      </w:tr>
      <w:tr>
        <w:trPr>
          <w:trHeight w:val="714"/>
        </w:trPr>
        <w:tc>
          <w:tcPr>
            <w:tcW w:w="40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Determination Date:</w:t>
            </w:r>
          </w:p>
        </w:tc>
        <w:tc>
          <w:tcPr>
            <w:tcW w:w="7060" w:type="dxa"/>
            <w:vAlign w:val="bottom"/>
          </w:tcPr>
          <w:p>
            <w:pPr>
              <w:ind w:left="220"/>
              <w:spacing w:after="0"/>
              <w:rPr>
                <w:sz w:val="20"/>
                <w:szCs w:val="20"/>
                <w:color w:val="auto"/>
              </w:rPr>
            </w:pPr>
            <w:r>
              <w:rPr>
                <w:rFonts w:ascii="Times New Roman" w:cs="Times New Roman" w:eastAsia="Times New Roman" w:hAnsi="Times New Roman"/>
                <w:sz w:val="20"/>
                <w:szCs w:val="20"/>
                <w:color w:val="auto"/>
                <w:w w:val="98"/>
              </w:rPr>
              <w:t>The date on which the Committee determines whether the performance goals to which</w:t>
            </w:r>
          </w:p>
        </w:tc>
        <w:tc>
          <w:tcPr>
            <w:tcW w:w="0" w:type="dxa"/>
            <w:vAlign w:val="bottom"/>
          </w:tcPr>
          <w:p>
            <w:pPr>
              <w:spacing w:after="0"/>
              <w:rPr>
                <w:sz w:val="1"/>
                <w:szCs w:val="1"/>
                <w:color w:val="auto"/>
              </w:rPr>
            </w:pPr>
          </w:p>
        </w:tc>
      </w:tr>
      <w:tr>
        <w:trPr>
          <w:trHeight w:val="258"/>
        </w:trPr>
        <w:tc>
          <w:tcPr>
            <w:tcW w:w="4000" w:type="dxa"/>
            <w:vAlign w:val="bottom"/>
          </w:tcPr>
          <w:p>
            <w:pPr>
              <w:spacing w:after="0"/>
              <w:rPr>
                <w:sz w:val="22"/>
                <w:szCs w:val="22"/>
                <w:color w:val="auto"/>
              </w:rPr>
            </w:pPr>
          </w:p>
        </w:tc>
        <w:tc>
          <w:tcPr>
            <w:tcW w:w="70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this Performance Share Unit Award relates have been met.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By his or her signature and the Company’s signature below, Grantee agrees to be bound by the terms and conditions of the Plan, the Agreement and the Grant Notice. Grantee has reviewed the Agreement, the Plan and the Grant Notice in their entirety. Grantee hereby agrees to accept as binding, conclusive and final all decisions or interpretations of the Committee upon any questions arising under the Plan, the Grant Notice or the Agreement.</w:t>
      </w:r>
    </w:p>
    <w:p>
      <w:pPr>
        <w:sectPr>
          <w:pgSz w:w="11900" w:h="16838" w:orient="portrait"/>
          <w:cols w:equalWidth="0" w:num="1">
            <w:col w:w="11420"/>
          </w:cols>
          <w:pgMar w:left="240" w:top="612" w:right="2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62"/>
        </w:trPr>
        <w:tc>
          <w:tcPr>
            <w:tcW w:w="12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NN, INC.</w:t>
            </w:r>
          </w:p>
        </w:tc>
        <w:tc>
          <w:tcPr>
            <w:tcW w:w="4120" w:type="dxa"/>
            <w:vAlign w:val="bottom"/>
          </w:tcPr>
          <w:p>
            <w:pPr>
              <w:spacing w:after="0"/>
              <w:rPr>
                <w:sz w:val="22"/>
                <w:szCs w:val="22"/>
                <w:color w:val="auto"/>
              </w:rPr>
            </w:pPr>
          </w:p>
        </w:tc>
        <w:tc>
          <w:tcPr>
            <w:tcW w:w="1600" w:type="dxa"/>
            <w:vAlign w:val="bottom"/>
          </w:tcPr>
          <w:p>
            <w:pPr>
              <w:ind w:left="380"/>
              <w:spacing w:after="0"/>
              <w:rPr>
                <w:sz w:val="20"/>
                <w:szCs w:val="20"/>
                <w:color w:val="auto"/>
              </w:rPr>
            </w:pPr>
            <w:r>
              <w:rPr>
                <w:rFonts w:ascii="Times New Roman" w:cs="Times New Roman" w:eastAsia="Times New Roman" w:hAnsi="Times New Roman"/>
                <w:sz w:val="20"/>
                <w:szCs w:val="20"/>
                <w:b w:val="1"/>
                <w:bCs w:val="1"/>
                <w:color w:val="auto"/>
              </w:rPr>
              <w:t>GRANTEE</w:t>
            </w:r>
          </w:p>
        </w:tc>
        <w:tc>
          <w:tcPr>
            <w:tcW w:w="4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78"/>
        </w:trPr>
        <w:tc>
          <w:tcPr>
            <w:tcW w:w="12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120" w:type="dxa"/>
            <w:vAlign w:val="bottom"/>
          </w:tcPr>
          <w:p>
            <w:pPr>
              <w:spacing w:after="0"/>
              <w:rPr>
                <w:sz w:val="24"/>
                <w:szCs w:val="24"/>
                <w:color w:val="auto"/>
              </w:rPr>
            </w:pPr>
          </w:p>
        </w:tc>
        <w:tc>
          <w:tcPr>
            <w:tcW w:w="160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By:</w:t>
            </w:r>
          </w:p>
        </w:tc>
        <w:tc>
          <w:tcPr>
            <w:tcW w:w="4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2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Print Name:</w:t>
            </w:r>
          </w:p>
        </w:tc>
        <w:tc>
          <w:tcPr>
            <w:tcW w:w="4120" w:type="dxa"/>
            <w:vAlign w:val="bottom"/>
            <w:tcBorders>
              <w:bottom w:val="single" w:sz="8" w:color="auto"/>
            </w:tcBorders>
          </w:tcPr>
          <w:p>
            <w:pPr>
              <w:spacing w:after="0" w:line="20" w:lineRule="exact"/>
              <w:rPr>
                <w:sz w:val="1"/>
                <w:szCs w:val="1"/>
                <w:color w:val="auto"/>
              </w:rPr>
            </w:pPr>
          </w:p>
        </w:tc>
        <w:tc>
          <w:tcPr>
            <w:tcW w:w="1600" w:type="dxa"/>
            <w:vAlign w:val="bottom"/>
            <w:vMerge w:val="restart"/>
          </w:tcPr>
          <w:p>
            <w:pPr>
              <w:ind w:left="380"/>
              <w:spacing w:after="0"/>
              <w:rPr>
                <w:sz w:val="20"/>
                <w:szCs w:val="20"/>
                <w:color w:val="auto"/>
              </w:rPr>
            </w:pPr>
            <w:r>
              <w:rPr>
                <w:rFonts w:ascii="Times New Roman" w:cs="Times New Roman" w:eastAsia="Times New Roman" w:hAnsi="Times New Roman"/>
                <w:sz w:val="20"/>
                <w:szCs w:val="20"/>
                <w:color w:val="auto"/>
              </w:rPr>
              <w:t>Print Name:</w:t>
            </w:r>
          </w:p>
        </w:tc>
        <w:tc>
          <w:tcPr>
            <w:tcW w:w="4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1220" w:type="dxa"/>
            <w:vAlign w:val="bottom"/>
            <w:vMerge w:val="continue"/>
          </w:tcPr>
          <w:p>
            <w:pPr>
              <w:spacing w:after="0"/>
              <w:rPr>
                <w:sz w:val="21"/>
                <w:szCs w:val="21"/>
                <w:color w:val="auto"/>
              </w:rPr>
            </w:pPr>
          </w:p>
        </w:tc>
        <w:tc>
          <w:tcPr>
            <w:tcW w:w="4120" w:type="dxa"/>
            <w:vAlign w:val="bottom"/>
          </w:tcPr>
          <w:p>
            <w:pPr>
              <w:spacing w:after="0"/>
              <w:rPr>
                <w:sz w:val="21"/>
                <w:szCs w:val="21"/>
                <w:color w:val="auto"/>
              </w:rPr>
            </w:pPr>
          </w:p>
        </w:tc>
        <w:tc>
          <w:tcPr>
            <w:tcW w:w="1600" w:type="dxa"/>
            <w:vAlign w:val="bottom"/>
            <w:vMerge w:val="continue"/>
          </w:tcPr>
          <w:p>
            <w:pPr>
              <w:spacing w:after="0"/>
              <w:rPr>
                <w:sz w:val="21"/>
                <w:szCs w:val="21"/>
                <w:color w:val="auto"/>
              </w:rPr>
            </w:pPr>
          </w:p>
        </w:tc>
        <w:tc>
          <w:tcPr>
            <w:tcW w:w="4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12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Title:</w:t>
            </w:r>
          </w:p>
        </w:tc>
        <w:tc>
          <w:tcPr>
            <w:tcW w:w="4120" w:type="dxa"/>
            <w:vAlign w:val="bottom"/>
            <w:tcBorders>
              <w:bottom w:val="single" w:sz="8" w:color="auto"/>
            </w:tcBorders>
          </w:tcPr>
          <w:p>
            <w:pPr>
              <w:spacing w:after="0" w:line="20" w:lineRule="exact"/>
              <w:rPr>
                <w:sz w:val="1"/>
                <w:szCs w:val="1"/>
                <w:color w:val="auto"/>
              </w:rPr>
            </w:pPr>
          </w:p>
        </w:tc>
        <w:tc>
          <w:tcPr>
            <w:tcW w:w="1600" w:type="dxa"/>
            <w:vAlign w:val="bottom"/>
            <w:vMerge w:val="restart"/>
          </w:tcPr>
          <w:p>
            <w:pPr>
              <w:ind w:left="380"/>
              <w:spacing w:after="0"/>
              <w:rPr>
                <w:sz w:val="20"/>
                <w:szCs w:val="20"/>
                <w:color w:val="auto"/>
              </w:rPr>
            </w:pPr>
            <w:r>
              <w:rPr>
                <w:rFonts w:ascii="Times New Roman" w:cs="Times New Roman" w:eastAsia="Times New Roman" w:hAnsi="Times New Roman"/>
                <w:sz w:val="20"/>
                <w:szCs w:val="20"/>
                <w:color w:val="auto"/>
              </w:rPr>
              <w:t>Address:</w:t>
            </w:r>
          </w:p>
        </w:tc>
        <w:tc>
          <w:tcPr>
            <w:tcW w:w="4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7"/>
        </w:trPr>
        <w:tc>
          <w:tcPr>
            <w:tcW w:w="1220" w:type="dxa"/>
            <w:vAlign w:val="bottom"/>
            <w:vMerge w:val="continue"/>
          </w:tcPr>
          <w:p>
            <w:pPr>
              <w:spacing w:after="0"/>
              <w:rPr>
                <w:sz w:val="24"/>
                <w:szCs w:val="24"/>
                <w:color w:val="auto"/>
              </w:rPr>
            </w:pPr>
          </w:p>
        </w:tc>
        <w:tc>
          <w:tcPr>
            <w:tcW w:w="412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4440" w:type="dxa"/>
            <w:vAlign w:val="bottom"/>
          </w:tcPr>
          <w:p>
            <w:pPr>
              <w:jc w:val="right"/>
              <w:ind w:right="1061"/>
              <w:spacing w:after="0"/>
              <w:rPr>
                <w:sz w:val="20"/>
                <w:szCs w:val="20"/>
                <w:color w:val="auto"/>
              </w:rPr>
            </w:pPr>
            <w:r>
              <w:rPr>
                <w:rFonts w:ascii="Times New Roman" w:cs="Times New Roman" w:eastAsia="Times New Roman" w:hAnsi="Times New Roman"/>
                <w:sz w:val="20"/>
                <w:szCs w:val="20"/>
                <w:color w:val="auto"/>
                <w:w w:val="98"/>
              </w:rPr>
              <w:t>_________________________________</w:t>
            </w:r>
          </w:p>
        </w:tc>
        <w:tc>
          <w:tcPr>
            <w:tcW w:w="0" w:type="dxa"/>
            <w:vAlign w:val="bottom"/>
          </w:tcPr>
          <w:p>
            <w:pPr>
              <w:spacing w:after="0"/>
              <w:rPr>
                <w:sz w:val="1"/>
                <w:szCs w:val="1"/>
                <w:color w:val="auto"/>
              </w:rPr>
            </w:pPr>
          </w:p>
        </w:tc>
      </w:tr>
      <w:tr>
        <w:trPr>
          <w:trHeight w:val="21"/>
        </w:trPr>
        <w:tc>
          <w:tcPr>
            <w:tcW w:w="1220" w:type="dxa"/>
            <w:vAlign w:val="bottom"/>
          </w:tcPr>
          <w:p>
            <w:pPr>
              <w:spacing w:after="0" w:line="20" w:lineRule="exact"/>
              <w:rPr>
                <w:sz w:val="1"/>
                <w:szCs w:val="1"/>
                <w:color w:val="auto"/>
              </w:rPr>
            </w:pPr>
          </w:p>
        </w:tc>
        <w:tc>
          <w:tcPr>
            <w:tcW w:w="4120" w:type="dxa"/>
            <w:vAlign w:val="bottom"/>
            <w:tcBorders>
              <w:bottom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440" w:type="dxa"/>
            <w:vAlign w:val="bottom"/>
            <w:vMerge w:val="restart"/>
          </w:tcPr>
          <w:p>
            <w:pPr>
              <w:jc w:val="right"/>
              <w:ind w:right="1061"/>
              <w:spacing w:after="0"/>
              <w:rPr>
                <w:sz w:val="20"/>
                <w:szCs w:val="20"/>
                <w:color w:val="auto"/>
              </w:rPr>
            </w:pPr>
            <w:r>
              <w:rPr>
                <w:rFonts w:ascii="Times New Roman" w:cs="Times New Roman" w:eastAsia="Times New Roman" w:hAnsi="Times New Roman"/>
                <w:sz w:val="20"/>
                <w:szCs w:val="20"/>
                <w:color w:val="auto"/>
                <w:w w:val="98"/>
              </w:rPr>
              <w:t>_________________________________</w:t>
            </w:r>
          </w:p>
        </w:tc>
        <w:tc>
          <w:tcPr>
            <w:tcW w:w="0" w:type="dxa"/>
            <w:vAlign w:val="bottom"/>
          </w:tcPr>
          <w:p>
            <w:pPr>
              <w:spacing w:after="0"/>
              <w:rPr>
                <w:sz w:val="1"/>
                <w:szCs w:val="1"/>
                <w:color w:val="auto"/>
              </w:rPr>
            </w:pPr>
          </w:p>
        </w:tc>
      </w:tr>
      <w:tr>
        <w:trPr>
          <w:trHeight w:val="324"/>
        </w:trPr>
        <w:tc>
          <w:tcPr>
            <w:tcW w:w="12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4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80" w:top="774" w:right="2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PERFORMANCE SHARE UNIT AWARD AGREEMENT</w:t>
      </w:r>
    </w:p>
    <w:p>
      <w:pPr>
        <w:spacing w:after="0" w:line="2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Pursuant to this Performance Share Unit Award Agreement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and the Grant Notice to which it is attached, the Company has granted to Grantee the right to receive the number of Performance Share Units set forth in the Grant Notice, subject to the terms and conditions of this Agreement and the Company’s 2019 Omnibus Incentive Plan, as amended from time to time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2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207"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Capitalized terms not specifically defined herein shall have the meanings specified in the Plan or the Grant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Notice.</w:t>
      </w:r>
    </w:p>
    <w:p>
      <w:pPr>
        <w:spacing w:after="0" w:line="20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1.2 </w:t>
      </w:r>
      <w:r>
        <w:rPr>
          <w:rFonts w:ascii="Times New Roman" w:cs="Times New Roman" w:eastAsia="Times New Roman" w:hAnsi="Times New Roman"/>
          <w:sz w:val="20"/>
          <w:szCs w:val="20"/>
          <w:u w:val="single" w:color="auto"/>
          <w:color w:val="auto"/>
        </w:rPr>
        <w:t>Incorporation of Terms of Plan</w:t>
      </w:r>
      <w:r>
        <w:rPr>
          <w:rFonts w:ascii="Times New Roman" w:cs="Times New Roman" w:eastAsia="Times New Roman" w:hAnsi="Times New Roman"/>
          <w:sz w:val="20"/>
          <w:szCs w:val="20"/>
          <w:color w:val="auto"/>
        </w:rPr>
        <w:t>. The Performance Share Unit Award is subject to the terms and conditions set forth in this Agreement, the Grant Notice and the Plan, which are incorporated herein by reference. In the event of any inconsistency between the Plan and this Agreement, the terms of the Plan shall control. Each Performance Share Unit shall be administered as a Performance Award in the form of a Restricted Share Unit pursuant to Section 8.1 of the Plan.</w:t>
      </w:r>
    </w:p>
    <w:p>
      <w:pPr>
        <w:spacing w:after="0" w:line="1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GRANT OF PERFORMANCE SHARE UNITS</w:t>
      </w:r>
    </w:p>
    <w:p>
      <w:pPr>
        <w:spacing w:after="0" w:line="207"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 xml:space="preserve">2.1 </w:t>
      </w:r>
      <w:r>
        <w:rPr>
          <w:rFonts w:ascii="Times New Roman" w:cs="Times New Roman" w:eastAsia="Times New Roman" w:hAnsi="Times New Roman"/>
          <w:sz w:val="20"/>
          <w:szCs w:val="20"/>
          <w:u w:val="single" w:color="auto"/>
          <w:color w:val="auto"/>
        </w:rPr>
        <w:t>Grant</w:t>
      </w:r>
      <w:r>
        <w:rPr>
          <w:rFonts w:ascii="Times New Roman" w:cs="Times New Roman" w:eastAsia="Times New Roman" w:hAnsi="Times New Roman"/>
          <w:sz w:val="20"/>
          <w:szCs w:val="20"/>
          <w:color w:val="auto"/>
        </w:rPr>
        <w:t>. In consideration of Grantee’s past and/or continued employment with or service to the Company or a Subsidiary and for other good and valuable consideration, effective as of the grant date set forth in the Grant Notice (the “</w:t>
      </w:r>
      <w:r>
        <w:rPr>
          <w:rFonts w:ascii="Times New Roman" w:cs="Times New Roman" w:eastAsia="Times New Roman" w:hAnsi="Times New Roman"/>
          <w:sz w:val="20"/>
          <w:szCs w:val="20"/>
          <w:u w:val="single" w:color="auto"/>
          <w:color w:val="auto"/>
        </w:rPr>
        <w:t>Grant Date</w:t>
      </w:r>
      <w:r>
        <w:rPr>
          <w:rFonts w:ascii="Times New Roman" w:cs="Times New Roman" w:eastAsia="Times New Roman" w:hAnsi="Times New Roman"/>
          <w:sz w:val="20"/>
          <w:szCs w:val="20"/>
          <w:color w:val="auto"/>
        </w:rPr>
        <w:t>”), the Company has granted to Grantee the Performance Share Unit Award. Each Performance Share Unit represents the right to receive one Share (or the Fair Market Value thereof) upon the expiration of the performance period set forth in the Grant Notice (the “</w:t>
      </w:r>
      <w:r>
        <w:rPr>
          <w:rFonts w:ascii="Times New Roman" w:cs="Times New Roman" w:eastAsia="Times New Roman" w:hAnsi="Times New Roman"/>
          <w:sz w:val="20"/>
          <w:szCs w:val="20"/>
          <w:u w:val="single" w:color="auto"/>
          <w:color w:val="auto"/>
        </w:rPr>
        <w:t>Performance Period</w:t>
      </w:r>
      <w:r>
        <w:rPr>
          <w:rFonts w:ascii="Times New Roman" w:cs="Times New Roman" w:eastAsia="Times New Roman" w:hAnsi="Times New Roman"/>
          <w:sz w:val="20"/>
          <w:szCs w:val="20"/>
          <w:color w:val="auto"/>
        </w:rPr>
        <w:t>”) and otherwise subject to the terms, conditions and restrictions set forth in the Plan and this Agreement. The Grantee’s interest in the Performance Share Units granted hereby shall be that of a general, unsecured creditor of the Company.</w:t>
      </w:r>
    </w:p>
    <w:p>
      <w:pPr>
        <w:spacing w:after="0" w:line="19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 xml:space="preserve">2.2 </w:t>
      </w:r>
      <w:r>
        <w:rPr>
          <w:rFonts w:ascii="Times New Roman" w:cs="Times New Roman" w:eastAsia="Times New Roman" w:hAnsi="Times New Roman"/>
          <w:sz w:val="20"/>
          <w:szCs w:val="20"/>
          <w:u w:val="single" w:color="auto"/>
          <w:color w:val="auto"/>
        </w:rPr>
        <w:t>Lapse of Restrictions</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Sections 3.2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3.3</w:t>
      </w:r>
      <w:r>
        <w:rPr>
          <w:rFonts w:ascii="Times New Roman" w:cs="Times New Roman" w:eastAsia="Times New Roman" w:hAnsi="Times New Roman"/>
          <w:sz w:val="20"/>
          <w:szCs w:val="20"/>
          <w:color w:val="auto"/>
        </w:rPr>
        <w:t xml:space="preserve"> hereof, the restrictions associated with the Performance Share Units granted pursuant to the Grant Notice shall lapse on the Determination Date as set forth in the Grant Notice (the “</w:t>
      </w:r>
      <w:r>
        <w:rPr>
          <w:rFonts w:ascii="Times New Roman" w:cs="Times New Roman" w:eastAsia="Times New Roman" w:hAnsi="Times New Roman"/>
          <w:sz w:val="20"/>
          <w:szCs w:val="20"/>
          <w:u w:val="single" w:color="auto"/>
          <w:color w:val="auto"/>
        </w:rPr>
        <w:t>Vesting Date</w:t>
      </w:r>
      <w:r>
        <w:rPr>
          <w:rFonts w:ascii="Times New Roman" w:cs="Times New Roman" w:eastAsia="Times New Roman" w:hAnsi="Times New Roman"/>
          <w:sz w:val="20"/>
          <w:szCs w:val="20"/>
          <w:color w:val="auto"/>
        </w:rPr>
        <w:t xml:space="preserve">” as it pertains to Performance Share Units that vest) but only if (a) and to the extent the Company has achieved the performance targets for the Performance Period as set forth on </w:t>
      </w:r>
      <w:r>
        <w:rPr>
          <w:rFonts w:ascii="Times New Roman" w:cs="Times New Roman" w:eastAsia="Times New Roman" w:hAnsi="Times New Roman"/>
          <w:sz w:val="20"/>
          <w:szCs w:val="20"/>
          <w:u w:val="single" w:color="auto"/>
          <w:color w:val="auto"/>
        </w:rPr>
        <w:t>Exhibit A-1</w:t>
      </w:r>
      <w:r>
        <w:rPr>
          <w:rFonts w:ascii="Times New Roman" w:cs="Times New Roman" w:eastAsia="Times New Roman" w:hAnsi="Times New Roman"/>
          <w:sz w:val="20"/>
          <w:szCs w:val="20"/>
          <w:color w:val="auto"/>
        </w:rPr>
        <w:t xml:space="preserve"> hereto (and the other terms and conditions set forth therein have been met) as determined by the Committee in accordance with the Plan, and (b) the Grantee has remained in service with the Company or any of its Subsidiaries continuously from the Grant Date until the Determination Date. In the event the performance targets shall not have been met as of the Determination Date with respect to some or all of the Performance Share Units, such Performance Share Units shall be cancelled for no further consideration as of the Determination Date.</w:t>
      </w:r>
    </w:p>
    <w:p>
      <w:pPr>
        <w:spacing w:after="0" w:line="20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2.3 </w:t>
      </w:r>
      <w:r>
        <w:rPr>
          <w:rFonts w:ascii="Times New Roman" w:cs="Times New Roman" w:eastAsia="Times New Roman" w:hAnsi="Times New Roman"/>
          <w:sz w:val="20"/>
          <w:szCs w:val="20"/>
          <w:u w:val="single" w:color="auto"/>
          <w:color w:val="auto"/>
        </w:rPr>
        <w:t>Settlement</w:t>
      </w:r>
      <w:r>
        <w:rPr>
          <w:rFonts w:ascii="Times New Roman" w:cs="Times New Roman" w:eastAsia="Times New Roman" w:hAnsi="Times New Roman"/>
          <w:sz w:val="20"/>
          <w:szCs w:val="20"/>
          <w:color w:val="auto"/>
        </w:rPr>
        <w:t xml:space="preserve">. The Grantee shall be entitled to settlement of the Performance Share Units covered by this Agreement on the Vesting Date to the extent the Performance Share Units have not previously been forfeited and the restrictions associated with the Performance Share Units lapse in accordance with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hereof. Such settlement shall be made as promptly as practicable thereafter (but in no event after</w:t>
      </w:r>
    </w:p>
    <w:p>
      <w:pPr>
        <w:sectPr>
          <w:pgSz w:w="11900" w:h="16838" w:orient="portrait"/>
          <w:cols w:equalWidth="0" w:num="1">
            <w:col w:w="11420"/>
          </w:cols>
          <w:pgMar w:left="240" w:top="612" w:right="239" w:bottom="1440" w:gutter="0" w:footer="0" w:header="0"/>
        </w:sectPr>
      </w:pPr>
    </w:p>
    <w:bookmarkStart w:id="66" w:name="page67"/>
    <w:bookmarkEnd w:id="66"/>
    <w:p>
      <w:pPr>
        <w:jc w:val="both"/>
        <w:spacing w:after="0" w:line="247" w:lineRule="auto"/>
        <w:rPr>
          <w:sz w:val="20"/>
          <w:szCs w:val="20"/>
          <w:color w:val="auto"/>
        </w:rPr>
      </w:pPr>
      <w:r>
        <w:rPr>
          <w:rFonts w:ascii="Times New Roman" w:cs="Times New Roman" w:eastAsia="Times New Roman" w:hAnsi="Times New Roman"/>
          <w:sz w:val="20"/>
          <w:szCs w:val="20"/>
          <w:color w:val="auto"/>
        </w:rPr>
        <w:t>the sixtieth day following the Vesting Date) through, in the sole discretion of the Committee, either (a) the issuance to the Grantee (or to the executors or administrators of Grantee’s estate in the event of the Grantee’s death) of a stock certificate (or evidence such Shares have been registered in book entry form in the name of the Grantee with the relevant stock agent) for a number of Shares equal to the number of such vested Performance Share Units, or (b) a payment of cash to the Grantee (or to the executors or administrators of Grantee’s estate in the event of the Grantee’s death) equal to the Fair Market Value of the Shares that would otherwise have been issued pursuant to (a) above.</w:t>
      </w:r>
    </w:p>
    <w:p>
      <w:pPr>
        <w:spacing w:after="0" w:line="194"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 xml:space="preserve">2.4 </w:t>
      </w:r>
      <w:r>
        <w:rPr>
          <w:rFonts w:ascii="Times New Roman" w:cs="Times New Roman" w:eastAsia="Times New Roman" w:hAnsi="Times New Roman"/>
          <w:sz w:val="20"/>
          <w:szCs w:val="20"/>
          <w:u w:val="single" w:color="auto"/>
          <w:color w:val="auto"/>
        </w:rPr>
        <w:t>Dividends</w:t>
      </w:r>
      <w:r>
        <w:rPr>
          <w:rFonts w:ascii="Times New Roman" w:cs="Times New Roman" w:eastAsia="Times New Roman" w:hAnsi="Times New Roman"/>
          <w:sz w:val="20"/>
          <w:szCs w:val="20"/>
          <w:color w:val="auto"/>
        </w:rPr>
        <w:t>. If the Company pays a cash dividend on its common stock, the Grantee shall accrue in his or her Dividend Account (as defined below) a cash dividend equivalent with respect to the maximum number of Performance Share Units issuable pursuant to this Agreement as of the record date for the dividend. The Company shall cause an account (the “</w:t>
      </w:r>
      <w:r>
        <w:rPr>
          <w:rFonts w:ascii="Times New Roman" w:cs="Times New Roman" w:eastAsia="Times New Roman" w:hAnsi="Times New Roman"/>
          <w:sz w:val="20"/>
          <w:szCs w:val="20"/>
          <w:u w:val="single" w:color="auto"/>
          <w:color w:val="auto"/>
        </w:rPr>
        <w:t>Dividend Account</w:t>
      </w:r>
      <w:r>
        <w:rPr>
          <w:rFonts w:ascii="Times New Roman" w:cs="Times New Roman" w:eastAsia="Times New Roman" w:hAnsi="Times New Roman"/>
          <w:sz w:val="20"/>
          <w:szCs w:val="20"/>
          <w:color w:val="auto"/>
        </w:rPr>
        <w:t xml:space="preserve">”) to be established and maintained as part of the records of the Company to evidence the aggregate cash dividend equivalents accrued by the Grantee from time to time under this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xml:space="preserve">. No interest shall accrue on any amounts reflected in the Dividend Account. The Grantee’s interest in the amounts reflected in the Dividend Account shall be that of a general, unsecured creditor of the Company. Subject to, and as promptly as practicable following, the settlement of the Performance Share Units pursuant to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xml:space="preserve"> hereunder, the Company shall pay an amount in cash (without interest and subject to applicable withholding taxes) to the Grantee (or his or her permitted transferee(s) who are issued Shares or cash pursuant to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xml:space="preserve"> hereunder) equal to the aggregate cash dividend equivalents accrued in the Grantee’s Dividend Account with respect to the vested Performance Share Units settled with the Grantee and the Grantee’s Dividend Account shall be eliminated at that time. In the event that the Grantee forfeits his or her rights to all or any portion of the Performance Share Units (or such Performance Share Units are otherwise cancelled on account of the Company’s actual performance), the Grantee also shall forfeit his or her rights to any cash dividend equivalents accrued in the Grantee’s Dividend Account with respect to such forfeited or cancelled units and the Grantee’s Dividend Account shall be eliminated at that time. For the avoidance of doubt, no dividend equivalent rights shall accrue under this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xml:space="preserve"> with respect to a dividend on the Company’s Shares in the event that any applicable adjustments pursuant to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xml:space="preserve"> of the Plan provide similar benefits.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SEPARATION FROM SERVICE; CHANGE IN CONTROL</w:t>
      </w:r>
    </w:p>
    <w:p>
      <w:pPr>
        <w:spacing w:after="0" w:line="20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u w:val="single" w:color="auto"/>
          <w:color w:val="auto"/>
        </w:rPr>
        <w:t>In General</w:t>
      </w:r>
      <w:r>
        <w:rPr>
          <w:rFonts w:ascii="Times New Roman" w:cs="Times New Roman" w:eastAsia="Times New Roman" w:hAnsi="Times New Roman"/>
          <w:sz w:val="20"/>
          <w:szCs w:val="20"/>
          <w:color w:val="auto"/>
        </w:rPr>
        <w:t xml:space="preserve">. In the event that Grantee Separates from Service for any reason, other than death, Disability or Retirement, prior to the settlement of this Performance Share Unit Award pursuant to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all Performance Share Units shall be immediately forfeited and Grantee shall have no further rights with respect to such Performance Share Units, except as may be determined otherwise by the Committee in its the sole and absolute discretion.</w:t>
      </w:r>
    </w:p>
    <w:p>
      <w:pPr>
        <w:spacing w:after="0" w:line="19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u w:val="single" w:color="auto"/>
          <w:color w:val="auto"/>
        </w:rPr>
        <w:t>Death or Disability</w:t>
      </w:r>
      <w:r>
        <w:rPr>
          <w:rFonts w:ascii="Times New Roman" w:cs="Times New Roman" w:eastAsia="Times New Roman" w:hAnsi="Times New Roman"/>
          <w:sz w:val="20"/>
          <w:szCs w:val="20"/>
          <w:color w:val="auto"/>
        </w:rPr>
        <w:t xml:space="preserve">. In the event that Grantee Separates from Service by reason of death or Disability, a proportionate number of Performance Share Units shall be deemed vested and the date of the Grantee’s death or Disability shall be the Vesting Date with respect to such Performance Share Units which shall thereupon settle in accordance with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xml:space="preserve"> hereof. For purposes of this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the “proportionate number” of Performance Share Units shall be the “target” number of Performance Share Units set forth in the Grant Notice, multiplied by a fraction, the numerator of which is the number of days during the Performance Period during which Grantee was employed by the Company (or any Subsidiary) and the denominator of which is the total number of days in the Performance Period.</w:t>
      </w:r>
    </w:p>
    <w:p>
      <w:pPr>
        <w:sectPr>
          <w:pgSz w:w="11900" w:h="16838" w:orient="portrait"/>
          <w:cols w:equalWidth="0" w:num="1">
            <w:col w:w="11420"/>
          </w:cols>
          <w:pgMar w:left="240" w:top="616" w:right="239" w:bottom="1440" w:gutter="0" w:footer="0" w:header="0"/>
        </w:sectPr>
      </w:pPr>
    </w:p>
    <w:bookmarkStart w:id="67" w:name="page68"/>
    <w:bookmarkEnd w:id="67"/>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 xml:space="preserve">3.3 </w:t>
      </w:r>
      <w:r>
        <w:rPr>
          <w:rFonts w:ascii="Times New Roman" w:cs="Times New Roman" w:eastAsia="Times New Roman" w:hAnsi="Times New Roman"/>
          <w:sz w:val="20"/>
          <w:szCs w:val="20"/>
          <w:u w:val="single" w:color="auto"/>
          <w:color w:val="auto"/>
        </w:rPr>
        <w:t>Retirement</w:t>
      </w:r>
      <w:r>
        <w:rPr>
          <w:rFonts w:ascii="Times New Roman" w:cs="Times New Roman" w:eastAsia="Times New Roman" w:hAnsi="Times New Roman"/>
          <w:sz w:val="20"/>
          <w:szCs w:val="20"/>
          <w:color w:val="auto"/>
        </w:rPr>
        <w:t xml:space="preserve">. In the event Grantee Separates from Service on account of Retirement (defined below) prior to settlement of Performance Share Units, Grantee shall be eligible to vest in a proportionate number of Performance Share Units on the Vesting Date otherwise applicable thereto. For purposes of this </w:t>
      </w: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rPr>
        <w:t xml:space="preserve">, the “proportionate number” of Performance Share Units shall be the actual number of Performance Share Units that would have vested in accordance with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hereof had Grantee not Separated from Service during the Performance Period, multiplied by a fraction, the numerator of which is the number of days during the Performance Period during which Grantee was employed by the Company (or any Subsidiary) and the denominator of which is the total number of days in the Performance Period. Following the Vesting Date, any Performance Share Units that did not vest in accordance with this </w:t>
      </w: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rPr>
        <w:t xml:space="preserve"> will be canceled and forfeited. For purposes of this Agreement, “</w:t>
      </w:r>
      <w:r>
        <w:rPr>
          <w:rFonts w:ascii="Times New Roman" w:cs="Times New Roman" w:eastAsia="Times New Roman" w:hAnsi="Times New Roman"/>
          <w:sz w:val="20"/>
          <w:szCs w:val="20"/>
          <w:u w:val="single" w:color="auto"/>
          <w:color w:val="auto"/>
        </w:rPr>
        <w:t>Retirement</w:t>
      </w:r>
      <w:r>
        <w:rPr>
          <w:rFonts w:ascii="Times New Roman" w:cs="Times New Roman" w:eastAsia="Times New Roman" w:hAnsi="Times New Roman"/>
          <w:sz w:val="20"/>
          <w:szCs w:val="20"/>
          <w:color w:val="auto"/>
        </w:rPr>
        <w:t>” means termination of service after the Participant has completed 10 years of service with the Company and has reached the age of 55.</w:t>
      </w:r>
    </w:p>
    <w:p>
      <w:pPr>
        <w:spacing w:after="0" w:line="20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3.4 </w:t>
      </w: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Upon the occurrence of a Change in Control, the Committee shall determine the treatment of the Performance Share Units consistent with the provisions of Section 13 of the Plan.</w:t>
      </w:r>
    </w:p>
    <w:p>
      <w:pPr>
        <w:spacing w:after="0" w:line="169"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26"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20"/>
          <w:szCs w:val="20"/>
          <w:b w:val="1"/>
          <w:bCs w:val="1"/>
          <w:color w:val="auto"/>
        </w:rPr>
        <w:t>OTHER PROVISIONS</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u w:val="single" w:color="auto"/>
          <w:color w:val="auto"/>
        </w:rPr>
        <w:t>No Transfer or Pledge of Performance Share Units</w:t>
      </w:r>
      <w:r>
        <w:rPr>
          <w:rFonts w:ascii="Times New Roman" w:cs="Times New Roman" w:eastAsia="Times New Roman" w:hAnsi="Times New Roman"/>
          <w:sz w:val="20"/>
          <w:szCs w:val="20"/>
          <w:color w:val="auto"/>
        </w:rPr>
        <w:t xml:space="preserve">. The Performance Share Units may not be assigned, alienated, pledged, attached, sold or otherwise transferred or encumbered by the Grantee other than by will or the laws of descent and distribution. Any sale, assignment, transfer, pledge, hypothecation, loan or other disposition other than in accordance with this </w:t>
      </w: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 xml:space="preserve"> shall be null and void.</w:t>
      </w:r>
    </w:p>
    <w:p>
      <w:pPr>
        <w:spacing w:after="0" w:line="188"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u w:val="single" w:color="auto"/>
          <w:color w:val="auto"/>
        </w:rPr>
        <w:t>Tax Withholding</w:t>
      </w:r>
      <w:r>
        <w:rPr>
          <w:rFonts w:ascii="Times New Roman" w:cs="Times New Roman" w:eastAsia="Times New Roman" w:hAnsi="Times New Roman"/>
          <w:sz w:val="20"/>
          <w:szCs w:val="20"/>
          <w:color w:val="auto"/>
        </w:rPr>
        <w:t>. The Company's obligation to settle vested Performance Share Units shall be subject to the Grantee's satisfaction of any applicable federal, state, local and foreign withholding obligations or withholding taxes, including any employer minimum statutory withholding (“</w:t>
      </w:r>
      <w:r>
        <w:rPr>
          <w:rFonts w:ascii="Times New Roman" w:cs="Times New Roman" w:eastAsia="Times New Roman" w:hAnsi="Times New Roman"/>
          <w:sz w:val="20"/>
          <w:szCs w:val="20"/>
          <w:u w:val="single" w:color="auto"/>
          <w:color w:val="auto"/>
        </w:rPr>
        <w:t>Withholding Taxes</w:t>
      </w:r>
      <w:r>
        <w:rPr>
          <w:rFonts w:ascii="Times New Roman" w:cs="Times New Roman" w:eastAsia="Times New Roman" w:hAnsi="Times New Roman"/>
          <w:sz w:val="20"/>
          <w:szCs w:val="20"/>
          <w:color w:val="auto"/>
        </w:rPr>
        <w:t xml:space="preserve">”), and the Grantee shall pay the amount of any such Withholding Taxes to the Company as set forth in this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The Grantee may satisfy his or her obligation to pay the Withholding Taxes by: (i) making a cash payment to the Company in an amount equal to the Withholding Taxes; (ii) having the Company withhold Shares otherwise deliverable to the Grantee pursuant to settlement of vested Performance Share Units; or (iii) delivering, actually or by attestation, to the Company Shares already owned by the Grantee; provided that in the case of (ii) or (iii) the amount of such Shares withheld or Shares delivered (with the value of such Shares being based on the Fair Market Value of a Share as of the payment date as determined by the Committee) shall be determined consistent with the Plan. The Grantee acknowledges and agrees that the Company has the right to deduct from compensation or other amounts owing to the Grantee an amount not to exceed the Withholding Taxes. Neither the Company nor any Subsidiary makes any representation or undertaking regarding the treatment of any tax withholding in connection with the awarding or vesting of the Performance Share Units or the subsequent sale of Shares. The Company and the Subsidiaries do not commit and are under no obligation to structure this Performance Share Unit Award to reduce or eliminate Grantee’s tax liability.</w:t>
      </w:r>
    </w:p>
    <w:p>
      <w:pPr>
        <w:spacing w:after="0" w:line="20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4.3 </w:t>
      </w:r>
      <w:r>
        <w:rPr>
          <w:rFonts w:ascii="Times New Roman" w:cs="Times New Roman" w:eastAsia="Times New Roman" w:hAnsi="Times New Roman"/>
          <w:sz w:val="20"/>
          <w:szCs w:val="20"/>
          <w:u w:val="single" w:color="auto"/>
          <w:color w:val="auto"/>
        </w:rPr>
        <w:t>Stock Subject to Award</w:t>
      </w:r>
      <w:r>
        <w:rPr>
          <w:rFonts w:ascii="Times New Roman" w:cs="Times New Roman" w:eastAsia="Times New Roman" w:hAnsi="Times New Roman"/>
          <w:sz w:val="20"/>
          <w:szCs w:val="20"/>
          <w:color w:val="auto"/>
        </w:rPr>
        <w:t>. In the event that the Company Shares should, as a result of a stock split or stock dividend or combination of shares or any other change, redesignation, merger, consolidation, recapitalization or otherwise, be increased or decreased or changed into or exchanged for a different number or kind of shares of stock or other securities of the Company or of another corporation, or in the event of any other event contemplated by Section 4.2 of the Plan, the number of Performance Share Units that have</w:t>
      </w:r>
    </w:p>
    <w:p>
      <w:pPr>
        <w:sectPr>
          <w:pgSz w:w="11900" w:h="16838" w:orient="portrait"/>
          <w:cols w:equalWidth="0" w:num="1">
            <w:col w:w="11420"/>
          </w:cols>
          <w:pgMar w:left="240" w:top="616" w:right="239" w:bottom="1440" w:gutter="0" w:footer="0" w:header="0"/>
        </w:sectPr>
      </w:pPr>
    </w:p>
    <w:bookmarkStart w:id="68" w:name="page69"/>
    <w:bookmarkEnd w:id="68"/>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been awarded to Grantee shall be adjusted in an equitable and proportionate manner to reflect such action. If any such adjustment shall result in a fractional share, such fraction shall be disregarded.</w:t>
      </w:r>
    </w:p>
    <w:p>
      <w:pPr>
        <w:spacing w:after="0" w:line="173"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 xml:space="preserve">4.4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Notwithstanding anything herein to the contrary, to the maximum extent permitted by applicable law, the settlement of the Performance Share Units (including any dividend equivalent rights related thereto) to be made to the Grantee pursuant to this Agreement is intended to qualify as a “short-term deferral” pursuant to Section 1.409A-1(b)(4) of the Treasury Regulations and this Agreement shall be interpreted consistently therewith. However, under certain circumstances, settlement of the Performance Share Units or any dividend equivalent rights may not so qualify, and in that case, the Committee shall administer the grant and settlement of such Performance Share Units and any dividend equivalent rights in strict compliance with Section 409A of the Code. Further, notwithstanding anything herein to the contrary, if at the time of a Grantee’s termination of employment with the Company and its Subsidiaries, the Grantee is a “specified employee” as defined in Section 409A of the Code, and the deferral of the commencement of any payments or benefits otherwise payable hereunder as a result of such termination of service is necessary in order to prevent the imposition of any accelerated or additional tax under Section 409A of the Code, then the Company will defer the commencement of the payment of any such payments or benefits hereunder (without any reduction in such payments or benefits ultimately paid or provided to the Grantee) to the minimum extent necessary to satisfy Section 409A of the Code until the date that is six months and one day following the Grantee’s termination of employment with the Company (or the earliest date as is permitted under Section 409A of the Code), if such payment or benefit is payable upon a termination of employment. Each payment of Performance Units (and related dividend equivalent units) constitutes a “separate payment” for purposes of Section 409A of the Code. In no event whatsoever shall the Company be liable for any additional tax, interest or penalty that may be imposed on the Grantee by Code Section 409A or damages for failing to comply with Code Section 409A.</w:t>
      </w:r>
    </w:p>
    <w:p>
      <w:pPr>
        <w:spacing w:after="0" w:line="208" w:lineRule="exact"/>
        <w:rPr>
          <w:sz w:val="20"/>
          <w:szCs w:val="20"/>
          <w:color w:val="auto"/>
        </w:rPr>
      </w:pPr>
    </w:p>
    <w:p>
      <w:pPr>
        <w:jc w:val="both"/>
        <w:ind w:firstLine="655"/>
        <w:spacing w:after="0" w:line="254" w:lineRule="auto"/>
        <w:rPr>
          <w:sz w:val="20"/>
          <w:szCs w:val="20"/>
          <w:color w:val="auto"/>
        </w:rPr>
      </w:pPr>
      <w:r>
        <w:rPr>
          <w:rFonts w:ascii="Times New Roman" w:cs="Times New Roman" w:eastAsia="Times New Roman" w:hAnsi="Times New Roman"/>
          <w:sz w:val="20"/>
          <w:szCs w:val="20"/>
          <w:color w:val="auto"/>
        </w:rPr>
        <w:t xml:space="preserve">4.5 </w:t>
      </w:r>
      <w:r>
        <w:rPr>
          <w:rFonts w:ascii="Times New Roman" w:cs="Times New Roman" w:eastAsia="Times New Roman" w:hAnsi="Times New Roman"/>
          <w:sz w:val="20"/>
          <w:szCs w:val="20"/>
          <w:u w:val="single" w:color="auto"/>
          <w:color w:val="auto"/>
        </w:rPr>
        <w:t>No Right to Continued Employment</w:t>
      </w:r>
      <w:r>
        <w:rPr>
          <w:rFonts w:ascii="Times New Roman" w:cs="Times New Roman" w:eastAsia="Times New Roman" w:hAnsi="Times New Roman"/>
          <w:sz w:val="20"/>
          <w:szCs w:val="20"/>
          <w:color w:val="auto"/>
        </w:rPr>
        <w:t>. This Agreement shall not be construed as giving the Grantee the right to be retained in the employ of the Company (or any Subsidiary of the Company), and the Company (or any Subsidiary of the Company) may at any time dismiss the Grantee from employment, free from any liability or any claim under the Plan.</w:t>
      </w:r>
    </w:p>
    <w:p>
      <w:pPr>
        <w:spacing w:after="0" w:line="188" w:lineRule="exact"/>
        <w:rPr>
          <w:sz w:val="20"/>
          <w:szCs w:val="20"/>
          <w:color w:val="auto"/>
        </w:rPr>
      </w:pPr>
    </w:p>
    <w:p>
      <w:pPr>
        <w:jc w:val="both"/>
        <w:ind w:firstLine="643"/>
        <w:spacing w:after="0" w:line="249" w:lineRule="auto"/>
        <w:rPr>
          <w:sz w:val="20"/>
          <w:szCs w:val="20"/>
          <w:color w:val="auto"/>
        </w:rPr>
      </w:pPr>
      <w:r>
        <w:rPr>
          <w:rFonts w:ascii="Times New Roman" w:cs="Times New Roman" w:eastAsia="Times New Roman" w:hAnsi="Times New Roman"/>
          <w:sz w:val="20"/>
          <w:szCs w:val="20"/>
          <w:color w:val="auto"/>
        </w:rPr>
        <w:t xml:space="preserve">4.6 </w:t>
      </w:r>
      <w:r>
        <w:rPr>
          <w:rFonts w:ascii="Times New Roman" w:cs="Times New Roman" w:eastAsia="Times New Roman" w:hAnsi="Times New Roman"/>
          <w:sz w:val="20"/>
          <w:szCs w:val="20"/>
          <w:u w:val="single" w:color="auto"/>
          <w:color w:val="auto"/>
        </w:rPr>
        <w:t>Governing Provisions</w:t>
      </w:r>
      <w:r>
        <w:rPr>
          <w:rFonts w:ascii="Times New Roman" w:cs="Times New Roman" w:eastAsia="Times New Roman" w:hAnsi="Times New Roman"/>
          <w:sz w:val="20"/>
          <w:szCs w:val="20"/>
          <w:color w:val="auto"/>
        </w:rPr>
        <w:t>. This Agreement is made under and subject to the provisions of the Plan, and all of the provisions of the Plan are also provisions of this Agreement. If there is a difference or conflict between the provisions of this Agreement and the provisions of the Plan, the provisions of the Plan will govern. By signing this Agreement, the Grantee confirms that he or she has received a copy of the Plan.</w:t>
      </w:r>
    </w:p>
    <w:p>
      <w:pPr>
        <w:spacing w:after="0" w:line="19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4.7 </w:t>
      </w: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and the Plan contain the entire understanding and agreement between the Company and the Grantee concerning the Performance Share Units granted hereby, and supersede any prior or contemporaneous negotiations and understandings. The Company and the Grantee have made no promises, agreements, conditions or understandings relating to the Performance Share Units, either orally or in writing, that are not included in this Agreement or the Plan.</w:t>
      </w:r>
    </w:p>
    <w:p>
      <w:pPr>
        <w:spacing w:after="0" w:line="19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4.8 </w:t>
      </w:r>
      <w:r>
        <w:rPr>
          <w:rFonts w:ascii="Times New Roman" w:cs="Times New Roman" w:eastAsia="Times New Roman" w:hAnsi="Times New Roman"/>
          <w:sz w:val="20"/>
          <w:szCs w:val="20"/>
          <w:u w:val="single" w:color="auto"/>
          <w:color w:val="auto"/>
        </w:rPr>
        <w:t>Captions</w:t>
      </w:r>
      <w:r>
        <w:rPr>
          <w:rFonts w:ascii="Times New Roman" w:cs="Times New Roman" w:eastAsia="Times New Roman" w:hAnsi="Times New Roman"/>
          <w:sz w:val="20"/>
          <w:szCs w:val="20"/>
          <w:color w:val="auto"/>
        </w:rPr>
        <w:t>. The captions and section numbers appearing in this Agreement are inserted only as a matter of convenience. They do not define, limit, construe or describe the scope or intent of the provisions of this Agreement.</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4.9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The Grant Notice may be executed in one or more counterparts, including by way of any electronic signature, subject to applicable law, each of which shall be deemed an original and all of which together shall constitute one instrument.</w:t>
      </w:r>
    </w:p>
    <w:p>
      <w:pPr>
        <w:sectPr>
          <w:pgSz w:w="11900" w:h="16838" w:orient="portrait"/>
          <w:cols w:equalWidth="0" w:num="1">
            <w:col w:w="11420"/>
          </w:cols>
          <w:pgMar w:left="240" w:top="616" w:right="239" w:bottom="1440" w:gutter="0" w:footer="0" w:header="0"/>
        </w:sectPr>
      </w:pPr>
    </w:p>
    <w:bookmarkStart w:id="69" w:name="page70"/>
    <w:bookmarkEnd w:id="69"/>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 xml:space="preserve">4.10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xml:space="preserve">. Any notice to be given under the terms of this Agreement to the Company shall be addressed to the Company in care of the Secretary of the Company at the Company’s principal office, and any notice to be given to Grantee shall be addressed to Grantee at Grantee’s last address reflected on the Company’s records. By a notice given pursuant to this </w:t>
      </w:r>
      <w:r>
        <w:rPr>
          <w:rFonts w:ascii="Times New Roman" w:cs="Times New Roman" w:eastAsia="Times New Roman" w:hAnsi="Times New Roman"/>
          <w:sz w:val="20"/>
          <w:szCs w:val="20"/>
          <w:u w:val="single" w:color="auto"/>
          <w:color w:val="auto"/>
        </w:rPr>
        <w:t>Section 4.10</w:t>
      </w:r>
      <w:r>
        <w:rPr>
          <w:rFonts w:ascii="Times New Roman" w:cs="Times New Roman" w:eastAsia="Times New Roman" w:hAnsi="Times New Roman"/>
          <w:sz w:val="20"/>
          <w:szCs w:val="20"/>
          <w:color w:val="auto"/>
        </w:rPr>
        <w:t>,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19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4.11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xml:space="preserve">. To the extent permitted by the Plan, this Agreement may be wholly or partially amended or otherwise modified, suspended or terminated at any time or from time to time by the Committee or the Board,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except as may otherwise be provided by the Plan, no amendment, modification, suspension or termination of this Agreement shall adversely affect this Performance Share Unit Award in any material way without the prior written consent of Grantee.</w:t>
      </w:r>
    </w:p>
    <w:p>
      <w:pPr>
        <w:spacing w:after="0" w:line="19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4.12 </w:t>
      </w: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xml:space="preserve">. The Company may assign any of its rights under this Agreement to single or multiple assignees, and this Agreement shall inure to the benefit of the successors and assigns of the Company. Subject to the restrictions on transfer set forth in </w:t>
      </w: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 xml:space="preserve"> hereof and the Plan, this Agreement shall be binding upon and inure to the benefit of the heirs, legatees, legal representatives, successors and assigns of the parties hereto.</w:t>
      </w:r>
    </w:p>
    <w:p>
      <w:pPr>
        <w:spacing w:after="0" w:line="19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4.13 </w:t>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The laws of the State of Delaware shall govern the interpretation, validity, administration, enforcement and performance of the terms of this Agreement regardless of the law that might be applied under principles of conflicts of laws.</w:t>
      </w:r>
    </w:p>
    <w:p>
      <w:pPr>
        <w:spacing w:after="0" w:line="17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 xml:space="preserve">4.14 </w:t>
      </w:r>
      <w:r>
        <w:rPr>
          <w:rFonts w:ascii="Times New Roman" w:cs="Times New Roman" w:eastAsia="Times New Roman" w:hAnsi="Times New Roman"/>
          <w:sz w:val="20"/>
          <w:szCs w:val="20"/>
          <w:u w:val="single" w:color="auto"/>
          <w:color w:val="auto"/>
        </w:rPr>
        <w:t>Conformity to Securities Laws</w:t>
      </w:r>
      <w:r>
        <w:rPr>
          <w:rFonts w:ascii="Times New Roman" w:cs="Times New Roman" w:eastAsia="Times New Roman" w:hAnsi="Times New Roman"/>
          <w:sz w:val="20"/>
          <w:szCs w:val="20"/>
          <w:color w:val="auto"/>
        </w:rPr>
        <w:t>. Grantee acknowledges that the Plan, the Grant Notice and this Agreement are intended to conform to the extent necessary with all applicable laws, including, without limitation, the provisions of the Securities Act and the Exchange Act and any and all regulations and rules promulgated thereunder by the SEC and state securities laws and regulations. Notwithstanding anything herein to the contrary, the Plan shall be administered, and the Performance Share Units are granted only in such a manner as to conform to applicable law. To the extent permitted by applicable law, the Plan and this Agreement shall be deemed amended to the extent necessary to conform to applicable law.</w:t>
      </w:r>
    </w:p>
    <w:p>
      <w:pPr>
        <w:spacing w:after="0" w:line="19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4.15 </w:t>
      </w:r>
      <w:r>
        <w:rPr>
          <w:rFonts w:ascii="Times New Roman" w:cs="Times New Roman" w:eastAsia="Times New Roman" w:hAnsi="Times New Roman"/>
          <w:sz w:val="20"/>
          <w:szCs w:val="20"/>
          <w:u w:val="single" w:color="auto"/>
          <w:color w:val="auto"/>
        </w:rPr>
        <w:t>Agreement Severable</w:t>
      </w:r>
      <w:r>
        <w:rPr>
          <w:rFonts w:ascii="Times New Roman" w:cs="Times New Roman" w:eastAsia="Times New Roman" w:hAnsi="Times New Roman"/>
          <w:sz w:val="20"/>
          <w:szCs w:val="20"/>
          <w:color w:val="auto"/>
        </w:rPr>
        <w:t>. In the event that any provision of the Grant Notice or this Agreement is held invalid or unenforceable, such provision will be severable from, and such invalidity or unenforceability will not be construed to have any effect on, the remaining provisions of the Grant Notice or this Agreement.</w:t>
      </w:r>
    </w:p>
    <w:p>
      <w:pPr>
        <w:spacing w:after="0" w:line="188"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 xml:space="preserve">4.16 </w:t>
      </w:r>
      <w:r>
        <w:rPr>
          <w:rFonts w:ascii="Times New Roman" w:cs="Times New Roman" w:eastAsia="Times New Roman" w:hAnsi="Times New Roman"/>
          <w:sz w:val="20"/>
          <w:szCs w:val="20"/>
          <w:u w:val="single" w:color="auto"/>
          <w:color w:val="auto"/>
        </w:rPr>
        <w:t>Clawback</w:t>
      </w:r>
      <w:r>
        <w:rPr>
          <w:rFonts w:ascii="Times New Roman" w:cs="Times New Roman" w:eastAsia="Times New Roman" w:hAnsi="Times New Roman"/>
          <w:sz w:val="20"/>
          <w:szCs w:val="20"/>
          <w:color w:val="auto"/>
        </w:rPr>
        <w:t>. Any Shares or cash issued pursuant to this Award shall be subject to mandatory repayment by the Grantee to the Company to the extent that such Grantee is, or in the future becomes, subject to (a) any “clawback” or recoupment policy adopted by the Company or any Subsidiary thereof to comply with the requirements of any applicable laws, rules or regulations, including pursuant to final rules adopted by the SEC pursuant to the Dodd-Frank Wall Street Reform and Consumer Protection Act, or otherwise, or (b) any applicable laws which impose mandatory recoupment, under circumstances set forth in such applicable laws, including the Sarbanes-Oxley Act of 2002.</w:t>
      </w:r>
    </w:p>
    <w:p>
      <w:pPr>
        <w:sectPr>
          <w:pgSz w:w="11900" w:h="16838" w:orient="portrait"/>
          <w:cols w:equalWidth="0" w:num="1">
            <w:col w:w="11420"/>
          </w:cols>
          <w:pgMar w:left="240" w:top="616" w:right="2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9"/>
          <w:szCs w:val="19"/>
          <w:i w:val="1"/>
          <w:iCs w:val="1"/>
          <w:color w:val="auto"/>
        </w:rPr>
        <w:t>[remainder of this page intentionally left blank]</w:t>
      </w:r>
    </w:p>
    <w:p>
      <w:pPr>
        <w:sectPr>
          <w:pgSz w:w="11900" w:h="16838" w:orient="portrait"/>
          <w:cols w:equalWidth="0" w:num="1">
            <w:col w:w="9019"/>
          </w:cols>
          <w:pgMar w:left="1440" w:top="612" w:right="1440" w:bottom="1440" w:gutter="0" w:footer="0" w:header="0"/>
        </w:sectPr>
      </w:pPr>
    </w:p>
    <w:bookmarkStart w:id="71" w:name="page72"/>
    <w:bookmarkEnd w:id="71"/>
    <w:p>
      <w:pPr>
        <w:ind w:left="5120"/>
        <w:spacing w:after="0"/>
        <w:rPr>
          <w:sz w:val="20"/>
          <w:szCs w:val="20"/>
          <w:color w:val="auto"/>
        </w:rPr>
      </w:pPr>
      <w:r>
        <w:rPr>
          <w:rFonts w:ascii="Times New Roman" w:cs="Times New Roman" w:eastAsia="Times New Roman" w:hAnsi="Times New Roman"/>
          <w:sz w:val="20"/>
          <w:szCs w:val="20"/>
          <w:b w:val="1"/>
          <w:bCs w:val="1"/>
          <w:u w:val="single" w:color="auto"/>
          <w:color w:val="auto"/>
        </w:rPr>
        <w:t>EXHIBIT A-1</w:t>
      </w:r>
    </w:p>
    <w:p>
      <w:pPr>
        <w:spacing w:after="0" w:line="200" w:lineRule="exact"/>
        <w:rPr>
          <w:sz w:val="20"/>
          <w:szCs w:val="20"/>
          <w:color w:val="auto"/>
        </w:rPr>
      </w:pPr>
    </w:p>
    <w:p>
      <w:pPr>
        <w:spacing w:after="0" w:line="232" w:lineRule="exact"/>
        <w:rPr>
          <w:sz w:val="20"/>
          <w:szCs w:val="20"/>
          <w:color w:val="auto"/>
        </w:rPr>
      </w:pPr>
    </w:p>
    <w:p>
      <w:pPr>
        <w:jc w:val="right"/>
        <w:ind w:right="3679"/>
        <w:spacing w:after="0"/>
        <w:rPr>
          <w:sz w:val="20"/>
          <w:szCs w:val="20"/>
          <w:color w:val="auto"/>
        </w:rPr>
      </w:pPr>
      <w:r>
        <w:rPr>
          <w:rFonts w:ascii="Times New Roman" w:cs="Times New Roman" w:eastAsia="Times New Roman" w:hAnsi="Times New Roman"/>
          <w:sz w:val="20"/>
          <w:szCs w:val="20"/>
          <w:b w:val="1"/>
          <w:bCs w:val="1"/>
          <w:u w:val="single" w:color="auto"/>
          <w:color w:val="auto"/>
        </w:rPr>
        <w:t>Performance Goals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26229526.2</w:t>
      </w:r>
    </w:p>
    <w:p>
      <w:pPr>
        <w:sectPr>
          <w:pgSz w:w="11900" w:h="16838" w:orient="portrait"/>
          <w:cols w:equalWidth="0" w:num="1">
            <w:col w:w="10219"/>
          </w:cols>
          <w:pgMar w:left="240" w:top="842" w:right="1440" w:bottom="1440" w:gutter="0" w:footer="0" w:header="0"/>
        </w:sectPr>
      </w:pPr>
    </w:p>
    <w:bookmarkStart w:id="72" w:name="page73"/>
    <w:bookmarkEnd w:id="72"/>
    <w:p>
      <w:pPr>
        <w:ind w:left="10540"/>
        <w:spacing w:after="0"/>
        <w:rPr>
          <w:sz w:val="20"/>
          <w:szCs w:val="20"/>
          <w:color w:val="auto"/>
        </w:rPr>
      </w:pPr>
      <w:r>
        <w:rPr>
          <w:rFonts w:ascii="Times New Roman" w:cs="Times New Roman" w:eastAsia="Times New Roman" w:hAnsi="Times New Roman"/>
          <w:sz w:val="17"/>
          <w:szCs w:val="17"/>
          <w:color w:val="auto"/>
        </w:rPr>
        <w:t>Exhibit 31.1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EXECUTIVE OFFICER AND PRINCIPAL FINANCIAL OFFICER PURSUANT TO RULES 13a-14(a) AND 15d-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THE SECURITIES EXCHANGE ACT OF 1934,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D. Holder, certify that:</w:t>
      </w:r>
    </w:p>
    <w:p>
      <w:pPr>
        <w:spacing w:after="0" w:line="171" w:lineRule="exact"/>
        <w:rPr>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NN, Inc.;</w:t>
      </w:r>
    </w:p>
    <w:p>
      <w:pPr>
        <w:spacing w:after="0" w:line="117" w:lineRule="exact"/>
        <w:rPr>
          <w:rFonts w:ascii="Times New Roman" w:cs="Times New Roman" w:eastAsia="Times New Roman" w:hAnsi="Times New Roman"/>
          <w:sz w:val="18"/>
          <w:szCs w:val="18"/>
          <w:color w:val="auto"/>
        </w:rPr>
      </w:pPr>
    </w:p>
    <w:p>
      <w:pPr>
        <w:ind w:left="340" w:right="120" w:hanging="332"/>
        <w:spacing w:after="0" w:line="313" w:lineRule="auto"/>
        <w:tabs>
          <w:tab w:leader="none" w:pos="3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0" w:lineRule="exact"/>
        <w:rPr>
          <w:rFonts w:ascii="Times New Roman" w:cs="Times New Roman" w:eastAsia="Times New Roman" w:hAnsi="Times New Roman"/>
          <w:sz w:val="17"/>
          <w:szCs w:val="17"/>
          <w:color w:val="auto"/>
        </w:rPr>
      </w:pPr>
    </w:p>
    <w:p>
      <w:pPr>
        <w:ind w:left="340" w:right="580" w:hanging="332"/>
        <w:spacing w:after="0" w:line="282"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40" w:right="60" w:hanging="332"/>
        <w:spacing w:after="0" w:line="266"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980" w:right="220" w:hanging="324"/>
        <w:spacing w:after="0" w:line="266" w:lineRule="auto"/>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980" w:right="540" w:hanging="324"/>
        <w:spacing w:after="0" w:line="266" w:lineRule="auto"/>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980" w:right="720" w:hanging="324"/>
        <w:spacing w:after="0" w:line="313" w:lineRule="auto"/>
        <w:tabs>
          <w:tab w:leader="none" w:pos="98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ind w:left="980" w:right="220" w:hanging="324"/>
        <w:spacing w:after="0" w:line="266" w:lineRule="auto"/>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340" w:right="500" w:hanging="332"/>
        <w:spacing w:after="0" w:line="282"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6" w:lineRule="exact"/>
        <w:rPr>
          <w:sz w:val="20"/>
          <w:szCs w:val="20"/>
          <w:color w:val="auto"/>
        </w:rPr>
      </w:pPr>
    </w:p>
    <w:p>
      <w:pPr>
        <w:ind w:left="800"/>
        <w:spacing w:after="0"/>
        <w:tabs>
          <w:tab w:leader="none" w:pos="6980" w:val="left"/>
        </w:tabs>
        <w:rPr>
          <w:sz w:val="20"/>
          <w:szCs w:val="20"/>
          <w:color w:val="auto"/>
        </w:rPr>
      </w:pPr>
      <w:r>
        <w:rPr>
          <w:rFonts w:ascii="Times New Roman" w:cs="Times New Roman" w:eastAsia="Times New Roman" w:hAnsi="Times New Roman"/>
          <w:sz w:val="18"/>
          <w:szCs w:val="18"/>
          <w:color w:val="auto"/>
        </w:rPr>
        <w:t>August 9, 2019</w:t>
      </w:r>
      <w:r>
        <w:rPr>
          <w:sz w:val="20"/>
          <w:szCs w:val="20"/>
          <w:color w:val="auto"/>
        </w:rPr>
        <w:tab/>
      </w:r>
      <w:r>
        <w:rPr>
          <w:rFonts w:ascii="Times New Roman" w:cs="Times New Roman" w:eastAsia="Times New Roman" w:hAnsi="Times New Roman"/>
          <w:sz w:val="18"/>
          <w:szCs w:val="18"/>
          <w:color w:val="auto"/>
        </w:rPr>
        <w:t>/s/ Richard 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34290</wp:posOffset>
            </wp:positionV>
            <wp:extent cx="282130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Richard D. Holder</w:t>
      </w:r>
    </w:p>
    <w:p>
      <w:pPr>
        <w:spacing w:after="0" w:line="6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6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(Principal Executive and Financial Officer)</w:t>
      </w:r>
    </w:p>
    <w:p>
      <w:pPr>
        <w:sectPr>
          <w:pgSz w:w="11900" w:h="16838" w:orient="portrait"/>
          <w:cols w:equalWidth="0" w:num="1">
            <w:col w:w="11420"/>
          </w:cols>
          <w:pgMar w:left="240" w:top="580" w:right="2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EXECUTIVE OFFICER AND PRINCIPAL FINANCIAL OFFICER PURSUANT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SECTION 906 OF THE SARBANES-OXLEY ACT OF 2002</w:t>
      </w:r>
    </w:p>
    <w:p>
      <w:pPr>
        <w:spacing w:after="0" w:line="2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NN, Inc. (the “Company”) on Form 10-Q for the interim period ended June 30, 2019,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 as of the dates and for the periods indicated.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140"/>
        <w:spacing w:after="0"/>
        <w:tabs>
          <w:tab w:leader="none" w:pos="7000" w:val="left"/>
        </w:tabs>
        <w:rPr>
          <w:sz w:val="20"/>
          <w:szCs w:val="20"/>
          <w:color w:val="auto"/>
        </w:rPr>
      </w:pPr>
      <w:r>
        <w:rPr>
          <w:rFonts w:ascii="Times New Roman" w:cs="Times New Roman" w:eastAsia="Times New Roman" w:hAnsi="Times New Roman"/>
          <w:sz w:val="18"/>
          <w:szCs w:val="18"/>
          <w:color w:val="auto"/>
        </w:rPr>
        <w:t>August 9, 2019</w:t>
      </w:r>
      <w:r>
        <w:rPr>
          <w:sz w:val="20"/>
          <w:szCs w:val="20"/>
          <w:color w:val="auto"/>
        </w:rPr>
        <w:tab/>
      </w:r>
      <w:r>
        <w:rPr>
          <w:rFonts w:ascii="Times New Roman" w:cs="Times New Roman" w:eastAsia="Times New Roman" w:hAnsi="Times New Roman"/>
          <w:sz w:val="17"/>
          <w:szCs w:val="17"/>
          <w:color w:val="auto"/>
        </w:rPr>
        <w:t>/s/ Richard 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4438650</wp:posOffset>
            </wp:positionH>
            <wp:positionV relativeFrom="paragraph">
              <wp:posOffset>34290</wp:posOffset>
            </wp:positionV>
            <wp:extent cx="28130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57"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Richard D. Holder</w:t>
      </w:r>
    </w:p>
    <w:p>
      <w:pPr>
        <w:spacing w:after="0" w:line="63"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27"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(Principal Executive and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lowerLetter"/>
      <w:start w:val="1"/>
    </w:lvl>
  </w:abstractNum>
  <w:abstractNum w:abstractNumId="7">
    <w:nsid w:val="6B68079A"/>
    <w:multiLevelType w:val="hybridMultilevel"/>
    <w:lvl w:ilvl="0">
      <w:lvlJc w:val="left"/>
      <w:lvlText w:val="(%1)"/>
      <w:numFmt w:val="lowerLetter"/>
      <w:start w:val="1"/>
    </w:lvl>
    <w:lvl w:ilvl="1">
      <w:lvlJc w:val="left"/>
      <w:lvlText w:val="(%2)"/>
      <w:numFmt w:val="lowerLetter"/>
      <w:start w:val="9"/>
    </w:lvl>
  </w:abstractNum>
  <w:abstractNum w:abstractNumId="8">
    <w:nsid w:val="4E6AFB66"/>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abstractNum>
  <w:abstractNum w:abstractNumId="9">
    <w:nsid w:val="25E45D32"/>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10">
    <w:nsid w:val="519B500D"/>
    <w:multiLevelType w:val="hybridMultilevel"/>
    <w:lvl w:ilvl="0">
      <w:lvlJc w:val="left"/>
      <w:lvlText w:val="(%1)"/>
      <w:numFmt w:val="lowerRoman"/>
      <w:start w:val="3"/>
    </w:lvl>
    <w:lvl w:ilvl="1">
      <w:lvlJc w:val="left"/>
      <w:lvlText w:val="%2"/>
      <w:numFmt w:val="lowerLetter"/>
      <w:start w:val="1"/>
    </w:lvl>
    <w:lvl w:ilvl="2">
      <w:lvlJc w:val="left"/>
      <w:lvlText w:val="%3"/>
      <w:numFmt w:val="lowerRoman"/>
      <w:start w:val="1"/>
    </w:lvl>
  </w:abstractNum>
  <w:abstractNum w:abstractNumId="11">
    <w:nsid w:val="431BD7B7"/>
    <w:multiLevelType w:val="hybridMultilevel"/>
    <w:lvl w:ilvl="0">
      <w:lvlJc w:val="left"/>
      <w:lvlText w:val="(%1)"/>
      <w:numFmt w:val="lowerLetter"/>
      <w:start w:val="4"/>
    </w:lvl>
  </w:abstractNum>
  <w:abstractNum w:abstractNumId="12">
    <w:nsid w:val="3F2DBA31"/>
    <w:multiLevelType w:val="hybridMultilevel"/>
    <w:lvl w:ilvl="0">
      <w:lvlJc w:val="left"/>
      <w:lvlText w:val="(%1)"/>
      <w:numFmt w:val="lowerLetter"/>
      <w:start w:val="1"/>
    </w:lvl>
  </w:abstractNum>
  <w:abstractNum w:abstractNumId="13">
    <w:nsid w:val="7C83E458"/>
    <w:multiLevelType w:val="hybridMultilevel"/>
    <w:lvl w:ilvl="0">
      <w:lvlJc w:val="left"/>
      <w:lvlText w:val="(%1)"/>
      <w:numFmt w:val="lowerLetter"/>
      <w:start w:val="1"/>
    </w:lvl>
  </w:abstractNum>
  <w:abstractNum w:abstractNumId="14">
    <w:nsid w:val="257130A3"/>
    <w:multiLevelType w:val="hybridMultilevel"/>
    <w:lvl w:ilvl="0">
      <w:lvlJc w:val="left"/>
      <w:lvlText w:val="(%1)"/>
      <w:numFmt w:val="lowerLetter"/>
      <w:start w:val="2"/>
    </w:lvl>
  </w:abstractNum>
  <w:abstractNum w:abstractNumId="15">
    <w:nsid w:val="62BBD95A"/>
    <w:multiLevelType w:val="hybridMultilevel"/>
    <w:lvl w:ilvl="0">
      <w:lvlJc w:val="left"/>
      <w:lvlText w:val="(%1)"/>
      <w:numFmt w:val="lowerLetter"/>
      <w:start w:val="1"/>
    </w:lvl>
  </w:abstractNum>
  <w:abstractNum w:abstractNumId="16">
    <w:nsid w:val="436C6125"/>
    <w:multiLevelType w:val="hybridMultilevel"/>
    <w:lvl w:ilvl="0">
      <w:lvlJc w:val="left"/>
      <w:lvlText w:val="(%1)"/>
      <w:numFmt w:val="lowerLetter"/>
      <w:start w:val="1"/>
    </w:lvl>
    <w:lvl w:ilvl="1">
      <w:lvlJc w:val="left"/>
      <w:lvlText w:val="(%2)"/>
      <w:numFmt w:val="lowerLetter"/>
      <w:start w:val="9"/>
    </w:lvl>
  </w:abstractNum>
  <w:abstractNum w:abstractNumId="17">
    <w:nsid w:val="628C895D"/>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18">
    <w:nsid w:val="333AB105"/>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9">
    <w:nsid w:val="721DA317"/>
    <w:multiLevelType w:val="hybridMultilevel"/>
    <w:lvl w:ilvl="0">
      <w:lvlJc w:val="left"/>
      <w:lvlText w:val="(%1)"/>
      <w:numFmt w:val="lowerLetter"/>
      <w:start w:val="61"/>
    </w:lvl>
    <w:lvl w:ilvl="1">
      <w:lvlJc w:val="left"/>
      <w:lvlText w:val="(%2)"/>
      <w:numFmt w:val="lowerLetter"/>
      <w:start w:val="4"/>
    </w:lvl>
    <w:lvl w:ilvl="2">
      <w:lvlJc w:val="left"/>
      <w:lvlText w:val="%3"/>
      <w:numFmt w:val="lowerRoman"/>
      <w:start w:val="1"/>
    </w:lvl>
  </w:abstractNum>
  <w:abstractNum w:abstractNumId="20">
    <w:nsid w:val="2443A858"/>
    <w:multiLevelType w:val="hybridMultilevel"/>
    <w:lvl w:ilvl="0">
      <w:lvlJc w:val="left"/>
      <w:lvlText w:val="(%1)"/>
      <w:numFmt w:val="lowerLetter"/>
      <w:start w:val="1"/>
    </w:lvl>
  </w:abstractNum>
  <w:abstractNum w:abstractNumId="21">
    <w:nsid w:val="2D1D5AE9"/>
    <w:multiLevelType w:val="hybridMultilevel"/>
    <w:lvl w:ilvl="0">
      <w:lvlJc w:val="left"/>
      <w:lvlText w:val="(%1)"/>
      <w:numFmt w:val="lowerLetter"/>
      <w:start w:val="1"/>
    </w:lvl>
  </w:abstractNum>
  <w:abstractNum w:abstractNumId="22">
    <w:nsid w:val="6763845E"/>
    <w:multiLevelType w:val="hybridMultilevel"/>
    <w:lvl w:ilvl="0">
      <w:lvlJc w:val="left"/>
      <w:lvlText w:val="(%1)"/>
      <w:numFmt w:val="lowerLetter"/>
      <w:start w:val="2"/>
    </w:lvl>
  </w:abstractNum>
  <w:abstractNum w:abstractNumId="23">
    <w:nsid w:val="75A2A8D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30" Type="http://schemas.openxmlformats.org/officeDocument/2006/relationships/hyperlink" Target="http://www.sec.gov/Archives/edgar/data/918541/000119312519151712/d750456dex31.htm" TargetMode="External"/><Relationship Id="rId31" Type="http://schemas.openxmlformats.org/officeDocument/2006/relationships/hyperlink" Target="http://www.sec.gov/Archives/edgar/data/918541/000119312519151712/d750456dex32.htm" TargetMode="External"/><Relationship Id="rId32" Type="http://schemas.openxmlformats.org/officeDocument/2006/relationships/hyperlink" Target="http://www.sec.gov/Archives/edgar/data/918541/000119312519151712/d750456dex33.htm" TargetMode="External"/><Relationship Id="rId33" Type="http://schemas.openxmlformats.org/officeDocument/2006/relationships/hyperlink" Target="http://www.sec.gov/Archives/edgar/data/918541/000119312519100697/d716172ddef14a.htm" TargetMode="External"/><Relationship Id="rId34" Type="http://schemas.openxmlformats.org/officeDocument/2006/relationships/hyperlink" Target="http://www.sec.gov/Archives/edgar/data/918541/000119312519171299/d765702dex101.htm" TargetMode="External"/><Relationship Id="rId35" Type="http://schemas.openxmlformats.org/officeDocument/2006/relationships/hyperlink" Target="http://www.sec.gov/Archives/edgar/data/918541/000119312519193548/d772479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2019-12-28T07:25:51Z</dcterms:created>
  <dcterms:modified xsi:type="dcterms:W3CDTF">2019-12-28T07:25:51Z</dcterms:modified>
</cp:coreProperties>
</file>