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800" w:hanging="360"/>
        <w:spacing w:after="0"/>
        <w:tabs>
          <w:tab w:leader="none" w:pos="4800" w:val="left"/>
        </w:tabs>
        <w:numPr>
          <w:ilvl w:val="0"/>
          <w:numId w:val="1"/>
        </w:numPr>
        <w:rPr>
          <w:rFonts w:ascii="Times New Roman" w:cs="Times New Roman" w:eastAsia="Times New Roman" w:hAnsi="Times New Roman"/>
          <w:sz w:val="22"/>
          <w:szCs w:val="22"/>
          <w:b w:val="1"/>
          <w:bCs w:val="1"/>
          <w:color w:val="0000FF"/>
        </w:rPr>
      </w:pPr>
      <w:r>
        <w:rPr>
          <w:rFonts w:ascii="Times New Roman" w:cs="Times New Roman" w:eastAsia="Times New Roman" w:hAnsi="Times New Roman"/>
          <w:sz w:val="22"/>
          <w:szCs w:val="22"/>
          <w:b w:val="1"/>
          <w:bCs w:val="1"/>
          <w:color w:val="0000FF"/>
        </w:rPr>
        <w:t>INC</w:t>
      </w:r>
    </w:p>
    <w:p>
      <w:pPr>
        <w:spacing w:after="0" w:line="233" w:lineRule="exact"/>
        <w:rPr>
          <w:rFonts w:ascii="Times New Roman" w:cs="Times New Roman" w:eastAsia="Times New Roman" w:hAnsi="Times New Roman"/>
          <w:sz w:val="22"/>
          <w:szCs w:val="22"/>
          <w:b w:val="1"/>
          <w:bCs w:val="1"/>
          <w:color w:val="0000FF"/>
        </w:rPr>
      </w:pPr>
    </w:p>
    <w:p>
      <w:pPr>
        <w:ind w:left="4060"/>
        <w:spacing w:after="0"/>
        <w:rPr>
          <w:rFonts w:ascii="Times New Roman" w:cs="Times New Roman" w:eastAsia="Times New Roman" w:hAnsi="Times New Roman"/>
          <w:sz w:val="22"/>
          <w:szCs w:val="22"/>
          <w:b w:val="1"/>
          <w:bCs w:val="1"/>
          <w:color w:val="0000FF"/>
        </w:rPr>
      </w:pPr>
      <w:r>
        <w:rPr>
          <w:rFonts w:ascii="Times New Roman" w:cs="Times New Roman" w:eastAsia="Times New Roman" w:hAnsi="Times New Roman"/>
          <w:sz w:val="22"/>
          <w:szCs w:val="22"/>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-238760</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John Barrett</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Corre Partners Management, LLC, 12 East 49th Street, 40th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646-863-7152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Corre Opportunities Qualified Master Fund, LP</w:t>
      </w:r>
    </w:p>
    <w:p>
      <w:pPr>
        <w:spacing w:after="0" w:line="2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4,690,669.00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4,690,669.00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4,690,669.00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Corre Partners Advisors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5,063,413.00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5,063,413.00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5,063,413.00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Corre Partners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5,063,413.00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5,063,413.00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5,063,413.00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9.99 %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John Barrett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 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5,063,413.00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5,063,413.00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5,063,413.00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NN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6210 Ardrey Kell Road, Suite 120, Charlotte, NORTH CAROLINA , 28277.</w:t>
      </w:r>
    </w:p>
    <w:p>
      <w:pPr>
        <w:spacing w:after="0" w:line="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The name of the issuer is NN, Inc., a Delaware corporation (the "Issuer"). The address of the Issuer's principal</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executive offices is 6210 Ardrey Kell Road, Suite 120, Charlotte, North Carolina 28277. This Schedule 13D</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amendment relates to the Issuer's common stock, par value $0.01 per share (the "Shares").</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60"/>
        <w:spacing w:after="0" w:line="249" w:lineRule="auto"/>
        <w:rPr>
          <w:sz w:val="20"/>
          <w:szCs w:val="20"/>
          <w:color w:val="auto"/>
        </w:rPr>
      </w:pPr>
      <w:r>
        <w:rPr>
          <w:rFonts w:ascii="Times New Roman" w:cs="Times New Roman" w:eastAsia="Times New Roman" w:hAnsi="Times New Roman"/>
          <w:sz w:val="21"/>
          <w:szCs w:val="21"/>
          <w:color w:val="auto"/>
        </w:rPr>
        <w:t>This Schedule 13D amendment is being filed jointly by (i) Corre Opportunities Qualified Master Fund, LP, a Cayman Islands exempted limited partnership (the "Fund"); (ii) Corre Partners Advisors, LLC, a Delaware limited liability company (the "General Partner"), which serves as the general partner of the Fund; (iii) Corre Partners Management,</w:t>
      </w:r>
    </w:p>
    <w:p>
      <w:pPr>
        <w:spacing w:after="0" w:line="1" w:lineRule="exact"/>
        <w:rPr>
          <w:sz w:val="20"/>
          <w:szCs w:val="20"/>
          <w:color w:val="auto"/>
        </w:rPr>
      </w:pPr>
    </w:p>
    <w:p>
      <w:pPr>
        <w:ind w:left="920" w:right="46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LLC, a Delaware limited liability company (the "Investment Adviser"), which has been delegated investment authority over the assets of the Fund by the General Partner; and (iv) Mr. John Barrett, who serves as a managing member of the General Partner and the Investment Adviser; and (each, a "Reporting Person" and collectively, the "Reporting Persons").</w:t>
      </w:r>
    </w:p>
    <w:p>
      <w:pPr>
        <w:spacing w:after="0" w:line="15" w:lineRule="exact"/>
        <w:rPr>
          <w:rFonts w:ascii="Times New Roman" w:cs="Times New Roman" w:eastAsia="Times New Roman" w:hAnsi="Times New Roman"/>
          <w:sz w:val="22"/>
          <w:szCs w:val="22"/>
          <w:color w:val="auto"/>
        </w:rPr>
      </w:pPr>
    </w:p>
    <w:p>
      <w:pPr>
        <w:ind w:left="920" w:right="200"/>
        <w:spacing w:after="0" w:line="24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(b), (c) The Fund is principally engaged in the business of investing in securities. The principal business address of the Fund is 12 East 49th Street, 40th Floor, New York, NY 10017. The General Partner is principally engaged in the business of serving as general partner and/or managing member to private investment vehicles, including the Fund. The principal business address of the General Partner is 12 East 49th Street, 40th Floor, New York, NY 10017. The</w:t>
      </w:r>
    </w:p>
    <w:p>
      <w:pPr>
        <w:spacing w:after="0" w:line="1" w:lineRule="exact"/>
        <w:rPr>
          <w:rFonts w:ascii="Times New Roman" w:cs="Times New Roman" w:eastAsia="Times New Roman" w:hAnsi="Times New Roman"/>
          <w:sz w:val="22"/>
          <w:szCs w:val="22"/>
          <w:color w:val="auto"/>
        </w:rPr>
      </w:pPr>
    </w:p>
    <w:p>
      <w:pPr>
        <w:ind w:left="920" w:right="320" w:hanging="912"/>
        <w:spacing w:after="0" w:line="244" w:lineRule="auto"/>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 Adviser is an investment adviser registered with the Securities and Exchange Commission (the "SEC") that is principally engaged in the business of providing investment management services to private investment vehicles, including the Fund. The principal business address of the Investment Adviser is 12 East 49th Street, 40th Floor, New York, NY 10017. Mr. Barrett is the owner and managing member of the General Partner and the Investment Adviser. The business address of Mr. Barrett is 12 East 49th Street, 40th Floor, New York, NY 10017.</w:t>
      </w:r>
    </w:p>
    <w:p>
      <w:pPr>
        <w:spacing w:after="0" w:line="17" w:lineRule="exact"/>
        <w:rPr>
          <w:sz w:val="20"/>
          <w:szCs w:val="20"/>
          <w:color w:val="auto"/>
        </w:rPr>
      </w:pPr>
    </w:p>
    <w:p>
      <w:pPr>
        <w:ind w:left="920" w:right="3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None of the Reporting Persons have, during the last five years,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None of the Reporting Persons have, during the last five years,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20" w:right="280" w:hanging="912"/>
        <w:spacing w:after="0" w:line="184" w:lineRule="auto"/>
        <w:tabs>
          <w:tab w:leader="none" w:pos="92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Mr. Barrett is a citizen of the United States.</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80"/>
        <w:spacing w:after="0" w:line="249" w:lineRule="auto"/>
        <w:rPr>
          <w:sz w:val="20"/>
          <w:szCs w:val="20"/>
          <w:color w:val="auto"/>
        </w:rPr>
      </w:pPr>
      <w:r>
        <w:rPr>
          <w:rFonts w:ascii="Times New Roman" w:cs="Times New Roman" w:eastAsia="Times New Roman" w:hAnsi="Times New Roman"/>
          <w:sz w:val="21"/>
          <w:szCs w:val="21"/>
          <w:color w:val="auto"/>
        </w:rPr>
        <w:t>The funds for the purchase of the 4,690,669 Shares beneficially owned by the Fund came from the working capital of the Fund, which is the direct owner of the Shares. The funds for the purchase of the 5,063,413 Shares beneficially owned by the other Reporting Persons (which include the 4,690,669 Shares directly owned by the Fund) came from the working capital of the Fund and other private investment vehicles managed by the Investment Adviser, which are the direct owners of such Shares. No borrowed funds were used to purchase the Shares, other than any borrowed funds used for working capital purposes (including certain leverage arrangements) in the ordinary course of business.</w:t>
      </w:r>
    </w:p>
    <w:p>
      <w:pPr>
        <w:spacing w:after="0" w:line="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20"/>
        <w:spacing w:after="0" w:line="244" w:lineRule="auto"/>
        <w:rPr>
          <w:sz w:val="20"/>
          <w:szCs w:val="20"/>
          <w:color w:val="auto"/>
        </w:rPr>
      </w:pPr>
      <w:r>
        <w:rPr>
          <w:rFonts w:ascii="Times New Roman" w:cs="Times New Roman" w:eastAsia="Times New Roman" w:hAnsi="Times New Roman"/>
          <w:sz w:val="21"/>
          <w:szCs w:val="21"/>
          <w:color w:val="auto"/>
        </w:rPr>
        <w:t>The Reporting Persons originally acquired the Shares for investment purposes. The Reporting Persons have had discussions with certain representatives of the Issuer and management of the Issuer. The Reporting Persons intend to review their investment in the Issuer on a continuing basis. Depending on various factors, including the Issuer's financial position and strategic direction, actions taken by the Board, price levels of the Shares, other investment opportunities available to the Reporting Persons, conditions in the securities market and general economic and industry conditions, the Reporting Persons may take such actions with respect to their investment in the Issuer as they deem appropriate including, without limitation, purchasing additional Shares, other securities or derivative instruments related thereto or selling some or all of their Shares, other securities or derivative instruments, engaging in hedging or similar transactions with respect to the Shares and, alone or with others, may engage in communications with directors and officers of the Issuer, other stockholders of the Issuer or other third parties or may take steps to implement a course of action, including, without limitation, engaging advisors, including legal, financial, regulatory, technical and/or industry advisors, to assist in any review. Such discussions and other actions may relate to various alternative courses of action, including, without limitation, those related to an extraordinary corporate transaction (including, but not limited to a merger, reorganization or liquidation) involving the Issuer or any of its subsidiaries; business combinations involving the Issuer or its subsidiaries, a sale or transfer of a material amount of assets of the Issuer or any of its subsidiaries; material asset purchases; the formation of joint ventures with the Issuer or its subsidiaries or the entry into other material projects; changes in the present business, operations, strategy, future</w:t>
      </w:r>
    </w:p>
    <w:p>
      <w:pPr>
        <w:sectPr>
          <w:pgSz w:w="11900" w:h="16838" w:orient="portrait"/>
          <w:cols w:equalWidth="0" w:num="1">
            <w:col w:w="11160"/>
          </w:cols>
          <w:pgMar w:left="360" w:top="110" w:right="379" w:bottom="0" w:gutter="0" w:footer="0" w:header="0"/>
        </w:sectPr>
      </w:pPr>
    </w:p>
    <w:bookmarkStart w:id="5" w:name="page6"/>
    <w:bookmarkEnd w:id="5"/>
    <w:p>
      <w:pPr>
        <w:spacing w:after="0" w:line="19" w:lineRule="exact"/>
        <w:rPr>
          <w:sz w:val="20"/>
          <w:szCs w:val="20"/>
          <w:color w:val="auto"/>
        </w:rPr>
      </w:pPr>
    </w:p>
    <w:p>
      <w:pPr>
        <w:ind w:left="920" w:right="60"/>
        <w:spacing w:after="0" w:line="255" w:lineRule="auto"/>
        <w:rPr>
          <w:sz w:val="20"/>
          <w:szCs w:val="20"/>
          <w:color w:val="auto"/>
        </w:rPr>
      </w:pPr>
      <w:r>
        <w:rPr>
          <w:rFonts w:ascii="Times New Roman" w:cs="Times New Roman" w:eastAsia="Times New Roman" w:hAnsi="Times New Roman"/>
          <w:sz w:val="21"/>
          <w:szCs w:val="21"/>
          <w:color w:val="auto"/>
        </w:rPr>
        <w:t>plans or prospects of the Issuer, financial or governance matters; changes to the Board (including Board composition) or management of the Issuer; acting as a participant in debt financings of the Issuer or its subsidiaries; changes to the capitalization, ownership structure, dividend policy, business or corporate structure or governance documents of the Issuer; de-listing or de-registration of the Issuer's securities, or any action similar to those enumerated above.</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00"/>
        <w:spacing w:after="0" w:line="253" w:lineRule="auto"/>
        <w:rPr>
          <w:sz w:val="20"/>
          <w:szCs w:val="20"/>
          <w:color w:val="auto"/>
        </w:rPr>
      </w:pPr>
      <w:r>
        <w:rPr>
          <w:rFonts w:ascii="Times New Roman" w:cs="Times New Roman" w:eastAsia="Times New Roman" w:hAnsi="Times New Roman"/>
          <w:sz w:val="21"/>
          <w:szCs w:val="21"/>
          <w:color w:val="auto"/>
        </w:rPr>
        <w:t>As of the date hereof (i) the Fund may be deemed to be the beneficial owner of 4,690,669 Shares, constituting 9.3% of the Shares in the aggregate and (ii) each of the General Partner, the Investment Adviser and Mr. Barrett may be</w:t>
      </w:r>
    </w:p>
    <w:p>
      <w:pPr>
        <w:spacing w:after="0" w:line="1" w:lineRule="exact"/>
        <w:rPr>
          <w:sz w:val="20"/>
          <w:szCs w:val="20"/>
          <w:color w:val="auto"/>
        </w:rPr>
      </w:pPr>
    </w:p>
    <w:p>
      <w:pPr>
        <w:ind w:left="920" w:right="300" w:hanging="912"/>
        <w:spacing w:after="0" w:line="235"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deemed to be the beneficial owner of 5,063,413 Shares, constituting 9.99% of the Shares in the aggregate, in each case based upon 50,684,822 Shares outstanding at February 13, 2026, as determined based on reports by the Issuer and as adjusted to include warrants of the Issuer beneficially owned by the Reporting Persons.</w:t>
      </w:r>
    </w:p>
    <w:p>
      <w:pPr>
        <w:spacing w:after="0" w:line="15" w:lineRule="exact"/>
        <w:rPr>
          <w:rFonts w:ascii="Times New Roman" w:cs="Times New Roman" w:eastAsia="Times New Roman" w:hAnsi="Times New Roman"/>
          <w:sz w:val="22"/>
          <w:szCs w:val="22"/>
          <w:color w:val="auto"/>
        </w:rPr>
      </w:pPr>
    </w:p>
    <w:p>
      <w:pPr>
        <w:ind w:left="920" w:right="60"/>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Fund has the sole power to vote or direct the vote of 0 Shares; has the shared power to vote or direct the vote of 4,690,669 Shares; has the sole power to dispose or direct the disposition of 0 Shares; and has the shared power to dispose or direct the disposition of 4,690,669 Shares. The General Partner has the sole power to vote or direct the vote of 0 Shares; has the shared power to vote or direct the vote of 5,063,413 Shares; has the sole power to dispose or direct the disposition of 0 Shares; and has the shared power to dispose or direct the disposition of 5,063,413 Shares.</w:t>
      </w:r>
    </w:p>
    <w:p>
      <w:pPr>
        <w:spacing w:after="0" w:line="1" w:lineRule="exact"/>
        <w:rPr>
          <w:rFonts w:ascii="Times New Roman" w:cs="Times New Roman" w:eastAsia="Times New Roman" w:hAnsi="Times New Roman"/>
          <w:sz w:val="22"/>
          <w:szCs w:val="22"/>
          <w:color w:val="auto"/>
        </w:rPr>
      </w:pPr>
    </w:p>
    <w:p>
      <w:pPr>
        <w:ind w:left="920" w:right="100" w:hanging="912"/>
        <w:spacing w:after="0" w:line="232"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Investment Adviser has the sole power to vote or direct the vote of 0 Shares; has the shared power to vote or direct the vote of 5,063,413 Shares; has the sole power to dispose or direct the disposition of 0 Shares; and has the shared power to dispose or direct the disposition of 5,063,413 Shares. Mr. Barrett has the sole power to vote or direct the vote of 0 Shares; has the shared power to vote or direct the vote of 5,063,413 Shares; has the sole power to dispose or direct the disposition of 0 Shares; and has the shared power to dispose or direct the disposition of 5,063,413 Shares.</w:t>
      </w:r>
    </w:p>
    <w:p>
      <w:pPr>
        <w:spacing w:after="0" w:line="20"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transactions by the Reporting Persons in the securities of the Issuer since the last Schedule 13D amendment filed</w:t>
      </w:r>
    </w:p>
    <w:p>
      <w:pPr>
        <w:spacing w:after="0" w:line="25" w:lineRule="exact"/>
        <w:rPr>
          <w:rFonts w:ascii="Times New Roman" w:cs="Times New Roman" w:eastAsia="Times New Roman" w:hAnsi="Times New Roman"/>
          <w:sz w:val="22"/>
          <w:szCs w:val="22"/>
          <w:color w:val="auto"/>
        </w:rPr>
      </w:pPr>
    </w:p>
    <w:p>
      <w:pPr>
        <w:ind w:left="920" w:right="180" w:hanging="912"/>
        <w:spacing w:after="0" w:line="237"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Reporting Persons in respect of the Issuer are set forth on Exhibit B. All such transactions were carried out in open market transactions.</w:t>
      </w:r>
    </w:p>
    <w:p>
      <w:pPr>
        <w:spacing w:after="0" w:line="16" w:lineRule="exact"/>
        <w:rPr>
          <w:rFonts w:ascii="Times New Roman" w:cs="Times New Roman" w:eastAsia="Times New Roman" w:hAnsi="Times New Roman"/>
          <w:sz w:val="22"/>
          <w:szCs w:val="22"/>
          <w:color w:val="auto"/>
        </w:rPr>
      </w:pPr>
    </w:p>
    <w:p>
      <w:pPr>
        <w:ind w:left="920" w:right="10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set forth in this Schedule 13D, no person has the right to receive or the power to direct receipt of dividends from, or the proceeds of sale of, securities covered by Schedule 13D.</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spacing w:after="0" w:line="232" w:lineRule="auto"/>
        <w:rPr>
          <w:sz w:val="20"/>
          <w:szCs w:val="20"/>
          <w:color w:val="auto"/>
        </w:rPr>
      </w:pPr>
      <w:r>
        <w:rPr>
          <w:rFonts w:ascii="Times New Roman" w:cs="Times New Roman" w:eastAsia="Times New Roman" w:hAnsi="Times New Roman"/>
          <w:sz w:val="22"/>
          <w:szCs w:val="22"/>
          <w:color w:val="auto"/>
        </w:rPr>
        <w:t>The Fund and other private investment vehicles managed by the Investment Adviser (the "Corre Holders") hold common stock purchase warrants of the Issuer (the "Warrants"), pursuant to the terms of that certain Securities Purchase Agreement, dated December 5, 2019 (the "Purchase Agreement"). See Exhibit C for the Purchase Agreement. The Warrants are exercisable, in full or in part, at any time prior to the seventh anniversary of their issuance, at an exercise price of $11.03 per share, subject to customary anti-dilution adjustments in the event of future below market issuances, stock splits, stock dividends, combinations or similar events set forth in the Warrants. The Warrants held by the Reporting Persons are subject to limitations on the right to exercise to the extent that after giving effect to such issuance after exercise, the Reporting Persons (together with the Reporting Persons' affiliates, any other accounts managed by or over which the Investment Adviser or one of its affiliates has discretionary investment authority, or any other person or entity whose beneficial ownership of Shares would be aggregated with such persons' beneficial ownership for purposes of Section 13(d) or Section 16 of the Securities Exchange Act of 1934), would beneficially own Shares in excess of 9.99% of the number of Shares outstanding (measured after giving effect to the issuance of Shares issuable upon exercise of the Warrants). See Exhibit D for the Warrants. In connection with the issuance of certain Series B Convertible Preferred Stock of the Issuer, par value $0.01 per share (the "Preferred Stock"), previously held by the Corre Holders, all of which has been redeemed by the Issuer for cash, the Issuer entered into a registration rights agreement with the purchasers to provide certain customary demand registration rights exercisable beginning on March 31, 2021, with respect to their shares of common stock, including those underlying the Preferred Stock and Warrants, shares of Preferred Stock, and the Warrants. See Exhibit E for the Registration Rights Agreement. The Reporting Persons do not have any contract, arrangement, understanding or relationship with any person with respect to securities of the Issuer that is not described above and/or incorporated herein by reference.</w:t>
      </w:r>
    </w:p>
    <w:p>
      <w:pPr>
        <w:spacing w:after="0" w:line="2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80"/>
        <w:spacing w:after="0" w:line="251" w:lineRule="auto"/>
        <w:rPr>
          <w:sz w:val="20"/>
          <w:szCs w:val="20"/>
          <w:color w:val="auto"/>
        </w:rPr>
      </w:pPr>
      <w:r>
        <w:rPr>
          <w:rFonts w:ascii="Times New Roman" w:cs="Times New Roman" w:eastAsia="Times New Roman" w:hAnsi="Times New Roman"/>
          <w:sz w:val="21"/>
          <w:szCs w:val="21"/>
          <w:color w:val="auto"/>
        </w:rPr>
        <w:t>Exhibit A: Joint Filing Agreement Exhibit B: Schedule of Transactions in Shares Exhibit C: Securities Purchase Agreement (incorporated by reference to Exhibit 10.1 to the Form 8-K filed with the SEC by the Issuer on December 11, 2019) Exhibit D: Common Stock Purchase Warrant (incorporated by reference to Exhibit 4.1 to the Form 8-K filed with the SEC by the Issuer on December 11, 2019) Exhibit E: Registration Rights Agreement (incorporated by reference to Exhibit 10.2 to the Form 8-K filed with the SEC by the Issuer on December 11, 2019)</w:t>
      </w:r>
    </w:p>
    <w:p>
      <w:pPr>
        <w:spacing w:after="0" w:line="2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Corre Opportunities Qualified Master Fund, LP</w:t>
      </w:r>
    </w:p>
    <w:p>
      <w:pPr>
        <w:spacing w:after="0" w:line="1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Corre Opportunities Qualified Master Fund, LP*,</w:t>
      </w:r>
    </w:p>
    <w:p>
      <w:pPr>
        <w:spacing w:after="0" w:line="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Corre Partners Advisors, LLC, its general</w:t>
      </w:r>
    </w:p>
    <w:p>
      <w:pPr>
        <w:ind w:left="6740"/>
        <w:spacing w:after="0"/>
        <w:rPr>
          <w:sz w:val="20"/>
          <w:szCs w:val="20"/>
          <w:color w:val="auto"/>
        </w:rPr>
      </w:pPr>
      <w:r>
        <w:rPr>
          <w:rFonts w:ascii="Times New Roman" w:cs="Times New Roman" w:eastAsia="Times New Roman" w:hAnsi="Times New Roman"/>
          <w:sz w:val="22"/>
          <w:szCs w:val="22"/>
          <w:color w:val="auto"/>
        </w:rPr>
        <w:t>partner, /s/ John Barrett</w:t>
      </w:r>
    </w:p>
    <w:p>
      <w:pPr>
        <w:sectPr>
          <w:pgSz w:w="11900" w:h="16857" w:orient="portrait"/>
          <w:cols w:equalWidth="0" w:num="1">
            <w:col w:w="11140"/>
          </w:cols>
          <w:pgMar w:left="360" w:top="111" w:right="399" w:bottom="0" w:gutter="0" w:footer="0" w:header="0"/>
        </w:sectPr>
      </w:pPr>
    </w:p>
    <w:bookmarkStart w:id="6" w:name="page7"/>
    <w:bookmarkEnd w:id="6"/>
    <w:p>
      <w:pPr>
        <w:ind w:left="5660"/>
        <w:spacing w:after="0"/>
        <w:rPr>
          <w:sz w:val="20"/>
          <w:szCs w:val="20"/>
          <w:color w:val="auto"/>
        </w:rPr>
      </w:pPr>
      <w:r>
        <w:rPr>
          <w:rFonts w:ascii="Times New Roman" w:cs="Times New Roman" w:eastAsia="Times New Roman" w:hAnsi="Times New Roman"/>
          <w:sz w:val="22"/>
          <w:szCs w:val="22"/>
          <w:color w:val="auto"/>
        </w:rPr>
        <w:t>Name/Title: John Barrett / Managing Member</w:t>
      </w:r>
    </w:p>
    <w:p>
      <w:pPr>
        <w:spacing w:after="0" w:line="45"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04/27/2026</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Corre Partners Advisors LLC</w:t>
      </w:r>
    </w:p>
    <w:p>
      <w:pPr>
        <w:spacing w:after="0" w:line="152" w:lineRule="exact"/>
        <w:rPr>
          <w:sz w:val="20"/>
          <w:szCs w:val="20"/>
          <w:color w:val="auto"/>
        </w:rPr>
      </w:pPr>
    </w:p>
    <w:p>
      <w:pPr>
        <w:ind w:left="542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Corre Partners Advisors, LLC*, /s/ John Barrett</w:t>
      </w:r>
    </w:p>
    <w:p>
      <w:pPr>
        <w:spacing w:after="0" w:line="4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Name/Title: John Barrett / Managing Member</w:t>
      </w:r>
    </w:p>
    <w:p>
      <w:pPr>
        <w:spacing w:after="0" w:line="44" w:lineRule="exact"/>
        <w:rPr>
          <w:sz w:val="20"/>
          <w:szCs w:val="20"/>
          <w:color w:val="auto"/>
        </w:rPr>
      </w:pPr>
    </w:p>
    <w:p>
      <w:pPr>
        <w:ind w:left="542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04/27/2026</w:t>
      </w:r>
    </w:p>
    <w:p>
      <w:pPr>
        <w:spacing w:after="0" w:line="15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Corre Partners Management, LLC</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Corre Partners Management, LLC*, /s/ John</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Barrett</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John Barrett / Managing Member</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04/27/2026</w:t>
      </w:r>
    </w:p>
    <w:p>
      <w:pPr>
        <w:spacing w:after="0" w:line="1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John Barrett</w:t>
      </w:r>
    </w:p>
    <w:p>
      <w:pPr>
        <w:spacing w:after="0" w:line="152" w:lineRule="exact"/>
        <w:rPr>
          <w:sz w:val="20"/>
          <w:szCs w:val="20"/>
          <w:color w:val="auto"/>
        </w:rPr>
      </w:pPr>
    </w:p>
    <w:p>
      <w:pPr>
        <w:ind w:left="2700"/>
        <w:spacing w:after="0"/>
        <w:tabs>
          <w:tab w:leader="none" w:pos="3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Barrett*</w:t>
      </w:r>
    </w:p>
    <w:p>
      <w:pPr>
        <w:spacing w:after="0" w:line="4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Name/Title: John Barrett</w:t>
      </w:r>
    </w:p>
    <w:p>
      <w:pPr>
        <w:spacing w:after="0" w:line="44" w:lineRule="exact"/>
        <w:rPr>
          <w:sz w:val="20"/>
          <w:szCs w:val="20"/>
          <w:color w:val="auto"/>
        </w:rPr>
      </w:pPr>
    </w:p>
    <w:p>
      <w:pPr>
        <w:ind w:left="2700"/>
        <w:spacing w:after="0"/>
        <w:tabs>
          <w:tab w:leader="none" w:pos="37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04/27/2026</w:t>
      </w:r>
    </w:p>
    <w:p>
      <w:pPr>
        <w:spacing w:after="0" w:line="112" w:lineRule="exact"/>
        <w:rPr>
          <w:sz w:val="20"/>
          <w:szCs w:val="20"/>
          <w:color w:val="auto"/>
        </w:rPr>
      </w:pPr>
    </w:p>
    <w:p>
      <w:pPr>
        <w:jc w:val="right"/>
        <w:spacing w:after="0" w:line="205" w:lineRule="auto"/>
        <w:rPr>
          <w:sz w:val="20"/>
          <w:szCs w:val="20"/>
          <w:color w:val="auto"/>
        </w:rPr>
      </w:pPr>
      <w:r>
        <w:rPr>
          <w:rFonts w:ascii="Times New Roman" w:cs="Times New Roman" w:eastAsia="Times New Roman" w:hAnsi="Times New Roman"/>
          <w:sz w:val="19"/>
          <w:szCs w:val="19"/>
          <w:b w:val="1"/>
          <w:bCs w:val="1"/>
          <w:color w:val="auto"/>
        </w:rPr>
        <w:t xml:space="preserve">Comments    </w:t>
      </w:r>
      <w:r>
        <w:rPr>
          <w:rFonts w:ascii="Times New Roman" w:cs="Times New Roman" w:eastAsia="Times New Roman" w:hAnsi="Times New Roman"/>
          <w:sz w:val="21"/>
          <w:szCs w:val="21"/>
          <w:color w:val="auto"/>
        </w:rPr>
        <w:t>* The Reporting Person disclaims beneficial ownership of the reported securities except to the extent of his or its</w:t>
      </w:r>
      <w:r>
        <w:rPr>
          <w:rFonts w:ascii="Times New Roman" w:cs="Times New Roman" w:eastAsia="Times New Roman" w:hAnsi="Times New Roman"/>
          <w:sz w:val="19"/>
          <w:szCs w:val="19"/>
          <w:b w:val="1"/>
          <w:bCs w:val="1"/>
          <w:color w:val="auto"/>
        </w:rPr>
        <w:t xml:space="preserve"> accompanying </w:t>
      </w:r>
      <w:r>
        <w:rPr>
          <w:rFonts w:ascii="Times New Roman" w:cs="Times New Roman" w:eastAsia="Times New Roman" w:hAnsi="Times New Roman"/>
          <w:sz w:val="21"/>
          <w:szCs w:val="21"/>
          <w:color w:val="auto"/>
        </w:rPr>
        <w:t>pecuniary interests therein, and this report shall not be deemed an admission that such person is the beneficial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38"/>
          <w:szCs w:val="38"/>
          <w:b w:val="1"/>
          <w:bCs w:val="1"/>
          <w:color w:val="auto"/>
          <w:vertAlign w:val="superscript"/>
        </w:rPr>
        <w:t>signature:</w:t>
      </w:r>
      <w:r>
        <w:rPr>
          <w:rFonts w:ascii="Times New Roman" w:cs="Times New Roman" w:eastAsia="Times New Roman" w:hAnsi="Times New Roman"/>
          <w:sz w:val="21"/>
          <w:szCs w:val="21"/>
          <w:color w:val="auto"/>
        </w:rPr>
        <w:t xml:space="preserve">    owner of these securities for purposes of Section 16 of the U.S. Securities Exchange Act of 1934, as amended, or for any other purpose. Attention: Intentional misstatements or omissions of fact constitute Federal criminal</w:t>
      </w:r>
    </w:p>
    <w:p>
      <w:pPr>
        <w:spacing w:after="0" w:line="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violations (see 18 U.S.C. 1001).</w:t>
      </w:r>
    </w:p>
    <w:p>
      <w:pPr>
        <w:sectPr>
          <w:pgSz w:w="11900" w:h="16838" w:orient="portrait"/>
          <w:cols w:equalWidth="0" w:num="1">
            <w:col w:w="11160"/>
          </w:cols>
          <w:pgMar w:left="360" w:top="111" w:right="37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color w:val="auto"/>
        </w:rPr>
        <w:t>Exhibit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AGREEMENT</w:t>
      </w:r>
    </w:p>
    <w:p>
      <w:pPr>
        <w:spacing w:after="0" w:line="200" w:lineRule="exact"/>
        <w:rPr>
          <w:sz w:val="20"/>
          <w:szCs w:val="20"/>
          <w:color w:val="auto"/>
        </w:rPr>
      </w:pPr>
    </w:p>
    <w:p>
      <w:pPr>
        <w:spacing w:after="0" w:line="2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The undersigned agree that this Schedule 13D amendment, dated April 27, 2026, relating to the common stock, par value $0.01 per share, of NN, Inc. shall be filed on behalf of the undersigned.</w:t>
      </w:r>
    </w:p>
    <w:p>
      <w:pPr>
        <w:spacing w:after="0" w:line="200" w:lineRule="exact"/>
        <w:rPr>
          <w:sz w:val="20"/>
          <w:szCs w:val="20"/>
          <w:color w:val="auto"/>
        </w:rPr>
      </w:pPr>
    </w:p>
    <w:p>
      <w:pPr>
        <w:spacing w:after="0" w:line="22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April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10795</wp:posOffset>
            </wp:positionV>
            <wp:extent cx="14230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5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Corre Opportunities Qualified Master Fund, LP</w:t>
      </w:r>
    </w:p>
    <w:p>
      <w:pPr>
        <w:spacing w:after="0" w:line="1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By: Corre Partners Advisors, LLC, its general partner</w:t>
      </w:r>
    </w:p>
    <w:p>
      <w:pPr>
        <w:spacing w:after="0" w:line="20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By: /</w:t>
      </w:r>
      <w:r>
        <w:rPr>
          <w:rFonts w:ascii="Times New Roman" w:cs="Times New Roman" w:eastAsia="Times New Roman" w:hAnsi="Times New Roman"/>
          <w:sz w:val="22"/>
          <w:szCs w:val="22"/>
          <w:u w:val="single" w:color="auto"/>
          <w:color w:val="auto"/>
        </w:rPr>
        <w:t>s/ John Barrett</w:t>
      </w:r>
    </w:p>
    <w:p>
      <w:pPr>
        <w:spacing w:after="0" w:line="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Name: John Barrett</w:t>
      </w:r>
    </w:p>
    <w:p>
      <w:pPr>
        <w:ind w:left="3840"/>
        <w:spacing w:after="0"/>
        <w:rPr>
          <w:sz w:val="20"/>
          <w:szCs w:val="20"/>
          <w:color w:val="auto"/>
        </w:rPr>
      </w:pPr>
      <w:r>
        <w:rPr>
          <w:rFonts w:ascii="Times New Roman" w:cs="Times New Roman" w:eastAsia="Times New Roman" w:hAnsi="Times New Roman"/>
          <w:sz w:val="22"/>
          <w:szCs w:val="22"/>
          <w:color w:val="auto"/>
        </w:rPr>
        <w:t>Title: Managing Member</w:t>
      </w:r>
    </w:p>
    <w:p>
      <w:pPr>
        <w:spacing w:after="0" w:line="200" w:lineRule="exact"/>
        <w:rPr>
          <w:sz w:val="20"/>
          <w:szCs w:val="20"/>
          <w:color w:val="auto"/>
        </w:rPr>
      </w:pPr>
    </w:p>
    <w:p>
      <w:pPr>
        <w:spacing w:after="0" w:line="25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Corre Partners Advisors, LLC</w:t>
      </w:r>
    </w:p>
    <w:p>
      <w:pPr>
        <w:spacing w:after="0" w:line="23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By: /s/ John Barrett</w:t>
      </w:r>
    </w:p>
    <w:p>
      <w:pPr>
        <w:spacing w:after="0" w:line="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Name: John Barrett</w:t>
      </w:r>
    </w:p>
    <w:p>
      <w:pPr>
        <w:ind w:left="3840"/>
        <w:spacing w:after="0"/>
        <w:rPr>
          <w:sz w:val="20"/>
          <w:szCs w:val="20"/>
          <w:color w:val="auto"/>
        </w:rPr>
      </w:pPr>
      <w:r>
        <w:rPr>
          <w:rFonts w:ascii="Times New Roman" w:cs="Times New Roman" w:eastAsia="Times New Roman" w:hAnsi="Times New Roman"/>
          <w:sz w:val="22"/>
          <w:szCs w:val="22"/>
          <w:color w:val="auto"/>
        </w:rPr>
        <w:t>Title: Managing Member</w:t>
      </w:r>
    </w:p>
    <w:p>
      <w:pPr>
        <w:spacing w:after="0" w:line="200" w:lineRule="exact"/>
        <w:rPr>
          <w:sz w:val="20"/>
          <w:szCs w:val="20"/>
          <w:color w:val="auto"/>
        </w:rPr>
      </w:pPr>
    </w:p>
    <w:p>
      <w:pPr>
        <w:spacing w:after="0" w:line="25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Corre Partners Management, LLC</w:t>
      </w:r>
    </w:p>
    <w:p>
      <w:pPr>
        <w:spacing w:after="0" w:line="23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By: /s/ John Barrett</w:t>
      </w:r>
    </w:p>
    <w:p>
      <w:pPr>
        <w:spacing w:after="0" w:line="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Name: John Barrett</w:t>
      </w:r>
    </w:p>
    <w:p>
      <w:pPr>
        <w:ind w:left="3840"/>
        <w:spacing w:after="0"/>
        <w:rPr>
          <w:sz w:val="20"/>
          <w:szCs w:val="20"/>
          <w:color w:val="auto"/>
        </w:rPr>
      </w:pPr>
      <w:r>
        <w:rPr>
          <w:rFonts w:ascii="Times New Roman" w:cs="Times New Roman" w:eastAsia="Times New Roman" w:hAnsi="Times New Roman"/>
          <w:sz w:val="22"/>
          <w:szCs w:val="22"/>
          <w:color w:val="auto"/>
        </w:rPr>
        <w:t>Title: Managing Member</w:t>
      </w:r>
    </w:p>
    <w:p>
      <w:pPr>
        <w:spacing w:after="0" w:line="200" w:lineRule="exact"/>
        <w:rPr>
          <w:sz w:val="20"/>
          <w:szCs w:val="20"/>
          <w:color w:val="auto"/>
        </w:rPr>
      </w:pPr>
    </w:p>
    <w:p>
      <w:pPr>
        <w:spacing w:after="0" w:line="25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John Barrett</w:t>
      </w:r>
    </w:p>
    <w:p>
      <w:pPr>
        <w:spacing w:after="0" w:line="23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u w:val="single" w:color="auto"/>
          <w:color w:val="auto"/>
        </w:rPr>
        <w:t>/s/ John Barrett</w:t>
      </w:r>
    </w:p>
    <w:p>
      <w:pPr>
        <w:sectPr>
          <w:pgSz w:w="11900" w:h="16838" w:orient="portrait"/>
          <w:cols w:equalWidth="0" w:num="1">
            <w:col w:w="11240"/>
          </w:cols>
          <w:pgMar w:left="320" w:top="598" w:right="339" w:bottom="1440" w:gutter="0" w:footer="0" w:header="0"/>
        </w:sectPr>
      </w:pPr>
    </w:p>
    <w:bookmarkStart w:id="8" w:name="page9"/>
    <w:bookmarkEnd w:id="8"/>
    <w:tbl>
      <w:tblPr>
        <w:tblLayout w:type="fixed"/>
        <w:tblInd w:w="92" w:type="dxa"/>
        <w:tblCellMar>
          <w:top w:w="0" w:type="dxa"/>
          <w:left w:w="0" w:type="dxa"/>
          <w:bottom w:w="0" w:type="dxa"/>
          <w:right w:w="0" w:type="dxa"/>
        </w:tblCellMar>
      </w:tblPr>
      <w:tr>
        <w:trPr>
          <w:trHeight w:val="282"/>
        </w:trPr>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3"/>
          </w:tcPr>
          <w:p>
            <w:pPr>
              <w:ind w:left="360"/>
              <w:spacing w:after="0"/>
              <w:rPr>
                <w:sz w:val="20"/>
                <w:szCs w:val="20"/>
                <w:color w:val="auto"/>
              </w:rPr>
            </w:pPr>
            <w:r>
              <w:rPr>
                <w:rFonts w:ascii="Times New Roman" w:cs="Times New Roman" w:eastAsia="Times New Roman" w:hAnsi="Times New Roman"/>
                <w:sz w:val="22"/>
                <w:szCs w:val="22"/>
                <w:color w:val="auto"/>
                <w:w w:val="96"/>
              </w:rPr>
              <w:t>Exhibit B</w:t>
            </w:r>
          </w:p>
        </w:tc>
        <w:tc>
          <w:tcPr>
            <w:tcW w:w="0" w:type="dxa"/>
            <w:vAlign w:val="bottom"/>
          </w:tcPr>
          <w:p>
            <w:pPr>
              <w:spacing w:after="0"/>
              <w:rPr>
                <w:sz w:val="1"/>
                <w:szCs w:val="1"/>
                <w:color w:val="auto"/>
              </w:rPr>
            </w:pPr>
          </w:p>
        </w:tc>
      </w:tr>
      <w:tr>
        <w:trPr>
          <w:trHeight w:val="486"/>
        </w:trPr>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0" w:type="dxa"/>
            <w:vAlign w:val="bottom"/>
            <w:gridSpan w:val="6"/>
          </w:tcPr>
          <w:p>
            <w:pPr>
              <w:ind w:left="240"/>
              <w:spacing w:after="0"/>
              <w:rPr>
                <w:sz w:val="20"/>
                <w:szCs w:val="20"/>
                <w:color w:val="auto"/>
              </w:rPr>
            </w:pPr>
            <w:r>
              <w:rPr>
                <w:rFonts w:ascii="Times New Roman" w:cs="Times New Roman" w:eastAsia="Times New Roman" w:hAnsi="Times New Roman"/>
                <w:sz w:val="22"/>
                <w:szCs w:val="22"/>
                <w:b w:val="1"/>
                <w:bCs w:val="1"/>
                <w:color w:val="auto"/>
              </w:rPr>
              <w:t>Schedule of Transactions in Shares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360" w:type="dxa"/>
            <w:vAlign w:val="bottom"/>
          </w:tcPr>
          <w:p>
            <w:pPr>
              <w:spacing w:after="0"/>
              <w:rPr>
                <w:sz w:val="24"/>
                <w:szCs w:val="24"/>
                <w:color w:val="auto"/>
              </w:rPr>
            </w:pPr>
          </w:p>
        </w:tc>
        <w:tc>
          <w:tcPr>
            <w:tcW w:w="196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Date of Transaction</w:t>
            </w:r>
          </w:p>
        </w:tc>
        <w:tc>
          <w:tcPr>
            <w:tcW w:w="1340" w:type="dxa"/>
            <w:vAlign w:val="bottom"/>
          </w:tcPr>
          <w:p>
            <w:pPr>
              <w:spacing w:after="0"/>
              <w:rPr>
                <w:sz w:val="24"/>
                <w:szCs w:val="24"/>
                <w:color w:val="auto"/>
              </w:rPr>
            </w:pPr>
          </w:p>
        </w:tc>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Title of Class</w:t>
            </w:r>
          </w:p>
        </w:tc>
        <w:tc>
          <w:tcPr>
            <w:tcW w:w="2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Number of</w:t>
            </w:r>
          </w:p>
        </w:tc>
        <w:tc>
          <w:tcPr>
            <w:tcW w:w="36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gridSpan w:val="5"/>
          </w:tcPr>
          <w:p>
            <w:pPr>
              <w:jc w:val="center"/>
              <w:ind w:right="200"/>
              <w:spacing w:after="0"/>
              <w:rPr>
                <w:sz w:val="20"/>
                <w:szCs w:val="20"/>
                <w:color w:val="auto"/>
              </w:rPr>
            </w:pPr>
            <w:r>
              <w:rPr>
                <w:rFonts w:ascii="Times New Roman" w:cs="Times New Roman" w:eastAsia="Times New Roman" w:hAnsi="Times New Roman"/>
                <w:sz w:val="22"/>
                <w:szCs w:val="22"/>
                <w:color w:val="auto"/>
                <w:w w:val="97"/>
              </w:rPr>
              <w:t>Number of</w:t>
            </w:r>
          </w:p>
        </w:tc>
        <w:tc>
          <w:tcPr>
            <w:tcW w:w="2020" w:type="dxa"/>
            <w:vAlign w:val="bottom"/>
            <w:gridSpan w:val="5"/>
          </w:tcPr>
          <w:p>
            <w:pPr>
              <w:jc w:val="center"/>
              <w:ind w:left="12"/>
              <w:spacing w:after="0"/>
              <w:rPr>
                <w:sz w:val="20"/>
                <w:szCs w:val="20"/>
                <w:color w:val="auto"/>
              </w:rPr>
            </w:pPr>
            <w:r>
              <w:rPr>
                <w:rFonts w:ascii="Times New Roman" w:cs="Times New Roman" w:eastAsia="Times New Roman" w:hAnsi="Times New Roman"/>
                <w:sz w:val="22"/>
                <w:szCs w:val="22"/>
                <w:color w:val="auto"/>
                <w:w w:val="97"/>
              </w:rPr>
              <w:t>Price Per</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960" w:type="dxa"/>
            <w:vAlign w:val="bottom"/>
            <w:gridSpan w:val="2"/>
            <w:vMerge w:val="continu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4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 w:type="dxa"/>
            <w:vAlign w:val="bottom"/>
          </w:tcPr>
          <w:p>
            <w:pPr>
              <w:spacing w:after="0"/>
              <w:rPr>
                <w:sz w:val="19"/>
                <w:szCs w:val="19"/>
                <w:color w:val="auto"/>
              </w:rPr>
            </w:pPr>
          </w:p>
        </w:tc>
        <w:tc>
          <w:tcPr>
            <w:tcW w:w="1960" w:type="dxa"/>
            <w:vAlign w:val="bottom"/>
            <w:gridSpan w:val="2"/>
            <w:vMerge w:val="continue"/>
          </w:tcPr>
          <w:p>
            <w:pPr>
              <w:spacing w:after="0"/>
              <w:rPr>
                <w:sz w:val="19"/>
                <w:szCs w:val="19"/>
                <w:color w:val="auto"/>
              </w:rPr>
            </w:pPr>
          </w:p>
        </w:tc>
        <w:tc>
          <w:tcPr>
            <w:tcW w:w="1340" w:type="dxa"/>
            <w:vAlign w:val="bottom"/>
          </w:tcPr>
          <w:p>
            <w:pPr>
              <w:spacing w:after="0"/>
              <w:rPr>
                <w:sz w:val="19"/>
                <w:szCs w:val="19"/>
                <w:color w:val="auto"/>
              </w:rPr>
            </w:pPr>
          </w:p>
        </w:tc>
        <w:tc>
          <w:tcPr>
            <w:tcW w:w="2440" w:type="dxa"/>
            <w:vAlign w:val="bottom"/>
            <w:gridSpan w:val="2"/>
            <w:vMerge w:val="continue"/>
          </w:tcPr>
          <w:p>
            <w:pPr>
              <w:spacing w:after="0"/>
              <w:rPr>
                <w:sz w:val="19"/>
                <w:szCs w:val="19"/>
                <w:color w:val="auto"/>
              </w:rPr>
            </w:pPr>
          </w:p>
        </w:tc>
        <w:tc>
          <w:tcPr>
            <w:tcW w:w="1560" w:type="dxa"/>
            <w:vAlign w:val="bottom"/>
            <w:gridSpan w:val="4"/>
          </w:tcPr>
          <w:p>
            <w:pPr>
              <w:jc w:val="center"/>
              <w:ind w:right="100"/>
              <w:spacing w:after="0" w:line="223" w:lineRule="exact"/>
              <w:rPr>
                <w:sz w:val="20"/>
                <w:szCs w:val="20"/>
                <w:color w:val="auto"/>
              </w:rPr>
            </w:pPr>
            <w:r>
              <w:rPr>
                <w:rFonts w:ascii="Times New Roman" w:cs="Times New Roman" w:eastAsia="Times New Roman" w:hAnsi="Times New Roman"/>
                <w:sz w:val="22"/>
                <w:szCs w:val="22"/>
                <w:color w:val="auto"/>
                <w:w w:val="97"/>
              </w:rPr>
              <w:t>Shares Acquired</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center"/>
              <w:ind w:right="380"/>
              <w:spacing w:after="0" w:line="223" w:lineRule="exact"/>
              <w:rPr>
                <w:sz w:val="20"/>
                <w:szCs w:val="20"/>
                <w:color w:val="auto"/>
              </w:rPr>
            </w:pPr>
            <w:r>
              <w:rPr>
                <w:rFonts w:ascii="Times New Roman" w:cs="Times New Roman" w:eastAsia="Times New Roman" w:hAnsi="Times New Roman"/>
                <w:sz w:val="22"/>
                <w:szCs w:val="22"/>
                <w:color w:val="auto"/>
                <w:w w:val="98"/>
              </w:rPr>
              <w:t>Shares</w:t>
            </w:r>
          </w:p>
        </w:tc>
        <w:tc>
          <w:tcPr>
            <w:tcW w:w="680" w:type="dxa"/>
            <w:vAlign w:val="bottom"/>
          </w:tcPr>
          <w:p>
            <w:pPr>
              <w:spacing w:after="0"/>
              <w:rPr>
                <w:sz w:val="19"/>
                <w:szCs w:val="19"/>
                <w:color w:val="auto"/>
              </w:rPr>
            </w:pPr>
          </w:p>
        </w:tc>
        <w:tc>
          <w:tcPr>
            <w:tcW w:w="1340" w:type="dxa"/>
            <w:vAlign w:val="bottom"/>
            <w:gridSpan w:val="4"/>
          </w:tcPr>
          <w:p>
            <w:pPr>
              <w:jc w:val="center"/>
              <w:ind w:right="560"/>
              <w:spacing w:after="0" w:line="223" w:lineRule="exact"/>
              <w:rPr>
                <w:sz w:val="20"/>
                <w:szCs w:val="20"/>
                <w:color w:val="auto"/>
              </w:rPr>
            </w:pPr>
            <w:r>
              <w:rPr>
                <w:rFonts w:ascii="Times New Roman" w:cs="Times New Roman" w:eastAsia="Times New Roman" w:hAnsi="Times New Roman"/>
                <w:sz w:val="22"/>
                <w:szCs w:val="22"/>
                <w:color w:val="auto"/>
                <w:w w:val="99"/>
              </w:rPr>
              <w:t>Share</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70"/>
              </w:rPr>
              <w:t>Disposed</w:t>
            </w:r>
          </w:p>
        </w:tc>
        <w:tc>
          <w:tcPr>
            <w:tcW w:w="1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2060" w:type="dxa"/>
            <w:vAlign w:val="bottom"/>
            <w:gridSpan w:val="2"/>
          </w:tcPr>
          <w:p>
            <w:pPr>
              <w:jc w:val="right"/>
              <w:ind w:right="1072"/>
              <w:spacing w:after="0"/>
              <w:rPr>
                <w:sz w:val="20"/>
                <w:szCs w:val="20"/>
                <w:color w:val="auto"/>
              </w:rPr>
            </w:pPr>
            <w:r>
              <w:rPr>
                <w:rFonts w:ascii="Times New Roman" w:cs="Times New Roman" w:eastAsia="Times New Roman" w:hAnsi="Times New Roman"/>
                <w:sz w:val="22"/>
                <w:szCs w:val="22"/>
                <w:color w:val="auto"/>
                <w:w w:val="96"/>
              </w:rPr>
              <w:t>4/20/2026</w:t>
            </w:r>
          </w:p>
        </w:tc>
        <w:tc>
          <w:tcPr>
            <w:tcW w:w="260" w:type="dxa"/>
            <w:vAlign w:val="bottom"/>
          </w:tcPr>
          <w:p>
            <w:pPr>
              <w:spacing w:after="0"/>
              <w:rPr>
                <w:sz w:val="24"/>
                <w:szCs w:val="24"/>
                <w:color w:val="auto"/>
              </w:rPr>
            </w:pPr>
          </w:p>
        </w:tc>
        <w:tc>
          <w:tcPr>
            <w:tcW w:w="378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rPr>
              <w:t>Common Stock, par value $0.01 per</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58,425 (1)</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$2.2423 (3)</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share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gridSpan w:val="2"/>
          </w:tcPr>
          <w:p>
            <w:pPr>
              <w:jc w:val="right"/>
              <w:ind w:right="1072"/>
              <w:spacing w:after="0" w:line="243" w:lineRule="exact"/>
              <w:rPr>
                <w:sz w:val="20"/>
                <w:szCs w:val="20"/>
                <w:color w:val="auto"/>
              </w:rPr>
            </w:pPr>
            <w:r>
              <w:rPr>
                <w:rFonts w:ascii="Times New Roman" w:cs="Times New Roman" w:eastAsia="Times New Roman" w:hAnsi="Times New Roman"/>
                <w:sz w:val="22"/>
                <w:szCs w:val="22"/>
                <w:color w:val="auto"/>
                <w:w w:val="96"/>
              </w:rPr>
              <w:t>4/20/2026</w:t>
            </w: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 par value $0.01 per</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4"/>
          </w:tcPr>
          <w:p>
            <w:pPr>
              <w:ind w:left="100"/>
              <w:spacing w:after="0" w:line="243" w:lineRule="exact"/>
              <w:rPr>
                <w:sz w:val="20"/>
                <w:szCs w:val="20"/>
                <w:color w:val="auto"/>
              </w:rPr>
            </w:pPr>
            <w:r>
              <w:rPr>
                <w:rFonts w:ascii="Times New Roman" w:cs="Times New Roman" w:eastAsia="Times New Roman" w:hAnsi="Times New Roman"/>
                <w:sz w:val="22"/>
                <w:szCs w:val="22"/>
                <w:color w:val="auto"/>
              </w:rPr>
              <w:t>21,332 (2)</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$2.2423 (3)</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share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gridSpan w:val="2"/>
          </w:tcPr>
          <w:p>
            <w:pPr>
              <w:jc w:val="right"/>
              <w:ind w:right="1072"/>
              <w:spacing w:after="0" w:line="243" w:lineRule="exact"/>
              <w:rPr>
                <w:sz w:val="20"/>
                <w:szCs w:val="20"/>
                <w:color w:val="auto"/>
              </w:rPr>
            </w:pPr>
            <w:r>
              <w:rPr>
                <w:rFonts w:ascii="Times New Roman" w:cs="Times New Roman" w:eastAsia="Times New Roman" w:hAnsi="Times New Roman"/>
                <w:sz w:val="22"/>
                <w:szCs w:val="22"/>
                <w:color w:val="auto"/>
                <w:w w:val="96"/>
              </w:rPr>
              <w:t>4/21/2026</w:t>
            </w: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 par value $0.01 per</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4"/>
          </w:tcPr>
          <w:p>
            <w:pPr>
              <w:ind w:left="100"/>
              <w:spacing w:after="0" w:line="243" w:lineRule="exact"/>
              <w:rPr>
                <w:sz w:val="20"/>
                <w:szCs w:val="20"/>
                <w:color w:val="auto"/>
              </w:rPr>
            </w:pPr>
            <w:r>
              <w:rPr>
                <w:rFonts w:ascii="Times New Roman" w:cs="Times New Roman" w:eastAsia="Times New Roman" w:hAnsi="Times New Roman"/>
                <w:sz w:val="22"/>
                <w:szCs w:val="22"/>
                <w:color w:val="auto"/>
              </w:rPr>
              <w:t>40,643 (1)</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$2.2096 (4)</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share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gridSpan w:val="2"/>
          </w:tcPr>
          <w:p>
            <w:pPr>
              <w:jc w:val="right"/>
              <w:ind w:right="1072"/>
              <w:spacing w:after="0" w:line="243" w:lineRule="exact"/>
              <w:rPr>
                <w:sz w:val="20"/>
                <w:szCs w:val="20"/>
                <w:color w:val="auto"/>
              </w:rPr>
            </w:pPr>
            <w:r>
              <w:rPr>
                <w:rFonts w:ascii="Times New Roman" w:cs="Times New Roman" w:eastAsia="Times New Roman" w:hAnsi="Times New Roman"/>
                <w:sz w:val="22"/>
                <w:szCs w:val="22"/>
                <w:color w:val="auto"/>
                <w:w w:val="96"/>
              </w:rPr>
              <w:t>4/21/2026</w:t>
            </w: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 par value $0.01 per</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4"/>
          </w:tcPr>
          <w:p>
            <w:pPr>
              <w:ind w:left="100"/>
              <w:spacing w:after="0" w:line="243" w:lineRule="exact"/>
              <w:rPr>
                <w:sz w:val="20"/>
                <w:szCs w:val="20"/>
                <w:color w:val="auto"/>
              </w:rPr>
            </w:pPr>
            <w:r>
              <w:rPr>
                <w:rFonts w:ascii="Times New Roman" w:cs="Times New Roman" w:eastAsia="Times New Roman" w:hAnsi="Times New Roman"/>
                <w:sz w:val="22"/>
                <w:szCs w:val="22"/>
                <w:color w:val="auto"/>
              </w:rPr>
              <w:t>14,840 (2)</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$2.2096 (4)</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share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gridSpan w:val="2"/>
          </w:tcPr>
          <w:p>
            <w:pPr>
              <w:jc w:val="right"/>
              <w:ind w:right="1072"/>
              <w:spacing w:after="0" w:line="243" w:lineRule="exact"/>
              <w:rPr>
                <w:sz w:val="20"/>
                <w:szCs w:val="20"/>
                <w:color w:val="auto"/>
              </w:rPr>
            </w:pPr>
            <w:r>
              <w:rPr>
                <w:rFonts w:ascii="Times New Roman" w:cs="Times New Roman" w:eastAsia="Times New Roman" w:hAnsi="Times New Roman"/>
                <w:sz w:val="22"/>
                <w:szCs w:val="22"/>
                <w:color w:val="auto"/>
                <w:w w:val="96"/>
              </w:rPr>
              <w:t>4/22/2026</w:t>
            </w: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 par value $0.01 per</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4"/>
          </w:tcPr>
          <w:p>
            <w:pPr>
              <w:ind w:left="100"/>
              <w:spacing w:after="0" w:line="243" w:lineRule="exact"/>
              <w:rPr>
                <w:sz w:val="20"/>
                <w:szCs w:val="20"/>
                <w:color w:val="auto"/>
              </w:rPr>
            </w:pPr>
            <w:r>
              <w:rPr>
                <w:rFonts w:ascii="Times New Roman" w:cs="Times New Roman" w:eastAsia="Times New Roman" w:hAnsi="Times New Roman"/>
                <w:sz w:val="22"/>
                <w:szCs w:val="22"/>
                <w:color w:val="auto"/>
              </w:rPr>
              <w:t>69,136 (1)</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$2.2978 (5)</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share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gridSpan w:val="2"/>
          </w:tcPr>
          <w:p>
            <w:pPr>
              <w:jc w:val="right"/>
              <w:ind w:right="1072"/>
              <w:spacing w:after="0" w:line="243" w:lineRule="exact"/>
              <w:rPr>
                <w:sz w:val="20"/>
                <w:szCs w:val="20"/>
                <w:color w:val="auto"/>
              </w:rPr>
            </w:pPr>
            <w:r>
              <w:rPr>
                <w:rFonts w:ascii="Times New Roman" w:cs="Times New Roman" w:eastAsia="Times New Roman" w:hAnsi="Times New Roman"/>
                <w:sz w:val="22"/>
                <w:szCs w:val="22"/>
                <w:color w:val="auto"/>
                <w:w w:val="96"/>
              </w:rPr>
              <w:t>4/22/2026</w:t>
            </w: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 par value $0.01 per</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4"/>
          </w:tcPr>
          <w:p>
            <w:pPr>
              <w:ind w:left="100"/>
              <w:spacing w:after="0" w:line="243" w:lineRule="exact"/>
              <w:rPr>
                <w:sz w:val="20"/>
                <w:szCs w:val="20"/>
                <w:color w:val="auto"/>
              </w:rPr>
            </w:pPr>
            <w:r>
              <w:rPr>
                <w:rFonts w:ascii="Times New Roman" w:cs="Times New Roman" w:eastAsia="Times New Roman" w:hAnsi="Times New Roman"/>
                <w:sz w:val="22"/>
                <w:szCs w:val="22"/>
                <w:color w:val="auto"/>
              </w:rPr>
              <w:t>25,244 (2)</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$2.2978 (5)</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share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gridSpan w:val="2"/>
          </w:tcPr>
          <w:p>
            <w:pPr>
              <w:jc w:val="right"/>
              <w:ind w:right="1072"/>
              <w:spacing w:after="0" w:line="243" w:lineRule="exact"/>
              <w:rPr>
                <w:sz w:val="20"/>
                <w:szCs w:val="20"/>
                <w:color w:val="auto"/>
              </w:rPr>
            </w:pPr>
            <w:r>
              <w:rPr>
                <w:rFonts w:ascii="Times New Roman" w:cs="Times New Roman" w:eastAsia="Times New Roman" w:hAnsi="Times New Roman"/>
                <w:sz w:val="22"/>
                <w:szCs w:val="22"/>
                <w:color w:val="auto"/>
                <w:w w:val="96"/>
              </w:rPr>
              <w:t>4/23/2026</w:t>
            </w: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 par value $0.01 per</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5"/>
          </w:tcPr>
          <w:p>
            <w:pPr>
              <w:ind w:left="100"/>
              <w:spacing w:after="0" w:line="243" w:lineRule="exact"/>
              <w:rPr>
                <w:sz w:val="20"/>
                <w:szCs w:val="20"/>
                <w:color w:val="auto"/>
              </w:rPr>
            </w:pPr>
            <w:r>
              <w:rPr>
                <w:rFonts w:ascii="Times New Roman" w:cs="Times New Roman" w:eastAsia="Times New Roman" w:hAnsi="Times New Roman"/>
                <w:sz w:val="22"/>
                <w:szCs w:val="22"/>
                <w:color w:val="auto"/>
              </w:rPr>
              <w:t>406,779 (1)</w:t>
            </w:r>
          </w:p>
        </w:tc>
        <w:tc>
          <w:tcPr>
            <w:tcW w:w="200" w:type="dxa"/>
            <w:vAlign w:val="bottom"/>
          </w:tcPr>
          <w:p>
            <w:pPr>
              <w:spacing w:after="0"/>
              <w:rPr>
                <w:sz w:val="21"/>
                <w:szCs w:val="21"/>
                <w:color w:val="auto"/>
              </w:rPr>
            </w:pPr>
          </w:p>
        </w:tc>
        <w:tc>
          <w:tcPr>
            <w:tcW w:w="132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$2.6904 (6)</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share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gridSpan w:val="2"/>
          </w:tcPr>
          <w:p>
            <w:pPr>
              <w:jc w:val="right"/>
              <w:ind w:right="1072"/>
              <w:spacing w:after="0" w:line="243" w:lineRule="exact"/>
              <w:rPr>
                <w:sz w:val="20"/>
                <w:szCs w:val="20"/>
                <w:color w:val="auto"/>
              </w:rPr>
            </w:pPr>
            <w:r>
              <w:rPr>
                <w:rFonts w:ascii="Times New Roman" w:cs="Times New Roman" w:eastAsia="Times New Roman" w:hAnsi="Times New Roman"/>
                <w:sz w:val="22"/>
                <w:szCs w:val="22"/>
                <w:color w:val="auto"/>
                <w:w w:val="96"/>
              </w:rPr>
              <w:t>4/23/2026</w:t>
            </w: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 par value $0.01 per</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5"/>
          </w:tcPr>
          <w:p>
            <w:pPr>
              <w:ind w:left="100"/>
              <w:spacing w:after="0" w:line="243" w:lineRule="exact"/>
              <w:rPr>
                <w:sz w:val="20"/>
                <w:szCs w:val="20"/>
                <w:color w:val="auto"/>
              </w:rPr>
            </w:pPr>
            <w:r>
              <w:rPr>
                <w:rFonts w:ascii="Times New Roman" w:cs="Times New Roman" w:eastAsia="Times New Roman" w:hAnsi="Times New Roman"/>
                <w:sz w:val="22"/>
                <w:szCs w:val="22"/>
                <w:color w:val="auto"/>
              </w:rPr>
              <w:t>148,526 (2)</w:t>
            </w:r>
          </w:p>
        </w:tc>
        <w:tc>
          <w:tcPr>
            <w:tcW w:w="200" w:type="dxa"/>
            <w:vAlign w:val="bottom"/>
          </w:tcPr>
          <w:p>
            <w:pPr>
              <w:spacing w:after="0"/>
              <w:rPr>
                <w:sz w:val="21"/>
                <w:szCs w:val="21"/>
                <w:color w:val="auto"/>
              </w:rPr>
            </w:pPr>
          </w:p>
        </w:tc>
        <w:tc>
          <w:tcPr>
            <w:tcW w:w="132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$2.6904 (6)</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share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gridSpan w:val="2"/>
          </w:tcPr>
          <w:p>
            <w:pPr>
              <w:jc w:val="right"/>
              <w:ind w:right="1072"/>
              <w:spacing w:after="0" w:line="243" w:lineRule="exact"/>
              <w:rPr>
                <w:sz w:val="20"/>
                <w:szCs w:val="20"/>
                <w:color w:val="auto"/>
              </w:rPr>
            </w:pPr>
            <w:r>
              <w:rPr>
                <w:rFonts w:ascii="Times New Roman" w:cs="Times New Roman" w:eastAsia="Times New Roman" w:hAnsi="Times New Roman"/>
                <w:sz w:val="22"/>
                <w:szCs w:val="22"/>
                <w:color w:val="auto"/>
                <w:w w:val="96"/>
              </w:rPr>
              <w:t>4/24/2026</w:t>
            </w: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 par value $0.01 per</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4"/>
          </w:tcPr>
          <w:p>
            <w:pPr>
              <w:ind w:left="100"/>
              <w:spacing w:after="0" w:line="243" w:lineRule="exact"/>
              <w:rPr>
                <w:sz w:val="20"/>
                <w:szCs w:val="20"/>
                <w:color w:val="auto"/>
              </w:rPr>
            </w:pPr>
            <w:r>
              <w:rPr>
                <w:rFonts w:ascii="Times New Roman" w:cs="Times New Roman" w:eastAsia="Times New Roman" w:hAnsi="Times New Roman"/>
                <w:sz w:val="22"/>
                <w:szCs w:val="22"/>
                <w:color w:val="auto"/>
              </w:rPr>
              <w:t>8,936 (1)</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$2.5138 (7)</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share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gridSpan w:val="2"/>
          </w:tcPr>
          <w:p>
            <w:pPr>
              <w:jc w:val="right"/>
              <w:ind w:right="1072"/>
              <w:spacing w:after="0" w:line="243" w:lineRule="exact"/>
              <w:rPr>
                <w:sz w:val="20"/>
                <w:szCs w:val="20"/>
                <w:color w:val="auto"/>
              </w:rPr>
            </w:pPr>
            <w:r>
              <w:rPr>
                <w:rFonts w:ascii="Times New Roman" w:cs="Times New Roman" w:eastAsia="Times New Roman" w:hAnsi="Times New Roman"/>
                <w:sz w:val="22"/>
                <w:szCs w:val="22"/>
                <w:color w:val="auto"/>
                <w:w w:val="96"/>
              </w:rPr>
              <w:t>4/24/2026</w:t>
            </w: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 par value $0.01 per</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4"/>
          </w:tcPr>
          <w:p>
            <w:pPr>
              <w:ind w:left="100"/>
              <w:spacing w:after="0" w:line="243" w:lineRule="exact"/>
              <w:rPr>
                <w:sz w:val="20"/>
                <w:szCs w:val="20"/>
                <w:color w:val="auto"/>
              </w:rPr>
            </w:pPr>
            <w:r>
              <w:rPr>
                <w:rFonts w:ascii="Times New Roman" w:cs="Times New Roman" w:eastAsia="Times New Roman" w:hAnsi="Times New Roman"/>
                <w:sz w:val="22"/>
                <w:szCs w:val="22"/>
                <w:color w:val="auto"/>
              </w:rPr>
              <w:t>3,263 (2)</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$2.5138 (7)</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share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gridSpan w:val="2"/>
          </w:tcPr>
          <w:p>
            <w:pPr>
              <w:jc w:val="right"/>
              <w:ind w:right="1072"/>
              <w:spacing w:after="0" w:line="243" w:lineRule="exact"/>
              <w:rPr>
                <w:sz w:val="20"/>
                <w:szCs w:val="20"/>
                <w:color w:val="auto"/>
              </w:rPr>
            </w:pPr>
            <w:r>
              <w:rPr>
                <w:rFonts w:ascii="Times New Roman" w:cs="Times New Roman" w:eastAsia="Times New Roman" w:hAnsi="Times New Roman"/>
                <w:sz w:val="22"/>
                <w:szCs w:val="22"/>
                <w:color w:val="auto"/>
                <w:w w:val="96"/>
              </w:rPr>
              <w:t>4/27/2026</w:t>
            </w: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 par value $0.01 per</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4"/>
          </w:tcPr>
          <w:p>
            <w:pPr>
              <w:ind w:left="100"/>
              <w:spacing w:after="0" w:line="243" w:lineRule="exact"/>
              <w:rPr>
                <w:sz w:val="20"/>
                <w:szCs w:val="20"/>
                <w:color w:val="auto"/>
              </w:rPr>
            </w:pPr>
            <w:r>
              <w:rPr>
                <w:rFonts w:ascii="Times New Roman" w:cs="Times New Roman" w:eastAsia="Times New Roman" w:hAnsi="Times New Roman"/>
                <w:sz w:val="22"/>
                <w:szCs w:val="22"/>
                <w:color w:val="auto"/>
              </w:rPr>
              <w:t>99,745 (1)</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$2.6295 (8)</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share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gridSpan w:val="2"/>
          </w:tcPr>
          <w:p>
            <w:pPr>
              <w:jc w:val="right"/>
              <w:ind w:right="1072"/>
              <w:spacing w:after="0" w:line="243" w:lineRule="exact"/>
              <w:rPr>
                <w:sz w:val="20"/>
                <w:szCs w:val="20"/>
                <w:color w:val="auto"/>
              </w:rPr>
            </w:pPr>
            <w:r>
              <w:rPr>
                <w:rFonts w:ascii="Times New Roman" w:cs="Times New Roman" w:eastAsia="Times New Roman" w:hAnsi="Times New Roman"/>
                <w:sz w:val="22"/>
                <w:szCs w:val="22"/>
                <w:color w:val="auto"/>
                <w:w w:val="96"/>
              </w:rPr>
              <w:t>4/27/2026</w:t>
            </w: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 par value $0.01 per</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4"/>
          </w:tcPr>
          <w:p>
            <w:pPr>
              <w:ind w:left="100"/>
              <w:spacing w:after="0" w:line="243" w:lineRule="exact"/>
              <w:rPr>
                <w:sz w:val="20"/>
                <w:szCs w:val="20"/>
                <w:color w:val="auto"/>
              </w:rPr>
            </w:pPr>
            <w:r>
              <w:rPr>
                <w:rFonts w:ascii="Times New Roman" w:cs="Times New Roman" w:eastAsia="Times New Roman" w:hAnsi="Times New Roman"/>
                <w:sz w:val="22"/>
                <w:szCs w:val="22"/>
                <w:color w:val="auto"/>
              </w:rPr>
              <w:t>36,420 (2)</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$2.6295 (8)</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8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rPr>
              <w:t>share</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312" w:hanging="312"/>
        <w:spacing w:after="0"/>
        <w:tabs>
          <w:tab w:leader="none" w:pos="31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reported securities are directly owned by the Fund.</w:t>
      </w:r>
    </w:p>
    <w:p>
      <w:pPr>
        <w:spacing w:after="0" w:line="233" w:lineRule="exact"/>
        <w:rPr>
          <w:rFonts w:ascii="Times New Roman" w:cs="Times New Roman" w:eastAsia="Times New Roman" w:hAnsi="Times New Roman"/>
          <w:sz w:val="22"/>
          <w:szCs w:val="22"/>
          <w:color w:val="auto"/>
        </w:rPr>
      </w:pPr>
    </w:p>
    <w:p>
      <w:pPr>
        <w:ind w:left="312" w:hanging="312"/>
        <w:spacing w:after="0"/>
        <w:tabs>
          <w:tab w:leader="none" w:pos="31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reported securities are directly owned by other clients of the Investment Adviser.</w:t>
      </w:r>
    </w:p>
    <w:p>
      <w:pPr>
        <w:spacing w:after="0" w:line="233" w:lineRule="exact"/>
        <w:rPr>
          <w:rFonts w:ascii="Times New Roman" w:cs="Times New Roman" w:eastAsia="Times New Roman" w:hAnsi="Times New Roman"/>
          <w:sz w:val="22"/>
          <w:szCs w:val="22"/>
          <w:color w:val="auto"/>
        </w:rPr>
      </w:pPr>
    </w:p>
    <w:p>
      <w:pPr>
        <w:jc w:val="both"/>
        <w:ind w:left="-8" w:firstLine="8"/>
        <w:spacing w:after="0" w:line="261" w:lineRule="auto"/>
        <w:tabs>
          <w:tab w:leader="none" w:pos="309"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price reported is a weighted average price. These Shares were sold in multiple transactions within the range of $2.20 to $2.3066.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184" w:lineRule="exact"/>
        <w:rPr>
          <w:rFonts w:ascii="Times New Roman" w:cs="Times New Roman" w:eastAsia="Times New Roman" w:hAnsi="Times New Roman"/>
          <w:sz w:val="21"/>
          <w:szCs w:val="21"/>
          <w:color w:val="auto"/>
        </w:rPr>
      </w:pPr>
    </w:p>
    <w:p>
      <w:pPr>
        <w:jc w:val="both"/>
        <w:ind w:left="-8" w:firstLine="8"/>
        <w:spacing w:after="0" w:line="244" w:lineRule="auto"/>
        <w:tabs>
          <w:tab w:leader="none" w:pos="309"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price reported is a weighted average price. These Shares were sold in multiple transactions within the range of $2.17 to $2.29.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0" w:lineRule="exact"/>
        <w:rPr>
          <w:rFonts w:ascii="Times New Roman" w:cs="Times New Roman" w:eastAsia="Times New Roman" w:hAnsi="Times New Roman"/>
          <w:sz w:val="22"/>
          <w:szCs w:val="22"/>
          <w:color w:val="auto"/>
        </w:rPr>
      </w:pPr>
    </w:p>
    <w:p>
      <w:pPr>
        <w:jc w:val="both"/>
        <w:ind w:left="-8" w:firstLine="8"/>
        <w:spacing w:after="0" w:line="261" w:lineRule="auto"/>
        <w:tabs>
          <w:tab w:leader="none" w:pos="299"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price reported is a weighted average price. These Shares were sold in multiple transactions within the range of $2.2050 to $2.38.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184" w:lineRule="exact"/>
        <w:rPr>
          <w:rFonts w:ascii="Times New Roman" w:cs="Times New Roman" w:eastAsia="Times New Roman" w:hAnsi="Times New Roman"/>
          <w:sz w:val="21"/>
          <w:szCs w:val="21"/>
          <w:color w:val="auto"/>
        </w:rPr>
      </w:pPr>
    </w:p>
    <w:p>
      <w:pPr>
        <w:jc w:val="both"/>
        <w:ind w:left="-8" w:firstLine="8"/>
        <w:spacing w:after="0" w:line="244" w:lineRule="auto"/>
        <w:tabs>
          <w:tab w:leader="none" w:pos="309"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price reported is a weighted average price. These Shares were sold in multiple transactions within the range of $2.49 to $2.88.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0" w:lineRule="exact"/>
        <w:rPr>
          <w:rFonts w:ascii="Times New Roman" w:cs="Times New Roman" w:eastAsia="Times New Roman" w:hAnsi="Times New Roman"/>
          <w:sz w:val="22"/>
          <w:szCs w:val="22"/>
          <w:color w:val="auto"/>
        </w:rPr>
      </w:pPr>
    </w:p>
    <w:p>
      <w:pPr>
        <w:jc w:val="both"/>
        <w:ind w:left="-8" w:firstLine="8"/>
        <w:spacing w:after="0" w:line="244" w:lineRule="auto"/>
        <w:tabs>
          <w:tab w:leader="none" w:pos="309"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price reported is a weighted average price. These Shares were sold in multiple transactions within the range of $2.50 to $2.54.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0" w:lineRule="exact"/>
        <w:rPr>
          <w:rFonts w:ascii="Times New Roman" w:cs="Times New Roman" w:eastAsia="Times New Roman" w:hAnsi="Times New Roman"/>
          <w:sz w:val="22"/>
          <w:szCs w:val="22"/>
          <w:color w:val="auto"/>
        </w:rPr>
      </w:pPr>
    </w:p>
    <w:p>
      <w:pPr>
        <w:jc w:val="both"/>
        <w:ind w:left="-8" w:firstLine="8"/>
        <w:spacing w:after="0" w:line="261" w:lineRule="auto"/>
        <w:tabs>
          <w:tab w:leader="none" w:pos="309"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price reported is a weighted average price. These Shares were sold in multiple transactions within the range of $2.52 to $2.7099. The Reporting Persons undertake to provide to the Issuer, any security holder of the Issuer or the staff of the SEC, upon request, full information regarding the number of shares sold at each separate price within the range set forth in this footnote.</w:t>
      </w:r>
    </w:p>
    <w:sectPr>
      <w:pgSz w:w="11900" w:h="16838" w:orient="portrait"/>
      <w:cols w:equalWidth="0" w:num="1">
        <w:col w:w="11232"/>
      </w:cols>
      <w:pgMar w:left="328" w:top="598" w:right="339" w:bottom="103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40"/>
    </w:lvl>
  </w:abstractNum>
  <w:abstractNum w:abstractNumId="1">
    <w:nsid w:val="625558EC"/>
    <w:multiLevelType w:val="hybridMultilevel"/>
    <w:lvl w:ilvl="0">
      <w:lvlJc w:val="left"/>
      <w:lvlText w:val="2"/>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4"/>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2026-04-27T19:40:50Z</dcterms:created>
  <dcterms:modified xsi:type="dcterms:W3CDTF">2026-04-27T19:40:50Z</dcterms:modified>
</cp:coreProperties>
</file>