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28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285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Corre Opportunities Qualified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3"/>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62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Master Fund, LP</w:t>
              </w:r>
            </w:hyperlink>
          </w:p>
        </w:tc>
        <w:tc>
          <w:tcPr>
            <w:tcW w:w="1260" w:type="dxa"/>
            <w:vAlign w:val="bottom"/>
            <w:tcBorders>
              <w:top w:val="single" w:sz="8" w:color="0000EE"/>
            </w:tcBorders>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05/17/2022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ind w:left="403" w:hanging="403"/>
        <w:spacing w:after="0"/>
        <w:tabs>
          <w:tab w:leader="none" w:pos="403" w:val="left"/>
        </w:tabs>
        <w:numPr>
          <w:ilvl w:val="0"/>
          <w:numId w:val="1"/>
        </w:numPr>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77"/>
            <w:col w:w="5943"/>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597"/>
        <w:spacing w:after="0" w:line="275" w:lineRule="auto"/>
        <w:rPr>
          <w:sz w:val="20"/>
          <w:szCs w:val="20"/>
          <w:color w:val="auto"/>
        </w:rPr>
      </w:pPr>
      <w:r>
        <w:rPr>
          <w:rFonts w:ascii="Times New Roman" w:cs="Times New Roman" w:eastAsia="Times New Roman" w:hAnsi="Times New Roman"/>
          <w:sz w:val="20"/>
          <w:szCs w:val="20"/>
          <w:color w:val="0000FF"/>
        </w:rPr>
        <w:t>12 EAST 49TH STREET, 40TH FLOOR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10017</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0"/>
          <w:szCs w:val="20"/>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2"/>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0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4,451,434</w:t>
            </w:r>
          </w:p>
        </w:tc>
        <w:tc>
          <w:tcPr>
            <w:tcW w:w="1380" w:type="dxa"/>
            <w:vAlign w:val="bottom"/>
            <w:tcBorders>
              <w:bottom w:val="single" w:sz="8" w:color="2C2C2C"/>
            </w:tcBorders>
            <w:gridSpan w:val="2"/>
          </w:tcPr>
          <w:p>
            <w:pPr>
              <w:ind w:left="58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5"/>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2"/>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6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920" w:type="dxa"/>
            <w:vAlign w:val="bottom"/>
          </w:tcPr>
          <w:p>
            <w:pPr>
              <w:spacing w:after="0"/>
              <w:rPr>
                <w:sz w:val="14"/>
                <w:szCs w:val="14"/>
                <w:color w:val="auto"/>
              </w:rPr>
            </w:pPr>
          </w:p>
        </w:tc>
        <w:tc>
          <w:tcPr>
            <w:tcW w:w="7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20"/>
              <w:spacing w:after="0"/>
              <w:rPr>
                <w:sz w:val="20"/>
                <w:szCs w:val="20"/>
                <w:color w:val="auto"/>
              </w:rPr>
            </w:pPr>
            <w:r>
              <w:rPr>
                <w:rFonts w:ascii="Arial" w:cs="Arial" w:eastAsia="Arial" w:hAnsi="Arial"/>
                <w:sz w:val="15"/>
                <w:szCs w:val="15"/>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Common Stock Purchase Warrant</w:t>
            </w:r>
          </w:p>
        </w:tc>
        <w:tc>
          <w:tcPr>
            <w:tcW w:w="1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0000FF"/>
              </w:rPr>
              <w:t>12/11/2019</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12/11/2026</w:t>
            </w:r>
          </w:p>
        </w:tc>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Common Stock, par</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720,000</w:t>
            </w: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w w:val="99"/>
              </w:rPr>
              <w:t>12</w:t>
            </w:r>
          </w:p>
        </w:tc>
        <w:tc>
          <w:tcPr>
            <w:tcW w:w="380" w:type="dxa"/>
            <w:vAlign w:val="bottom"/>
          </w:tcPr>
          <w:p>
            <w:pPr>
              <w:spacing w:after="0"/>
              <w:rPr>
                <w:sz w:val="24"/>
                <w:szCs w:val="24"/>
                <w:color w:val="auto"/>
              </w:rPr>
            </w:pP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value $0.01 per share</w:t>
            </w:r>
          </w:p>
        </w:tc>
        <w:tc>
          <w:tcPr>
            <w:tcW w:w="76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100" w:firstLine="5"/>
        <w:spacing w:after="0" w:line="237"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The Qualified Master Fund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Corre Partners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280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ind w:left="6580"/>
        <w:spacing w:after="0" w:line="183" w:lineRule="auto"/>
        <w:rPr>
          <w:sz w:val="20"/>
          <w:szCs w:val="20"/>
          <w:color w:val="auto"/>
        </w:rPr>
      </w:pPr>
      <w:r>
        <w:rPr>
          <w:rFonts w:ascii="Times New Roman" w:cs="Times New Roman" w:eastAsia="Times New Roman" w:hAnsi="Times New Roman"/>
          <w:sz w:val="17"/>
          <w:szCs w:val="17"/>
          <w:color w:val="0000FF"/>
        </w:rPr>
        <w:t xml:space="preserve">LLC, its general partner /s/ </w:t>
      </w:r>
      <w:r>
        <w:rPr>
          <w:rFonts w:ascii="Times New Roman" w:cs="Times New Roman" w:eastAsia="Times New Roman" w:hAnsi="Times New Roman"/>
          <w:sz w:val="31"/>
          <w:szCs w:val="31"/>
          <w:color w:val="0000FF"/>
          <w:vertAlign w:val="subscript"/>
        </w:rPr>
        <w:t>05/25/2022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3379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3106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64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97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01971"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2022-05-25T22:17:23Z</dcterms:created>
  <dcterms:modified xsi:type="dcterms:W3CDTF">2022-05-25T22:17:23Z</dcterms:modified>
</cp:coreProperties>
</file>