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618220"/>
                    </a:xfrm>
                    <a:prstGeom prst="rect">
                      <a:avLst/>
                    </a:prstGeom>
                    <a:noFill/>
                  </pic:spPr>
                </pic:pic>
              </a:graphicData>
            </a:graphic>
          </wp:anchor>
        </w:drawing>
      </w:r>
    </w:p>
    <w:p>
      <w:pPr>
        <w:spacing w:after="0" w:line="1285" w:lineRule="exact"/>
        <w:rPr>
          <w:sz w:val="24"/>
          <w:szCs w:val="24"/>
          <w:color w:val="auto"/>
        </w:rPr>
      </w:pPr>
    </w:p>
    <w:p>
      <w:pPr>
        <w:sectPr>
          <w:pgSz w:w="11900" w:h="16867"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White Raymond 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12121 WILSHIRE BLVD.</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1240</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ind w:left="369" w:hanging="369"/>
        <w:spacing w:after="0"/>
        <w:tabs>
          <w:tab w:leader="none" w:pos="369" w:val="left"/>
        </w:tabs>
        <w:numPr>
          <w:ilvl w:val="0"/>
          <w:numId w:val="1"/>
        </w:numPr>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NNBR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02"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ind w:left="9"/>
        <w:spacing w:after="0"/>
        <w:rPr>
          <w:sz w:val="20"/>
          <w:szCs w:val="20"/>
          <w:color w:val="auto"/>
        </w:rPr>
      </w:pPr>
      <w:r>
        <w:rPr>
          <w:rFonts w:ascii="Times New Roman" w:cs="Times New Roman" w:eastAsia="Times New Roman" w:hAnsi="Times New Roman"/>
          <w:sz w:val="17"/>
          <w:szCs w:val="17"/>
          <w:color w:val="0000FF"/>
        </w:rPr>
        <w:t>03/18/2026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88" w:lineRule="exact"/>
        <w:rPr>
          <w:sz w:val="24"/>
          <w:szCs w:val="24"/>
          <w:color w:val="auto"/>
        </w:rPr>
      </w:pPr>
    </w:p>
    <w:p>
      <w:pPr>
        <w:sectPr>
          <w:pgSz w:w="11900" w:h="16867" w:orient="portrait"/>
          <w:cols w:equalWidth="0" w:num="3">
            <w:col w:w="3191" w:space="720"/>
            <w:col w:w="3104" w:space="720"/>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760" w:type="dxa"/>
            <w:vAlign w:val="bottom"/>
            <w:tcBorders>
              <w:bottom w:val="single" w:sz="8" w:color="9A9A9A"/>
            </w:tcBorders>
          </w:tcPr>
          <w:p>
            <w:pPr>
              <w:spacing w:after="0"/>
              <w:rPr>
                <w:sz w:val="7"/>
                <w:szCs w:val="7"/>
                <w:color w:val="auto"/>
              </w:rPr>
            </w:pPr>
          </w:p>
        </w:tc>
        <w:tc>
          <w:tcPr>
            <w:tcW w:w="140" w:type="dxa"/>
            <w:vAlign w:val="bottom"/>
          </w:tcPr>
          <w:p>
            <w:pPr>
              <w:spacing w:after="0"/>
              <w:rPr>
                <w:sz w:val="7"/>
                <w:szCs w:val="7"/>
                <w:color w:val="auto"/>
              </w:rPr>
            </w:pPr>
          </w:p>
        </w:tc>
        <w:tc>
          <w:tcPr>
            <w:tcW w:w="3840" w:type="dxa"/>
            <w:vAlign w:val="bottom"/>
            <w:gridSpan w:val="5"/>
            <w:vMerge w:val="restart"/>
          </w:tcPr>
          <w:p>
            <w:pPr>
              <w:ind w:left="20"/>
              <w:spacing w:after="0"/>
              <w:rPr>
                <w:sz w:val="20"/>
                <w:szCs w:val="20"/>
                <w:color w:val="auto"/>
              </w:rPr>
            </w:pPr>
            <w:r>
              <w:rPr>
                <w:rFonts w:ascii="Arial" w:cs="Arial" w:eastAsia="Arial" w:hAnsi="Arial"/>
                <w:sz w:val="13"/>
                <w:szCs w:val="13"/>
                <w:color w:val="auto"/>
              </w:rPr>
              <w:t>4. If Amendment, Date of Original Filed (Month/Day/Year)</w:t>
            </w:r>
          </w:p>
        </w:tc>
        <w:tc>
          <w:tcPr>
            <w:tcW w:w="3240" w:type="dxa"/>
            <w:vAlign w:val="bottom"/>
            <w:gridSpan w:val="5"/>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680" w:type="dxa"/>
            <w:vAlign w:val="bottom"/>
            <w:tcBorders>
              <w:top w:val="single" w:sz="8" w:color="EEEEEE"/>
            </w:tcBorders>
          </w:tcPr>
          <w:p>
            <w:pPr>
              <w:spacing w:after="0"/>
              <w:rPr>
                <w:sz w:val="3"/>
                <w:szCs w:val="3"/>
                <w:color w:val="auto"/>
              </w:rPr>
            </w:pPr>
          </w:p>
        </w:tc>
        <w:tc>
          <w:tcPr>
            <w:tcW w:w="1760" w:type="dxa"/>
            <w:vAlign w:val="bottom"/>
            <w:tcBorders>
              <w:top w:val="single" w:sz="8" w:color="EEEEEE"/>
            </w:tcBorders>
          </w:tcPr>
          <w:p>
            <w:pPr>
              <w:spacing w:after="0"/>
              <w:rPr>
                <w:sz w:val="3"/>
                <w:szCs w:val="3"/>
                <w:color w:val="auto"/>
              </w:rPr>
            </w:pPr>
          </w:p>
        </w:tc>
        <w:tc>
          <w:tcPr>
            <w:tcW w:w="140" w:type="dxa"/>
            <w:vAlign w:val="bottom"/>
          </w:tcPr>
          <w:p>
            <w:pPr>
              <w:spacing w:after="0"/>
              <w:rPr>
                <w:sz w:val="3"/>
                <w:szCs w:val="3"/>
                <w:color w:val="auto"/>
              </w:rPr>
            </w:pPr>
          </w:p>
        </w:tc>
        <w:tc>
          <w:tcPr>
            <w:tcW w:w="3840" w:type="dxa"/>
            <w:vAlign w:val="bottom"/>
            <w:gridSpan w:val="5"/>
            <w:vMerge w:val="continue"/>
          </w:tcPr>
          <w:p>
            <w:pPr>
              <w:spacing w:after="0"/>
              <w:rPr>
                <w:sz w:val="3"/>
                <w:szCs w:val="3"/>
                <w:color w:val="auto"/>
              </w:rPr>
            </w:pPr>
          </w:p>
        </w:tc>
        <w:tc>
          <w:tcPr>
            <w:tcW w:w="32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gridSpan w:val="2"/>
          </w:tcPr>
          <w:p>
            <w:pPr>
              <w:spacing w:after="0"/>
              <w:rPr>
                <w:sz w:val="20"/>
                <w:szCs w:val="20"/>
                <w:color w:val="auto"/>
              </w:rPr>
            </w:pPr>
            <w:r>
              <w:rPr>
                <w:rFonts w:ascii="Arial" w:cs="Arial" w:eastAsia="Arial" w:hAnsi="Arial"/>
                <w:sz w:val="13"/>
                <w:szCs w:val="13"/>
                <w:color w:val="auto"/>
              </w:rPr>
              <w:t>Line)</w:t>
            </w:r>
          </w:p>
        </w:tc>
        <w:tc>
          <w:tcPr>
            <w:tcW w:w="9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LOS</w:t>
            </w: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90025</w:t>
            </w: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180" w:type="dxa"/>
            <w:vAlign w:val="bottom"/>
            <w:gridSpan w:val="4"/>
          </w:tcPr>
          <w:p>
            <w:pPr>
              <w:ind w:left="4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7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3180" w:type="dxa"/>
            <w:vAlign w:val="bottom"/>
            <w:gridSpan w:val="4"/>
            <w:vMerge w:val="restart"/>
          </w:tcPr>
          <w:p>
            <w:pPr>
              <w:ind w:left="4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ANGELES</w:t>
            </w:r>
          </w:p>
        </w:tc>
        <w:tc>
          <w:tcPr>
            <w:tcW w:w="680" w:type="dxa"/>
            <w:vAlign w:val="bottom"/>
            <w:vMerge w:val="continue"/>
          </w:tcPr>
          <w:p>
            <w:pPr>
              <w:spacing w:after="0"/>
              <w:rPr>
                <w:sz w:val="8"/>
                <w:szCs w:val="8"/>
                <w:color w:val="auto"/>
              </w:rPr>
            </w:pPr>
          </w:p>
        </w:tc>
        <w:tc>
          <w:tcPr>
            <w:tcW w:w="17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31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ind w:left="46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680" w:type="dxa"/>
            <w:vAlign w:val="bottom"/>
          </w:tcPr>
          <w:p>
            <w:pPr>
              <w:ind w:left="20"/>
              <w:spacing w:after="0"/>
              <w:rPr>
                <w:sz w:val="20"/>
                <w:szCs w:val="20"/>
                <w:color w:val="auto"/>
              </w:rPr>
            </w:pPr>
            <w:r>
              <w:rPr>
                <w:rFonts w:ascii="Arial" w:cs="Arial" w:eastAsia="Arial" w:hAnsi="Arial"/>
                <w:sz w:val="13"/>
                <w:szCs w:val="13"/>
                <w:color w:val="auto"/>
              </w:rPr>
              <w:t>(State)</w:t>
            </w:r>
          </w:p>
        </w:tc>
        <w:tc>
          <w:tcPr>
            <w:tcW w:w="1900" w:type="dxa"/>
            <w:vAlign w:val="bottom"/>
            <w:gridSpan w:val="2"/>
          </w:tcPr>
          <w:p>
            <w:pPr>
              <w:ind w:left="560"/>
              <w:spacing w:after="0"/>
              <w:rPr>
                <w:sz w:val="20"/>
                <w:szCs w:val="20"/>
                <w:color w:val="auto"/>
              </w:rPr>
            </w:pPr>
            <w:r>
              <w:rPr>
                <w:rFonts w:ascii="Arial" w:cs="Arial" w:eastAsia="Arial" w:hAnsi="Arial"/>
                <w:sz w:val="13"/>
                <w:szCs w:val="13"/>
                <w:color w:val="auto"/>
              </w:rPr>
              <w:t>(Zip)</w:t>
            </w: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4040" w:type="dxa"/>
            <w:vAlign w:val="bottom"/>
            <w:tcBorders>
              <w:bottom w:val="single" w:sz="8" w:color="2C2C2C"/>
            </w:tcBorders>
            <w:gridSpan w:val="7"/>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6880" w:type="dxa"/>
            <w:vAlign w:val="bottom"/>
            <w:tcBorders>
              <w:top w:val="single" w:sz="8" w:color="2C2C2C"/>
            </w:tcBorders>
            <w:gridSpan w:val="9"/>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19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2"/>
          </w:tcPr>
          <w:p>
            <w:pPr>
              <w:ind w:left="92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tcPr>
          <w:p>
            <w:pPr>
              <w:ind w:left="1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900" w:type="dxa"/>
            <w:vAlign w:val="bottom"/>
            <w:gridSpan w:val="2"/>
          </w:tcPr>
          <w:p>
            <w:pPr>
              <w:ind w:left="92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60" w:type="dxa"/>
            <w:vAlign w:val="bottom"/>
          </w:tcPr>
          <w:p>
            <w:pPr>
              <w:spacing w:after="0"/>
              <w:rPr>
                <w:sz w:val="11"/>
                <w:szCs w:val="11"/>
                <w:color w:val="auto"/>
              </w:rPr>
            </w:pP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900" w:type="dxa"/>
            <w:vAlign w:val="bottom"/>
            <w:gridSpan w:val="2"/>
          </w:tcPr>
          <w:p>
            <w:pPr>
              <w:ind w:left="9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11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Indirect (I)</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54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108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3"/>
                <w:szCs w:val="13"/>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17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08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w w:val="98"/>
              </w:rPr>
              <w:t>Common Stock</w:t>
            </w:r>
            <w:r>
              <w:rPr>
                <w:rFonts w:ascii="Times New Roman" w:cs="Times New Roman" w:eastAsia="Times New Roman" w:hAnsi="Times New Roman"/>
                <w:sz w:val="22"/>
                <w:szCs w:val="22"/>
                <w:color w:val="008000"/>
                <w:w w:val="98"/>
                <w:vertAlign w:val="superscript"/>
              </w:rPr>
              <w:t>(1)</w:t>
            </w:r>
          </w:p>
        </w:tc>
        <w:tc>
          <w:tcPr>
            <w:tcW w:w="68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2"/>
          </w:tcPr>
          <w:p>
            <w:pPr>
              <w:ind w:left="1020"/>
              <w:spacing w:after="0"/>
              <w:rPr>
                <w:sz w:val="20"/>
                <w:szCs w:val="20"/>
                <w:color w:val="auto"/>
              </w:rPr>
            </w:pPr>
            <w:r>
              <w:rPr>
                <w:rFonts w:ascii="Times New Roman" w:cs="Times New Roman" w:eastAsia="Times New Roman" w:hAnsi="Times New Roman"/>
                <w:sz w:val="17"/>
                <w:szCs w:val="17"/>
                <w:color w:val="0000FF"/>
              </w:rPr>
              <w:t>03/18/2026</w:t>
            </w:r>
          </w:p>
        </w:tc>
        <w:tc>
          <w:tcPr>
            <w:tcW w:w="1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(2)(3)</w:t>
            </w:r>
          </w:p>
        </w:tc>
        <w:tc>
          <w:tcPr>
            <w:tcW w:w="8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49,079</w:t>
            </w:r>
            <w:r>
              <w:rPr>
                <w:rFonts w:ascii="Times New Roman" w:cs="Times New Roman" w:eastAsia="Times New Roman" w:hAnsi="Times New Roman"/>
                <w:sz w:val="22"/>
                <w:szCs w:val="22"/>
                <w:color w:val="008000"/>
                <w:vertAlign w:val="superscript"/>
              </w:rPr>
              <w:t>(3)</w:t>
            </w:r>
          </w:p>
        </w:tc>
        <w:tc>
          <w:tcPr>
            <w:tcW w:w="4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6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Borders>
              <w:bottom w:val="single" w:sz="8" w:color="2C2C2C"/>
            </w:tcBorders>
            <w:gridSpan w:val="2"/>
          </w:tcPr>
          <w:p>
            <w:pPr>
              <w:jc w:val="center"/>
              <w:ind w:left="19"/>
              <w:spacing w:after="0"/>
              <w:rPr>
                <w:sz w:val="20"/>
                <w:szCs w:val="20"/>
                <w:color w:val="auto"/>
              </w:rPr>
            </w:pPr>
            <w:r>
              <w:rPr>
                <w:rFonts w:ascii="Times New Roman" w:cs="Times New Roman" w:eastAsia="Times New Roman" w:hAnsi="Times New Roman"/>
                <w:sz w:val="17"/>
                <w:szCs w:val="17"/>
                <w:color w:val="0000FF"/>
                <w:w w:val="93"/>
              </w:rPr>
              <w:t>49,079</w:t>
            </w:r>
            <w:r>
              <w:rPr>
                <w:rFonts w:ascii="Times New Roman" w:cs="Times New Roman" w:eastAsia="Times New Roman" w:hAnsi="Times New Roman"/>
                <w:sz w:val="22"/>
                <w:szCs w:val="22"/>
                <w:color w:val="008000"/>
                <w:w w:val="93"/>
                <w:vertAlign w:val="superscript"/>
              </w:rPr>
              <w:t>(3)</w:t>
            </w:r>
          </w:p>
        </w:tc>
        <w:tc>
          <w:tcPr>
            <w:tcW w:w="940" w:type="dxa"/>
            <w:vAlign w:val="bottom"/>
            <w:tcBorders>
              <w:bottom w:val="single" w:sz="8" w:color="2C2C2C"/>
            </w:tcBorders>
          </w:tcPr>
          <w:p>
            <w:pPr>
              <w:ind w:left="30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(3)(4)</w:t>
            </w:r>
          </w:p>
        </w:tc>
        <w:tc>
          <w:tcPr>
            <w:tcW w:w="11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Legion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0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17"/>
                <w:szCs w:val="17"/>
                <w:color w:val="0000FF"/>
                <w:w w:val="98"/>
              </w:rPr>
              <w:t>Common Stock</w:t>
            </w:r>
            <w:r>
              <w:rPr>
                <w:rFonts w:ascii="Times New Roman" w:cs="Times New Roman" w:eastAsia="Times New Roman" w:hAnsi="Times New Roman"/>
                <w:sz w:val="22"/>
                <w:szCs w:val="22"/>
                <w:color w:val="008000"/>
                <w:w w:val="98"/>
                <w:vertAlign w:val="superscript"/>
              </w:rPr>
              <w:t>(1)</w:t>
            </w:r>
          </w:p>
        </w:tc>
        <w:tc>
          <w:tcPr>
            <w:tcW w:w="6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center"/>
              <w:ind w:left="19"/>
              <w:spacing w:after="0"/>
              <w:rPr>
                <w:sz w:val="20"/>
                <w:szCs w:val="20"/>
                <w:color w:val="auto"/>
              </w:rPr>
            </w:pPr>
            <w:r>
              <w:rPr>
                <w:rFonts w:ascii="Times New Roman" w:cs="Times New Roman" w:eastAsia="Times New Roman" w:hAnsi="Times New Roman"/>
                <w:sz w:val="17"/>
                <w:szCs w:val="17"/>
                <w:color w:val="0000FF"/>
                <w:w w:val="99"/>
              </w:rPr>
              <w:t>3,519,420</w:t>
            </w:r>
          </w:p>
        </w:tc>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Partners, L.P.</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I</w:t>
            </w:r>
            <w:r>
              <w:rPr>
                <w:rFonts w:ascii="Times New Roman" w:cs="Times New Roman" w:eastAsia="Times New Roman" w:hAnsi="Times New Roman"/>
                <w:sz w:val="11"/>
                <w:szCs w:val="11"/>
                <w:color w:val="008000"/>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Legion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0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17"/>
                <w:szCs w:val="17"/>
                <w:color w:val="0000FF"/>
                <w:w w:val="98"/>
              </w:rPr>
              <w:t>Common Stock</w:t>
            </w:r>
            <w:r>
              <w:rPr>
                <w:rFonts w:ascii="Times New Roman" w:cs="Times New Roman" w:eastAsia="Times New Roman" w:hAnsi="Times New Roman"/>
                <w:sz w:val="22"/>
                <w:szCs w:val="22"/>
                <w:color w:val="008000"/>
                <w:w w:val="98"/>
                <w:vertAlign w:val="superscript"/>
              </w:rPr>
              <w:t>(1)</w:t>
            </w:r>
          </w:p>
        </w:tc>
        <w:tc>
          <w:tcPr>
            <w:tcW w:w="6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center"/>
              <w:ind w:left="19"/>
              <w:spacing w:after="0"/>
              <w:rPr>
                <w:sz w:val="20"/>
                <w:szCs w:val="20"/>
                <w:color w:val="auto"/>
              </w:rPr>
            </w:pPr>
            <w:r>
              <w:rPr>
                <w:rFonts w:ascii="Times New Roman" w:cs="Times New Roman" w:eastAsia="Times New Roman" w:hAnsi="Times New Roman"/>
                <w:sz w:val="17"/>
                <w:szCs w:val="17"/>
                <w:color w:val="0000FF"/>
              </w:rPr>
              <w:t>395,144</w:t>
            </w:r>
          </w:p>
        </w:tc>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Partners, L.P.</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II</w:t>
            </w:r>
            <w:r>
              <w:rPr>
                <w:rFonts w:ascii="Times New Roman" w:cs="Times New Roman" w:eastAsia="Times New Roman" w:hAnsi="Times New Roman"/>
                <w:sz w:val="11"/>
                <w:szCs w:val="11"/>
                <w:color w:val="008000"/>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Legion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0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17"/>
                <w:szCs w:val="17"/>
                <w:color w:val="0000FF"/>
                <w:w w:val="98"/>
              </w:rPr>
              <w:t>Common Stock</w:t>
            </w:r>
            <w:r>
              <w:rPr>
                <w:rFonts w:ascii="Times New Roman" w:cs="Times New Roman" w:eastAsia="Times New Roman" w:hAnsi="Times New Roman"/>
                <w:sz w:val="22"/>
                <w:szCs w:val="22"/>
                <w:color w:val="008000"/>
                <w:w w:val="98"/>
                <w:vertAlign w:val="superscript"/>
              </w:rPr>
              <w:t>(1)</w:t>
            </w:r>
          </w:p>
        </w:tc>
        <w:tc>
          <w:tcPr>
            <w:tcW w:w="6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center"/>
              <w:ind w:left="19"/>
              <w:spacing w:after="0"/>
              <w:rPr>
                <w:sz w:val="20"/>
                <w:szCs w:val="20"/>
                <w:color w:val="auto"/>
              </w:rPr>
            </w:pPr>
            <w:r>
              <w:rPr>
                <w:rFonts w:ascii="Times New Roman" w:cs="Times New Roman" w:eastAsia="Times New Roman" w:hAnsi="Times New Roman"/>
                <w:sz w:val="17"/>
                <w:szCs w:val="17"/>
                <w:color w:val="0000FF"/>
              </w:rPr>
              <w:t>877,065</w:t>
            </w:r>
          </w:p>
        </w:tc>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Special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Opportunities,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L.P. XI</w:t>
            </w:r>
            <w:r>
              <w:rPr>
                <w:rFonts w:ascii="Times New Roman" w:cs="Times New Roman" w:eastAsia="Times New Roman" w:hAnsi="Times New Roman"/>
                <w:sz w:val="22"/>
                <w:szCs w:val="22"/>
                <w:color w:val="008000"/>
                <w:vertAlign w:val="superscript"/>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Legion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Common Stock</w:t>
            </w:r>
            <w:r>
              <w:rPr>
                <w:rFonts w:ascii="Times New Roman" w:cs="Times New Roman" w:eastAsia="Times New Roman" w:hAnsi="Times New Roman"/>
                <w:sz w:val="22"/>
                <w:szCs w:val="22"/>
                <w:color w:val="008000"/>
                <w:w w:val="98"/>
                <w:vertAlign w:val="superscript"/>
              </w:rPr>
              <w:t>(1)</w:t>
            </w:r>
          </w:p>
        </w:tc>
        <w:tc>
          <w:tcPr>
            <w:tcW w:w="6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vMerge w:val="restart"/>
          </w:tcPr>
          <w:p>
            <w:pPr>
              <w:jc w:val="center"/>
              <w:ind w:left="39"/>
              <w:spacing w:after="0"/>
              <w:rPr>
                <w:sz w:val="20"/>
                <w:szCs w:val="20"/>
                <w:color w:val="auto"/>
              </w:rPr>
            </w:pPr>
            <w:r>
              <w:rPr>
                <w:rFonts w:ascii="Times New Roman" w:cs="Times New Roman" w:eastAsia="Times New Roman" w:hAnsi="Times New Roman"/>
                <w:sz w:val="17"/>
                <w:szCs w:val="17"/>
                <w:color w:val="0000FF"/>
              </w:rPr>
              <w:t>300</w:t>
            </w:r>
          </w:p>
        </w:tc>
        <w:tc>
          <w:tcPr>
            <w:tcW w:w="94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6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bl>
    <w:p>
      <w:pPr>
        <w:ind w:left="990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(8)</w:t>
      </w:r>
    </w:p>
    <w:p>
      <w:pPr>
        <w:spacing w:after="0" w:line="107"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gridSpan w:val="3"/>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White Raymond T.</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5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12121 WILSHIRE BLVD.</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1240</w:t>
      </w:r>
    </w:p>
    <w:p>
      <w:pPr>
        <w:sectPr>
          <w:pgSz w:w="11900" w:h="16867" w:orient="portrait"/>
          <w:cols w:equalWidth="0" w:num="1">
            <w:col w:w="11080"/>
          </w:cols>
          <w:pgMar w:left="460" w:top="219" w:right="359" w:bottom="0" w:gutter="0" w:footer="0" w:header="0"/>
          <w:type w:val="continuous"/>
        </w:sectPr>
      </w:pP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67" w:orient="portrait"/>
          <w:cols w:equalWidth="0" w:num="1">
            <w:col w:w="11080"/>
          </w:cols>
          <w:pgMar w:left="460" w:top="219" w:right="359" w:bottom="0" w:gutter="0" w:footer="0" w:header="0"/>
          <w:type w:val="continuous"/>
        </w:sectPr>
      </w:pPr>
    </w:p>
    <w:bookmarkStart w:id="1" w:name="page2"/>
    <w:bookmarkEnd w:id="1"/>
    <w:tbl>
      <w:tblPr>
        <w:tblLayout w:type="fixed"/>
        <w:tblInd w:w="100" w:type="dxa"/>
        <w:tblCellMar>
          <w:top w:w="0" w:type="dxa"/>
          <w:left w:w="0" w:type="dxa"/>
          <w:bottom w:w="0" w:type="dxa"/>
          <w:right w:w="0" w:type="dxa"/>
        </w:tblCellMar>
      </w:tblPr>
      <w:tr>
        <w:trPr>
          <w:trHeight w:val="226"/>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LOS ANGELES</w:t>
            </w:r>
          </w:p>
        </w:tc>
        <w:tc>
          <w:tcPr>
            <w:tcW w:w="10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90025</w:t>
            </w:r>
          </w:p>
        </w:tc>
      </w:tr>
      <w:tr>
        <w:trPr>
          <w:trHeight w:val="155"/>
        </w:trPr>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-440690</wp:posOffset>
            </wp:positionV>
            <wp:extent cx="2809240"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Legion Partners Asset Management, LLC</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12121 WILSHIRE BLVD.</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SUITE 1240</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LOS ANGELES</w:t>
            </w:r>
          </w:p>
        </w:tc>
        <w:tc>
          <w:tcPr>
            <w:tcW w:w="138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90025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3"/>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92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Legion Partners, L.P. I</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3"/>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12121 WILSHIRE BLVD.</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SUITE 1240</w:t>
            </w: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LOS ANGELES</w:t>
            </w:r>
          </w:p>
        </w:tc>
        <w:tc>
          <w:tcPr>
            <w:tcW w:w="138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90025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3"/>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92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Legion Partners, L.P. II</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3"/>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12121 WILSHIRE BLVD.</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SUITE 1240</w:t>
            </w: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LOS ANGELES</w:t>
            </w:r>
          </w:p>
        </w:tc>
        <w:tc>
          <w:tcPr>
            <w:tcW w:w="138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90025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3"/>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Legion Partners Special Opportunities, L.P. XI</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3"/>
          </w:tcPr>
          <w:p>
            <w:pPr>
              <w:ind w:left="12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12121 WILSHIRE BLVD.</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SUITE 1240</w:t>
            </w:r>
          </w:p>
        </w:tc>
        <w:tc>
          <w:tcPr>
            <w:tcW w:w="6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LOS ANGELES</w:t>
            </w:r>
          </w:p>
        </w:tc>
        <w:tc>
          <w:tcPr>
            <w:tcW w:w="148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90025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3"/>
          </w:tcPr>
          <w:p>
            <w:pPr>
              <w:ind w:left="12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2"/>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4"/>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Legion Partners, LLC</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3"/>
          </w:tcPr>
          <w:p>
            <w:pPr>
              <w:ind w:left="12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12121 WILSHIRE BLVD.</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SUITE 1240</w:t>
            </w:r>
          </w:p>
        </w:tc>
        <w:tc>
          <w:tcPr>
            <w:tcW w:w="6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LOS ANGELES</w:t>
            </w:r>
          </w:p>
        </w:tc>
        <w:tc>
          <w:tcPr>
            <w:tcW w:w="148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90025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3"/>
          </w:tcPr>
          <w:p>
            <w:pPr>
              <w:ind w:left="12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2"/>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4"/>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Legion Partners Holdings, LLC</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3"/>
          </w:tcPr>
          <w:p>
            <w:pPr>
              <w:ind w:left="12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12121 WILSHIRE BLVD.</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SUITE 1240</w:t>
      </w:r>
    </w:p>
    <w:p>
      <w:pPr>
        <w:sectPr>
          <w:pgSz w:w="11900" w:h="16838" w:orient="portrait"/>
          <w:cols w:equalWidth="0" w:num="1">
            <w:col w:w="9979"/>
          </w:cols>
          <w:pgMar w:left="480" w:top="125" w:right="1440" w:bottom="0" w:gutter="0" w:footer="0" w:header="0"/>
        </w:sectPr>
      </w:pPr>
    </w:p>
    <w:bookmarkStart w:id="2" w:name="page3"/>
    <w:bookmarkEnd w:id="2"/>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LOS ANGELES</w:t>
            </w: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90025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gridSpan w:val="2"/>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3">
              <w:r>
                <w:rPr>
                  <w:rFonts w:ascii="Times New Roman" w:cs="Times New Roman" w:eastAsia="Times New Roman" w:hAnsi="Times New Roman"/>
                  <w:sz w:val="21"/>
                  <w:szCs w:val="21"/>
                  <w:color w:val="0000EE"/>
                </w:rPr>
                <w:t>Kiper Christopher S</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12121 WILSHIRE BLVD.</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SUITE 1240</w:t>
            </w:r>
          </w:p>
        </w:tc>
        <w:tc>
          <w:tcPr>
            <w:tcW w:w="4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LOS ANGELES</w:t>
            </w: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90025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-2344420</wp:posOffset>
            </wp:positionV>
            <wp:extent cx="2809240" cy="2424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2809240" cy="2424430"/>
                    </a:xfrm>
                    <a:prstGeom prst="rect">
                      <a:avLst/>
                    </a:prstGeom>
                    <a:noFill/>
                  </pic:spPr>
                </pic:pic>
              </a:graphicData>
            </a:graphic>
          </wp:anchor>
        </w:drawing>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180" w:firstLine="7"/>
        <w:spacing w:after="0" w:line="244" w:lineRule="auto"/>
        <w:tabs>
          <w:tab w:leader="none" w:pos="15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filed jointly by Legion Partners, L.P. I ("Legion Partners I"), Legion Partners, L.P. II ("Legion Partners II"), Legion Partners Special Opportunities, L.P. XI ("Legion Partners Special Opportunities"), Legion Partners, LLC ("General Partner"), Legion Partners Asset Management, LLC ("Legion Partners Asset Management"), Legion Partners Holdings, LLC ("Legion Partners Holdings"), Christopher S. Kiper and Raymond T. White (collectively, the "Reporting Persons"). Each Reporting Person disclaims beneficial ownership of the securities reported herein except to the extent of his or its pecuniary interest therein, and this report shall not be deemed to be an admission that any Reporting Person is the beneficial owner of such securities for purposes of Section 16 or for any other purpose.</w:t>
      </w:r>
    </w:p>
    <w:p>
      <w:pPr>
        <w:spacing w:after="0" w:line="178"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which fully vests on March 18, 2027.</w:t>
      </w:r>
    </w:p>
    <w:p>
      <w:pPr>
        <w:spacing w:after="0" w:line="50" w:lineRule="exact"/>
        <w:rPr>
          <w:rFonts w:ascii="Times New Roman" w:cs="Times New Roman" w:eastAsia="Times New Roman" w:hAnsi="Times New Roman"/>
          <w:sz w:val="13"/>
          <w:szCs w:val="13"/>
          <w:color w:val="008000"/>
        </w:rPr>
      </w:pPr>
    </w:p>
    <w:p>
      <w:pPr>
        <w:ind w:left="20" w:firstLine="7"/>
        <w:spacing w:after="0" w:line="244" w:lineRule="auto"/>
        <w:tabs>
          <w:tab w:leader="none" w:pos="15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White serves on the Board of the Issuer as a representative of Legion Partners Asset Management and its affiliates. Mr. White does not have a right to any economic interest in securities of the Issuer granted to him by the Issuer in respect of his Board position, except to the extent of his role as a Managing Director of Legion Partners Asset Management. Legion Partners Asset Management is entitled to receive all of the economic interest in securities granted to Mr. White by the Issuer in respect of Mr. White's Board position. Mr. White disclaims beneficial ownership of the Issuer's securities to which this report relates and at no time has Mr. White had any economic interest in such securities except any indirect economic interest through Legion Partners Asset Management and its affiliates, entities in which Mr. White has a controlling interest and investment control.</w:t>
      </w:r>
    </w:p>
    <w:p>
      <w:pPr>
        <w:spacing w:after="0" w:line="26" w:lineRule="exact"/>
        <w:rPr>
          <w:rFonts w:ascii="Times New Roman" w:cs="Times New Roman" w:eastAsia="Times New Roman" w:hAnsi="Times New Roman"/>
          <w:sz w:val="13"/>
          <w:szCs w:val="13"/>
          <w:color w:val="008000"/>
        </w:rPr>
      </w:pPr>
    </w:p>
    <w:p>
      <w:pPr>
        <w:jc w:val="both"/>
        <w:ind w:left="20" w:right="100" w:firstLine="7"/>
        <w:spacing w:after="0" w:line="253" w:lineRule="auto"/>
        <w:tabs>
          <w:tab w:leader="none" w:pos="15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described in footnote (2) represent securities in which Legion Partners Asset Management has all of the direct economic interest. Legion Partners Holdings is the sole member of Legion Partners Asset Management and each of Messrs. Kiper and White are Managing Directors of Legion Partners Asset Management. As a result of these relationships, Legion Partners Holdings and Messrs. Kiper and White may be deemed to beneficially own the securities owned directly by Legion Partners Asset Management.</w:t>
      </w:r>
    </w:p>
    <w:p>
      <w:pPr>
        <w:spacing w:after="0" w:line="20" w:lineRule="exact"/>
        <w:rPr>
          <w:rFonts w:ascii="Times New Roman" w:cs="Times New Roman" w:eastAsia="Times New Roman" w:hAnsi="Times New Roman"/>
          <w:sz w:val="13"/>
          <w:szCs w:val="13"/>
          <w:color w:val="008000"/>
        </w:rPr>
      </w:pPr>
    </w:p>
    <w:p>
      <w:pPr>
        <w:jc w:val="both"/>
        <w:ind w:left="20" w:right="220" w:firstLine="7"/>
        <w:spacing w:after="0" w:line="247" w:lineRule="auto"/>
        <w:tabs>
          <w:tab w:leader="none" w:pos="15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owned directly by Legion Partners I. General Partner is the general partner of Legion Partners I, Legion Partners Asset Management is the investment advisor of Legion Partners I, Legion Partners Holdings is the sole member of Legion Partners Asset Management and managing member of General Partner, and each of Messrs. Kiper and White are managing directors of Legion Partners Asset Management and managing members of Legion Partners Holdings. As a result of these relationships, General Partner, Legion Partners Asset Management, Legion Partners Holdings and Messrs. Kiper and White may be deemed to beneficially own the securities owned directly by Legion Partners I.</w:t>
      </w:r>
    </w:p>
    <w:p>
      <w:pPr>
        <w:spacing w:after="0" w:line="24" w:lineRule="exact"/>
        <w:rPr>
          <w:rFonts w:ascii="Times New Roman" w:cs="Times New Roman" w:eastAsia="Times New Roman" w:hAnsi="Times New Roman"/>
          <w:sz w:val="13"/>
          <w:szCs w:val="13"/>
          <w:color w:val="008000"/>
        </w:rPr>
      </w:pPr>
    </w:p>
    <w:p>
      <w:pPr>
        <w:ind w:left="20" w:right="100" w:firstLine="7"/>
        <w:spacing w:after="0" w:line="247" w:lineRule="auto"/>
        <w:tabs>
          <w:tab w:leader="none" w:pos="15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owned directly by Legion Partners II. General Partner is the general partner of Legion Partners II, Legion Partners Asset Management is the investment advisor of Legion Partners II, Legion Partners Holdings is the sole member of Legion Partners Asset Management and managing member of General Partner, and each of Messrs. Kiper and White are managing directors of Legion Partners Asset Management and managing members of Legion Partners Holdings. As a result of these relationships, General Partner, Legion Partners Asset Management, Legion Partners Holdings and Messrs. Kiper and White may be deemed to beneficially own the securities owned directly by Legion Partners II.</w:t>
      </w:r>
    </w:p>
    <w:p>
      <w:pPr>
        <w:spacing w:after="0" w:line="24" w:lineRule="exact"/>
        <w:rPr>
          <w:rFonts w:ascii="Times New Roman" w:cs="Times New Roman" w:eastAsia="Times New Roman" w:hAnsi="Times New Roman"/>
          <w:sz w:val="13"/>
          <w:szCs w:val="13"/>
          <w:color w:val="008000"/>
        </w:rPr>
      </w:pPr>
    </w:p>
    <w:p>
      <w:pPr>
        <w:ind w:left="20" w:right="160" w:firstLine="7"/>
        <w:spacing w:after="0" w:line="247" w:lineRule="auto"/>
        <w:tabs>
          <w:tab w:leader="none" w:pos="15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owned directly by Legion Partners Special Opportunities. General Partner is the general partner of Legion Partners Special Opportunities, Legion Partners Asset Management is the investment advisor of Legion Partners Special Opportunities, Legion Partners Holdings is the sole member of Legion Partners Asset Management and managing member of General Partner, and each of Messrs. White and Kiper are managing directors of Legion Partners Asset Management and managing members of Legion Partners Holdings. As a result of these relationships, General Partner, Legion Partners Asset Management, Legion Partners Holdings and Messrs. White and Kiper may be deemed to beneficially own the securities owned directly by Legion Partners Special Opportunities.</w:t>
      </w:r>
    </w:p>
    <w:p>
      <w:pPr>
        <w:spacing w:after="0" w:line="24" w:lineRule="exact"/>
        <w:rPr>
          <w:rFonts w:ascii="Times New Roman" w:cs="Times New Roman" w:eastAsia="Times New Roman" w:hAnsi="Times New Roman"/>
          <w:sz w:val="13"/>
          <w:szCs w:val="13"/>
          <w:color w:val="008000"/>
        </w:rPr>
      </w:pPr>
    </w:p>
    <w:p>
      <w:pPr>
        <w:ind w:left="20" w:right="100" w:firstLine="7"/>
        <w:spacing w:after="0" w:line="272" w:lineRule="auto"/>
        <w:tabs>
          <w:tab w:leader="none" w:pos="15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owned directly by Legion Partners Holdings. As managing members of Legion Partners Holdings, Messrs. Kiper and White may be deemed to beneficially own the securities owned directly by Legion Partners Holdings.</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20" w:right="300"/>
        <w:spacing w:after="0" w:line="272" w:lineRule="auto"/>
        <w:rPr>
          <w:sz w:val="20"/>
          <w:szCs w:val="20"/>
          <w:color w:val="auto"/>
        </w:rPr>
      </w:pPr>
      <w:r>
        <w:rPr>
          <w:rFonts w:ascii="Times New Roman" w:cs="Times New Roman" w:eastAsia="Times New Roman" w:hAnsi="Times New Roman"/>
          <w:sz w:val="13"/>
          <w:szCs w:val="13"/>
          <w:color w:val="008000"/>
        </w:rPr>
        <w:t>Raymond T. White, a managing director of Legion Partners Asset Management, is a director of the Issuer. For purposes of Section 16 of the Securities Exchange Act of 1934, as amended, each of the Reporting Persons (other than Mr. White) may be deemed a director by deputization by virtue of its or his representation on the Board of Directors of the Issuer.</w:t>
      </w:r>
    </w:p>
    <w:p>
      <w:pPr>
        <w:sectPr>
          <w:pgSz w:w="11900" w:h="16905" w:orient="portrait"/>
          <w:cols w:equalWidth="0" w:num="1">
            <w:col w:w="10920"/>
          </w:cols>
          <w:pgMar w:left="480" w:top="125" w:right="499" w:bottom="0" w:gutter="0" w:footer="0" w:header="0"/>
        </w:sectPr>
      </w:pPr>
    </w:p>
    <w:p>
      <w:pPr>
        <w:spacing w:after="0" w:line="3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Raymond T.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9696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969645" cy="8255"/>
                    </a:xfrm>
                    <a:prstGeom prst="rect">
                      <a:avLst/>
                    </a:prstGeom>
                    <a:noFill/>
                  </pic:spPr>
                </pic:pic>
              </a:graphicData>
            </a:graphic>
          </wp:anchor>
        </w:drawing>
      </w: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Legion Partners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9715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Management,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23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Raymond T. White,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39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3392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663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Legion Partners, L.P. 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039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20396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Legion Partners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Management,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23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Raymond T. White,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392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3392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663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Legion Partners, L.P. II,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401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Legion Partners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Management,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23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Raymond T. White,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392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13392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663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Legion Partners Special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509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05092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Opportunities, L.P. XI,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87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18872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Legion Partners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Management,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23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Raymond T. White,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392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3392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663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Legion Partners,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760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Legion Partners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76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By: /s/ Raymond 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220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11220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White,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96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16967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Legion Partners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576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LLC, By: /s/ Raymond 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220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11220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White,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96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11696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76" w:lineRule="exact"/>
        <w:rPr>
          <w:sz w:val="20"/>
          <w:szCs w:val="20"/>
          <w:color w:val="auto"/>
        </w:rPr>
      </w:pPr>
    </w:p>
    <w:p>
      <w:pPr>
        <w:sectPr>
          <w:pgSz w:w="11900" w:h="16905" w:orient="portrait"/>
          <w:cols w:equalWidth="0" w:num="2">
            <w:col w:w="8680" w:space="80"/>
            <w:col w:w="2160"/>
          </w:cols>
          <w:pgMar w:left="480" w:top="125" w:right="499" w:bottom="0" w:gutter="0" w:footer="0" w:header="0"/>
          <w:type w:val="continuous"/>
        </w:sectPr>
      </w:pPr>
    </w:p>
    <w:tbl>
      <w:tblPr>
        <w:tblLayout w:type="fixed"/>
        <w:tblInd w:w="2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1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Christopher S. Kiper</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03/20/2026</w:t>
            </w:r>
          </w:p>
        </w:tc>
      </w:tr>
      <w:tr>
        <w:trPr>
          <w:trHeight w:val="235"/>
        </w:trPr>
        <w:tc>
          <w:tcPr>
            <w:tcW w:w="654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ectPr>
          <w:pgSz w:w="11900" w:h="16905" w:orient="portrait"/>
          <w:cols w:equalWidth="0" w:num="1">
            <w:col w:w="10920"/>
          </w:cols>
          <w:pgMar w:left="480" w:top="125" w:right="499" w:bottom="0" w:gutter="0" w:footer="0" w:header="0"/>
          <w:type w:val="continuous"/>
        </w:sectPr>
      </w:pPr>
    </w:p>
    <w:bookmarkStart w:id="3" w:name="page4"/>
    <w:bookmarkEnd w:id="3"/>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53"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upperLetter"/>
      <w:start w:val="40"/>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13" Type="http://schemas.openxmlformats.org/officeDocument/2006/relationships/hyperlink" Target="http://www.sec.gov/cgi-bin/browse-edgar?action=getcompany&amp;CIK=0001682494" TargetMode="External"/><Relationship Id="rId14" Type="http://schemas.openxmlformats.org/officeDocument/2006/relationships/hyperlink" Target="http://www.sec.gov/cgi-bin/browse-edgar?action=getcompany&amp;CIK=0000918541" TargetMode="External"/><Relationship Id="rId17" Type="http://schemas.openxmlformats.org/officeDocument/2006/relationships/hyperlink" Target="http://www.sec.gov/cgi-bin/browse-edgar?action=getcompany&amp;CIK=0001560207" TargetMode="External"/><Relationship Id="rId18" Type="http://schemas.openxmlformats.org/officeDocument/2006/relationships/hyperlink" Target="http://www.sec.gov/cgi-bin/browse-edgar?action=getcompany&amp;CIK=0001595909" TargetMode="External"/><Relationship Id="rId19" Type="http://schemas.openxmlformats.org/officeDocument/2006/relationships/hyperlink" Target="http://www.sec.gov/cgi-bin/browse-edgar?action=getcompany&amp;CIK=0001618783" TargetMode="External"/><Relationship Id="rId20" Type="http://schemas.openxmlformats.org/officeDocument/2006/relationships/hyperlink" Target="http://www.sec.gov/cgi-bin/browse-edgar?action=getcompany&amp;CIK=0001768000" TargetMode="External"/><Relationship Id="rId21" Type="http://schemas.openxmlformats.org/officeDocument/2006/relationships/hyperlink" Target="http://www.sec.gov/cgi-bin/browse-edgar?action=getcompany&amp;CIK=0001682390" TargetMode="External"/><Relationship Id="rId22" Type="http://schemas.openxmlformats.org/officeDocument/2006/relationships/hyperlink" Target="http://www.sec.gov/cgi-bin/browse-edgar?action=getcompany&amp;CIK=0001682389" TargetMode="External"/><Relationship Id="rId23" Type="http://schemas.openxmlformats.org/officeDocument/2006/relationships/hyperlink" Target="http://www.sec.gov/cgi-bin/browse-edgar?action=getcompany&amp;CIK=00014327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2026-03-20T18:11:23Z</dcterms:created>
  <dcterms:modified xsi:type="dcterms:W3CDTF">2026-03-20T18:11:23Z</dcterms:modified>
</cp:coreProperties>
</file>