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158750</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349885</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343535</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514985</wp:posOffset>
            </wp:positionV>
            <wp:extent cx="4972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330835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82" w:lineRule="exact"/>
        <w:rPr>
          <w:sz w:val="24"/>
          <w:szCs w:val="24"/>
          <w:color w:val="auto"/>
        </w:rPr>
      </w:pPr>
    </w:p>
    <w:p>
      <w:pPr>
        <w:sectPr>
          <w:pgSz w:w="11900" w:h="16838" w:orient="portrait"/>
          <w:cols w:equalWidth="0" w:num="2">
            <w:col w:w="7520" w:space="720"/>
            <w:col w:w="3180"/>
          </w:cols>
          <w:pgMar w:left="240" w:top="233" w:right="239" w:bottom="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28277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(980) 264-4300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420"/>
          </w:cols>
          <w:pgMar w:left="240" w:top="233" w:right="239" w:bottom="0" w:gutter="0" w:footer="0" w:header="0"/>
          <w:type w:val="continuous"/>
        </w:sectPr>
      </w:pPr>
    </w:p>
    <w:p>
      <w:pPr>
        <w:spacing w:after="0" w:line="156"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35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0" w:gutter="0" w:footer="0" w:header="0"/>
          <w:type w:val="continuous"/>
        </w:sectPr>
      </w:pPr>
    </w:p>
    <w:bookmarkStart w:id="1" w:name="page2"/>
    <w:bookmarkEnd w:id="1"/>
    <w:p>
      <w:pPr>
        <w:ind w:right="699"/>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2018, there were 27,729,375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0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080" w:type="dxa"/>
            <w:vAlign w:val="bottom"/>
            <w:gridSpan w:val="6"/>
          </w:tcPr>
          <w:p>
            <w:pPr>
              <w:spacing w:after="0"/>
              <w:rPr>
                <w:sz w:val="17"/>
                <w:szCs w:val="17"/>
                <w:color w:val="auto"/>
              </w:rPr>
            </w:pPr>
          </w:p>
        </w:tc>
        <w:tc>
          <w:tcPr>
            <w:tcW w:w="3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4960" w:type="dxa"/>
            <w:vAlign w:val="bottom"/>
            <w:gridSpan w:val="5"/>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2100" w:type="dxa"/>
            <w:vAlign w:val="bottom"/>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646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34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796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3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6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3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5140" w:type="dxa"/>
            <w:vAlign w:val="bottom"/>
            <w:gridSpan w:val="7"/>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Defaults upon Senior Securities</w:t>
              </w:r>
            </w:hyperlink>
          </w:p>
        </w:tc>
        <w:tc>
          <w:tcPr>
            <w:tcW w:w="2060" w:type="dxa"/>
            <w:vAlign w:val="bottom"/>
            <w:tcBorders>
              <w:top w:val="single" w:sz="8" w:color="0000EE"/>
            </w:tcBorders>
          </w:tcPr>
          <w:p>
            <w:pPr>
              <w:spacing w:after="0"/>
              <w:rPr>
                <w:sz w:val="21"/>
                <w:szCs w:val="21"/>
                <w:color w:val="auto"/>
              </w:rPr>
            </w:pPr>
          </w:p>
        </w:tc>
        <w:tc>
          <w:tcPr>
            <w:tcW w:w="2120" w:type="dxa"/>
            <w:vAlign w:val="bottom"/>
            <w:gridSpan w:val="2"/>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646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3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4700" w:type="dxa"/>
            <w:vAlign w:val="bottom"/>
            <w:gridSpan w:val="4"/>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160" w:type="dxa"/>
            <w:vAlign w:val="bottom"/>
            <w:gridSpan w:val="8"/>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SIGNATURES</w:t>
              </w:r>
            </w:hyperlink>
          </w:p>
        </w:tc>
        <w:tc>
          <w:tcPr>
            <w:tcW w:w="4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2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4"/>
          </w:tcPr>
          <w:p>
            <w:pPr>
              <w:jc w:val="center"/>
              <w:ind w:left="3350"/>
              <w:spacing w:after="0"/>
              <w:rPr>
                <w:sz w:val="20"/>
                <w:szCs w:val="20"/>
                <w:color w:val="auto"/>
              </w:rPr>
            </w:pPr>
            <w:r>
              <w:rPr>
                <w:rFonts w:ascii="Arial" w:cs="Arial" w:eastAsia="Arial" w:hAnsi="Arial"/>
                <w:sz w:val="18"/>
                <w:szCs w:val="18"/>
                <w:b w:val="1"/>
                <w:bCs w:val="1"/>
                <w:color w:val="auto"/>
                <w:w w:val="95"/>
              </w:rPr>
              <w:t>NN, Inc.</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40" w:type="dxa"/>
            <w:vAlign w:val="bottom"/>
            <w:gridSpan w:val="11"/>
          </w:tcPr>
          <w:p>
            <w:pPr>
              <w:jc w:val="center"/>
              <w:ind w:left="101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 (Loss)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4"/>
          </w:tcPr>
          <w:p>
            <w:pPr>
              <w:jc w:val="center"/>
              <w:ind w:left="333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7"/>
          </w:tcPr>
          <w:p>
            <w:pPr>
              <w:jc w:val="center"/>
              <w:ind w:left="2150"/>
              <w:spacing w:after="0"/>
              <w:rPr>
                <w:sz w:val="20"/>
                <w:szCs w:val="20"/>
                <w:color w:val="auto"/>
              </w:rPr>
            </w:pPr>
            <w:r>
              <w:rPr>
                <w:rFonts w:ascii="Arial" w:cs="Arial" w:eastAsia="Arial" w:hAnsi="Arial"/>
                <w:sz w:val="18"/>
                <w:szCs w:val="18"/>
                <w:i w:val="1"/>
                <w:iCs w:val="1"/>
                <w:color w:val="auto"/>
                <w:w w:val="89"/>
              </w:rPr>
              <w:t>Amounts in thousands of dollars, except per share data</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190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157,947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315,502</w:t>
            </w:r>
          </w:p>
        </w:tc>
        <w:tc>
          <w:tcPr>
            <w:tcW w:w="0" w:type="dxa"/>
            <w:vAlign w:val="bottom"/>
          </w:tcPr>
          <w:p>
            <w:pPr>
              <w:spacing w:after="0"/>
              <w:rPr>
                <w:sz w:val="1"/>
                <w:szCs w:val="1"/>
                <w:color w:val="auto"/>
              </w:rPr>
            </w:pPr>
          </w:p>
        </w:tc>
      </w:tr>
      <w:tr>
        <w:trPr>
          <w:trHeight w:val="229"/>
        </w:trPr>
        <w:tc>
          <w:tcPr>
            <w:tcW w:w="5580" w:type="dxa"/>
            <w:vAlign w:val="bottom"/>
            <w:gridSpan w:val="3"/>
          </w:tcPr>
          <w:p>
            <w:pPr>
              <w:ind w:left="40"/>
              <w:spacing w:after="0"/>
              <w:rPr>
                <w:sz w:val="20"/>
                <w:szCs w:val="20"/>
                <w:color w:val="auto"/>
              </w:rPr>
            </w:pPr>
            <w:r>
              <w:rPr>
                <w:rFonts w:ascii="Arial" w:cs="Arial" w:eastAsia="Arial" w:hAnsi="Arial"/>
                <w:sz w:val="18"/>
                <w:szCs w:val="18"/>
                <w:color w:val="auto"/>
                <w:w w:val="92"/>
              </w:rPr>
              <w:t>Cost of sales (exclusive of depreciation and amortization shown separately</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below)</w:t>
            </w: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148,640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114,514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275,084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228,994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29"/>
        </w:trPr>
        <w:tc>
          <w:tcPr>
            <w:tcW w:w="5580" w:type="dxa"/>
            <w:vAlign w:val="bottom"/>
            <w:gridSpan w:val="3"/>
          </w:tcPr>
          <w:p>
            <w:pPr>
              <w:ind w:left="40"/>
              <w:spacing w:after="0"/>
              <w:rPr>
                <w:sz w:val="20"/>
                <w:szCs w:val="20"/>
                <w:color w:val="auto"/>
              </w:rPr>
            </w:pPr>
            <w:r>
              <w:rPr>
                <w:rFonts w:ascii="Arial" w:cs="Arial" w:eastAsia="Arial" w:hAnsi="Arial"/>
                <w:sz w:val="18"/>
                <w:szCs w:val="18"/>
                <w:color w:val="auto"/>
                <w:w w:val="93"/>
              </w:rPr>
              <w:t>Acquisition related costs excluded from selling, general and administrative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expense</w:t>
            </w: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25,622</w:t>
            </w: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Other operating expense (income)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Interest expense</w:t>
            </w:r>
          </w:p>
        </w:tc>
        <w:tc>
          <w:tcPr>
            <w:tcW w:w="4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loss on change in interest rate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Loss from continuing operations before benefit for income taxes and share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 net income from joint venture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(39,898)</w:t>
            </w: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Benefit for income taxes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 of net income from joint venture</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37"/>
        </w:trPr>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loss</w:t>
            </w:r>
          </w:p>
        </w:tc>
        <w:tc>
          <w:tcPr>
            <w:tcW w:w="4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9,511</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Basic net loss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380"/>
              <w:spacing w:after="0"/>
              <w:rPr>
                <w:sz w:val="20"/>
                <w:szCs w:val="20"/>
                <w:color w:val="auto"/>
              </w:rPr>
            </w:pPr>
            <w:r>
              <w:rPr>
                <w:rFonts w:ascii="Arial" w:cs="Arial" w:eastAsia="Arial" w:hAnsi="Arial"/>
                <w:sz w:val="18"/>
                <w:szCs w:val="18"/>
                <w:color w:val="auto"/>
              </w:rPr>
              <w:t>Loss from continuing operations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5580" w:type="dxa"/>
            <w:vAlign w:val="bottom"/>
            <w:gridSpan w:val="3"/>
          </w:tcPr>
          <w:p>
            <w:pPr>
              <w:ind w:left="380"/>
              <w:spacing w:after="0"/>
              <w:rPr>
                <w:sz w:val="20"/>
                <w:szCs w:val="20"/>
                <w:color w:val="auto"/>
              </w:rPr>
            </w:pPr>
            <w:r>
              <w:rPr>
                <w:rFonts w:ascii="Arial" w:cs="Arial" w:eastAsia="Arial" w:hAnsi="Arial"/>
                <w:sz w:val="18"/>
                <w:szCs w:val="18"/>
                <w:color w:val="auto"/>
              </w:rPr>
              <w:t>Net loss per share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3"/>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43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43"/>
        </w:trPr>
        <w:tc>
          <w:tcPr>
            <w:tcW w:w="5580" w:type="dxa"/>
            <w:vAlign w:val="bottom"/>
            <w:gridSpan w:val="3"/>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Net loss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3"/>
            <w:vMerge w:val="restart"/>
          </w:tcPr>
          <w:p>
            <w:pPr>
              <w:ind w:left="3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The accompanying notes are an integral part of the Condensed Consolidated Financial Statements.</w:t>
      </w:r>
    </w:p>
    <w:p>
      <w:pPr>
        <w:sectPr>
          <w:pgSz w:w="11900" w:h="16838" w:orient="portrait"/>
          <w:cols w:equalWidth="0" w:num="1">
            <w:col w:w="10219"/>
          </w:cols>
          <w:pgMar w:left="240" w:top="108" w:right="1440" w:bottom="1440" w:gutter="0" w:footer="0" w:header="0"/>
        </w:sect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108" w:right="1440"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Amounts in thousands of dollars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224,446</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108,446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43,253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362,968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477,280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259,280</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617,814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454,612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237,702</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Investment in joint venture</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1,761,084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1,475,003</w:t>
            </w:r>
          </w:p>
        </w:tc>
        <w:tc>
          <w:tcPr>
            <w:tcW w:w="0" w:type="dxa"/>
            <w:vAlign w:val="bottom"/>
          </w:tcPr>
          <w:p>
            <w:pPr>
              <w:spacing w:after="0"/>
              <w:rPr>
                <w:sz w:val="1"/>
                <w:szCs w:val="1"/>
                <w:color w:val="auto"/>
              </w:rPr>
            </w:pPr>
          </w:p>
        </w:tc>
      </w:tr>
      <w:tr>
        <w:trPr>
          <w:trHeight w:val="67"/>
        </w:trPr>
        <w:tc>
          <w:tcPr>
            <w:tcW w:w="84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17,283</w:t>
            </w:r>
          </w:p>
        </w:tc>
        <w:tc>
          <w:tcPr>
            <w:tcW w:w="0" w:type="dxa"/>
            <w:vAlign w:val="bottom"/>
          </w:tcPr>
          <w:p>
            <w:pPr>
              <w:spacing w:after="0"/>
              <w:rPr>
                <w:sz w:val="1"/>
                <w:szCs w:val="1"/>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108,421</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71,564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1,040,434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790,805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37"/>
        </w:trPr>
        <w:tc>
          <w:tcPr>
            <w:tcW w:w="84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1,317,770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988,899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443,314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1,761,084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1,475,003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125" w:right="7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for option exercises</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5040" w:type="dxa"/>
            <w:vAlign w:val="bottom"/>
          </w:tcPr>
          <w:p>
            <w:pPr>
              <w:ind w:left="380"/>
              <w:spacing w:after="0"/>
              <w:rPr>
                <w:sz w:val="20"/>
                <w:szCs w:val="20"/>
                <w:color w:val="auto"/>
              </w:rPr>
            </w:pPr>
            <w:r>
              <w:rPr>
                <w:rFonts w:ascii="Arial" w:cs="Arial" w:eastAsia="Arial" w:hAnsi="Arial"/>
                <w:sz w:val="18"/>
                <w:szCs w:val="18"/>
                <w:color w:val="auto"/>
                <w:w w:val="96"/>
              </w:rPr>
              <w:t>Restricted shares and performance shares forgiven for taxes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Arial" w:cs="Arial" w:eastAsia="Arial" w:hAnsi="Arial"/>
                <w:sz w:val="18"/>
                <w:szCs w:val="18"/>
                <w:color w:val="auto"/>
              </w:rPr>
              <w:t>and 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Adoption of new accounting standard (Note 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443,314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Amounts in thousands of dollars</w:t>
      </w:r>
    </w:p>
    <w:p>
      <w:pPr>
        <w:spacing w:after="0" w:line="148"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13335</wp:posOffset>
            </wp:positionV>
            <wp:extent cx="1406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(13,727)</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 and amortization of continuing operations</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25,622</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of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w:t>
            </w:r>
          </w:p>
        </w:tc>
        <w:tc>
          <w:tcPr>
            <w:tcW w:w="240" w:type="dxa"/>
            <w:vAlign w:val="bottom"/>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39,639</w:t>
            </w:r>
          </w:p>
        </w:tc>
        <w:tc>
          <w:tcPr>
            <w:tcW w:w="240" w:type="dxa"/>
            <w:vAlign w:val="bottom"/>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(2,937)</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expense from issuance of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32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(20,062)</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40" w:type="dxa"/>
            <w:vAlign w:val="bottom"/>
          </w:tcPr>
          <w:p>
            <w:pPr>
              <w:spacing w:after="0"/>
              <w:rPr>
                <w:sz w:val="21"/>
                <w:szCs w:val="21"/>
                <w:color w:val="auto"/>
              </w:rPr>
            </w:pPr>
          </w:p>
        </w:tc>
      </w:tr>
      <w:tr>
        <w:trPr>
          <w:trHeight w:val="243"/>
        </w:trPr>
        <w:tc>
          <w:tcPr>
            <w:tcW w:w="832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240" w:type="dxa"/>
            <w:vAlign w:val="bottom"/>
          </w:tcPr>
          <w:p>
            <w:pPr>
              <w:spacing w:after="0"/>
              <w:rPr>
                <w:sz w:val="21"/>
                <w:szCs w:val="21"/>
                <w:color w:val="auto"/>
              </w:rPr>
            </w:pPr>
          </w:p>
        </w:tc>
      </w:tr>
      <w:tr>
        <w:trPr>
          <w:trHeight w:val="243"/>
        </w:trPr>
        <w:tc>
          <w:tcPr>
            <w:tcW w:w="8320" w:type="dxa"/>
            <w:vAlign w:val="bottom"/>
          </w:tcPr>
          <w:p>
            <w:pPr>
              <w:ind w:left="8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(8,136)</w:t>
            </w:r>
          </w:p>
        </w:tc>
        <w:tc>
          <w:tcPr>
            <w:tcW w:w="240" w:type="dxa"/>
            <w:vAlign w:val="bottom"/>
          </w:tcPr>
          <w:p>
            <w:pPr>
              <w:spacing w:after="0"/>
              <w:rPr>
                <w:sz w:val="21"/>
                <w:szCs w:val="2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15,765</w:t>
            </w:r>
          </w:p>
        </w:tc>
        <w:tc>
          <w:tcPr>
            <w:tcW w:w="240" w:type="dxa"/>
            <w:vAlign w:val="bottom"/>
          </w:tcPr>
          <w:p>
            <w:pPr>
              <w:spacing w:after="0"/>
              <w:rPr>
                <w:sz w:val="22"/>
                <w:szCs w:val="22"/>
                <w:color w:val="auto"/>
              </w:rPr>
            </w:pP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41"/>
        </w:trPr>
        <w:tc>
          <w:tcPr>
            <w:tcW w:w="8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to acquire businesses, net of cash received</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23"/>
                <w:szCs w:val="23"/>
                <w:color w:val="auto"/>
              </w:rPr>
            </w:pPr>
          </w:p>
        </w:tc>
      </w:tr>
      <w:tr>
        <w:trPr>
          <w:trHeight w:val="237"/>
        </w:trPr>
        <w:tc>
          <w:tcPr>
            <w:tcW w:w="8320" w:type="dxa"/>
            <w:vAlign w:val="bottom"/>
          </w:tcPr>
          <w:p>
            <w:pPr>
              <w:ind w:left="1140"/>
              <w:spacing w:after="0"/>
              <w:rPr>
                <w:sz w:val="20"/>
                <w:szCs w:val="20"/>
                <w:color w:val="auto"/>
              </w:rPr>
            </w:pPr>
            <w:r>
              <w:rPr>
                <w:rFonts w:ascii="Arial" w:cs="Arial" w:eastAsia="Arial" w:hAnsi="Arial"/>
                <w:sz w:val="18"/>
                <w:szCs w:val="18"/>
                <w:color w:val="auto"/>
              </w:rPr>
              <w:t>Net cash provided by (used by) investing activities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(20,034)</w:t>
            </w:r>
          </w:p>
        </w:tc>
        <w:tc>
          <w:tcPr>
            <w:tcW w:w="240" w:type="dxa"/>
            <w:vAlign w:val="bottom"/>
          </w:tcPr>
          <w:p>
            <w:pPr>
              <w:spacing w:after="0"/>
              <w:rPr>
                <w:sz w:val="20"/>
                <w:szCs w:val="20"/>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 debt issuance or prepayment costs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(38,130)</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317,000</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(266,874)</w:t>
            </w: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(repayments of) short-term debt, net</w:t>
            </w:r>
          </w:p>
        </w:tc>
        <w:tc>
          <w:tcPr>
            <w:tcW w:w="2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3"/>
                <w:szCs w:val="23"/>
                <w:color w:val="auto"/>
              </w:rPr>
            </w:pPr>
          </w:p>
        </w:tc>
      </w:tr>
      <w:tr>
        <w:trPr>
          <w:trHeight w:val="237"/>
        </w:trPr>
        <w:tc>
          <w:tcPr>
            <w:tcW w:w="8320" w:type="dxa"/>
            <w:vAlign w:val="bottom"/>
          </w:tcPr>
          <w:p>
            <w:pPr>
              <w:ind w:left="1140"/>
              <w:spacing w:after="0"/>
              <w:rPr>
                <w:sz w:val="20"/>
                <w:szCs w:val="20"/>
                <w:color w:val="auto"/>
              </w:rPr>
            </w:pPr>
            <w:r>
              <w:rPr>
                <w:rFonts w:ascii="Arial" w:cs="Arial" w:eastAsia="Arial" w:hAnsi="Arial"/>
                <w:sz w:val="18"/>
                <w:szCs w:val="18"/>
                <w:color w:val="auto"/>
              </w:rPr>
              <w:t>Net cash provided by (used by) financing activities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240,736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8,177</w:t>
            </w:r>
          </w:p>
        </w:tc>
        <w:tc>
          <w:tcPr>
            <w:tcW w:w="240" w:type="dxa"/>
            <w:vAlign w:val="bottom"/>
          </w:tcPr>
          <w:p>
            <w:pPr>
              <w:spacing w:after="0"/>
              <w:rPr>
                <w:sz w:val="20"/>
                <w:szCs w:val="20"/>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flows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4,761</w:t>
            </w:r>
          </w:p>
        </w:tc>
        <w:tc>
          <w:tcPr>
            <w:tcW w:w="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14,405</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19,166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6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December 31, 2016, includes $8.1 million of cash and cash equivalents that were included in current assets of discontinued operations.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June 30, 2017, includes $12.1 million of cash and cash equivalents that were included in current assets of discontinued operations.</w:t>
      </w:r>
    </w:p>
    <w:p>
      <w:pPr>
        <w:spacing w:after="0" w:line="180"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ectPr>
          <w:pgSz w:w="11900" w:h="16838" w:orient="portrait"/>
          <w:cols w:equalWidth="0" w:num="1">
            <w:col w:w="11200"/>
          </w:cols>
          <w:pgMar w:left="240" w:top="125" w:right="459" w:bottom="1440" w:gutter="0" w:footer="0" w:header="0"/>
        </w:sect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240" w:top="125" w:right="4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June 30, 2018, we had 51 facilities in North America, Europe, South America and China.</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The Mobile Solutions group is focused on growth in the general industrial and automotive end markets. The Precision Engineered Products Group reported in our historical financial statements was bifurcated into two new groups – Power Solutions and Life Sciences. The Power Solutions group is focused on growth in the electrical and aerospace and defense end markets. The Life Sciences group is focused on growth in the medical end market.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financial statements have not been audited, except that the Condensed Consolidated Balance Sheet as of December 31, 2017, was derived from the audited consolidated financial statements included in our Annual Report on Form 10-K for the year ended December 31, 2017 (the “2017 Annual Report”), which we filed with the U.S. Securities and Exchange Commission (the “SEC”), on April 2, 2018. Certain prior period amounts have been reclassified to conform to the current period’s presentation. Historical periods presented reflect reclassifications to reflect discontinued operations (see Note 2). Historical periods also reflect revisions that we disclosed in our 2017 Annual Report (see Note 17). In management’s opinion, the accompanying unaudited condensed consolidated financial statements reflect all adjustments necessary to fairly state our results of operations for the three months and six months ended June 30, 2018 and 2017; financial position as of June 30, 2018, and December 31, 2017; and cash flows for the three months and six months ended June 30, 2018 and 2017, on a basis consistent with our audited consolidated financial statements other than the adoption of new accounting standards, such as revenue recognition. These adjustments are of a normal recurring nature and are, in the opinion of management, necessary to present fairly the Company’s financial position and operating results for the interim periods.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U.S. generally accepted accounting principles (“U.S. GAAP”) have been condensed or omitted from the interim financial statements presented in this Quarterly Report on Form 10-Q. These unaudited condensed consolidated financial statements should be read in conjunction with our audited consolidated financial statements and accompanying notes included in the 2017 Annual Report. The results for the three months and six months ended June 30, 2018, are not necessarily indicative of results for the year ending December 31, 2018, or any other future periods.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Condensed Consolidated Financial Statements are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disclosed in our 2017 Annual Report, we identified various misstatements in our previously issued 2016 and 2015 annual financial statements and interim periods in 2016 and 2017. These prior period errors related primarily to (i) accounting for income and franchise taxes, (ii) accounting for the gain on the disposition of a business, (iii) accounting for indemnification assets related to a prior acquisition, (iv) accounting for foreign currency transactions,</w:t>
      </w:r>
    </w:p>
    <w:p>
      <w:pPr>
        <w:ind w:right="26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accounting for the translation of foreign subsidiary assets and joint venture, and (vi) other immaterial errors, including errors that had previously been adjusted for as out of period corrections in the periods identified. We assessed the materiality of the misstatements on prior periods’ financial statements in accordance with SEC Staff Accounting Bulletin (“SAB”) Topic 1.M,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Accounting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Standards Codification (“ASC”) Topic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(“ASC 250”) and concluded that the misstatements were not material to any prior annual or interim periods.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accordance with ASC 250 (SAB Topic 1.N, </w:t>
      </w:r>
      <w:r>
        <w:rPr>
          <w:rFonts w:ascii="Arial" w:cs="Arial" w:eastAsia="Arial" w:hAnsi="Arial"/>
          <w:sz w:val="16"/>
          <w:szCs w:val="16"/>
          <w:i w:val="1"/>
          <w:iCs w:val="1"/>
          <w:color w:val="auto"/>
        </w:rPr>
        <w:t>Considering the Effects of Prior Year Misstatements when Quantifying Misstatements in Current Year</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we revised our previously issued 2016 and 2015 annual financial statements in our 2017 Annual Report. Accordingly,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this Quarterly Report, we are revising our Condensed Consolidated Statements of Operations and Comprehensive Income (Loss) and our Condensed Consolidated Statement of Cash Flows, the related notes, and other financial information for the three months and six months ended June 30, 2017, to correct for those misstatements that impacted such period. We will revise the remaining 2017 previously issued quarterly financial statements in connection with future 2018 filings on our Form 10-Q. Refer to Note 17 for reconciliations between as originally reported and as revised quarterly amounts.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On January 1, 2018, we adopted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(“ASC 606”). We adopted ASC 606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utilizing the modified retrospective transition method. Under this transition method, we recognized the cumulative effect of initially applying the new standard as an adjustment to the opening balance of retained earnings as of January 1, 2018, and applied the new standard beginning with the most current period presented to contracts that were not completed at the date of initial application. The adoption adjustment, which was less than $0.1 million, represents the net profit on certain contracts that were accounted for on a consignment basis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Under ASC 605, a sale was not recognized under these consignment contracts until the inventory was used by our customers. Under the new standard, revenue is recognized earlier since the transfer of control to our customers occurs upon shipment from our facilities as our customers have obtained the ability to direct the use of, and obtain substantially all of the remaining benefits from, the asset. Comparative information has not been restated and continues to be reported under the accounting standards in effect for those periods. We expect the impact of the adoption of the new standard to be immaterial to our results of operations on an ongoing basis. See Note 13 for the required disclosures related to the impact of adopting ASC 606 and a discussion of our updated policies related to revenue recognition and accounting for costs to obtain and fulfill a customer contract.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Definition of a Business. </w:t>
      </w:r>
      <w:r>
        <w:rPr>
          <w:rFonts w:ascii="Arial" w:cs="Arial" w:eastAsia="Arial" w:hAnsi="Arial"/>
          <w:sz w:val="16"/>
          <w:szCs w:val="16"/>
          <w:color w:val="auto"/>
        </w:rPr>
        <w:t>In January 2017, the Financial Accounting Standards Board (“FASB”) issued ASU 2017-01,</w:t>
      </w:r>
      <w:r>
        <w:rPr>
          <w:rFonts w:ascii="Arial" w:cs="Arial" w:eastAsia="Arial" w:hAnsi="Arial"/>
          <w:sz w:val="16"/>
          <w:szCs w:val="16"/>
          <w:i w:val="1"/>
          <w:iCs w:val="1"/>
          <w:color w:val="auto"/>
        </w:rPr>
        <w:t xml:space="preserve"> Business Combinations (Topic 805): Clarifying the Definition of a Business, </w:t>
      </w:r>
      <w:r>
        <w:rPr>
          <w:rFonts w:ascii="Arial" w:cs="Arial" w:eastAsia="Arial" w:hAnsi="Arial"/>
          <w:sz w:val="16"/>
          <w:szCs w:val="16"/>
          <w:color w:val="auto"/>
        </w:rPr>
        <w:t>which changes the definition of a business. The new guidance requires an entity to first evaluate whether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fair value of the gross assets acquired is concentrated in a single identifiable asset or a group of similar identifiable assets. If that threshold is met, the set of assets and activities is not a business. If the threshold is not met, the entity evaluates whether the set meets the definition of a business. The new definition requires a business to include at least one substantive process and narrows the definition of outputs by more closely aligning it with how outputs are described in the new revenue recognition guidance. The new guidance was effective for us beginning on January 1, 2018. We have applied the new definition of a business prospectively to any transactions occurring in 2018 or later. The new guidance will have no effect on our historical financial statements.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In August 2016, the FASB issued ASU 2016-15,</w:t>
      </w:r>
      <w:r>
        <w:rPr>
          <w:rFonts w:ascii="Arial" w:cs="Arial" w:eastAsia="Arial" w:hAnsi="Arial"/>
          <w:sz w:val="16"/>
          <w:szCs w:val="16"/>
          <w:i w:val="1"/>
          <w:iCs w:val="1"/>
          <w:color w:val="auto"/>
        </w:rPr>
        <w:t xml:space="preserve"> Statement of Cash Flows (Topic 230): Classification of Certain Cash Receipts and Cash Payments (a consensus of the Emerging Issues Task Force)</w:t>
      </w:r>
      <w:r>
        <w:rPr>
          <w:rFonts w:ascii="Arial" w:cs="Arial" w:eastAsia="Arial" w:hAnsi="Arial"/>
          <w:sz w:val="16"/>
          <w:szCs w:val="16"/>
          <w:color w:val="auto"/>
        </w:rPr>
        <w:t>. This guidance provides clarification on how certain cash receipts and cash payments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and classified on the statement of cash flows, with focus on eight specific areas in which cash flows have, in practice, been presented inconsistently. The guidance was effective for NN beginning January 1, 2018, and is required to be adopted using a retrospective approach if practicable.</w:t>
      </w:r>
    </w:p>
    <w:p>
      <w:pPr>
        <w:spacing w:after="0" w:line="1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new cash flow guidance requires that cash payments for debt prepayment costs be classified as cash outflows for financing activities. We paid $31.6 million for debt prepayment costs in April 2017. These debt prepayment costs were previously classified as cash used by operating activities in 2017. Under the new guidance, these costs are reclassified to cash used by financing activities when these comparable periods are presented in future filings.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new guidance also requires entities to make an accounting policy election regarding classification of distributions received from equity method investees. Existing guidance does not currently address how an entity should determine which distributions represent returns on versus returns of investment. The lack of specific guidance has resulted in diversity in practice. The two allowable approaches are the “cumulative earnings” approach and the “nature of the distribution” approach, as defined by ASU 2016-15. Upon adoption of the new guidance on January 1, 2018, we utilized the cumulative earnings approach for classifying distributions received from our joint venture investment (see Note 8). This policy election is consistent with our historical accounting.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2016-02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in the ASC and supersedes ASC 840,</w:t>
      </w:r>
      <w:r>
        <w:rPr>
          <w:rFonts w:ascii="Arial" w:cs="Arial" w:eastAsia="Arial" w:hAnsi="Arial"/>
          <w:sz w:val="16"/>
          <w:szCs w:val="16"/>
          <w:i w:val="1"/>
          <w:iCs w:val="1"/>
          <w:color w:val="auto"/>
        </w:rPr>
        <w:t xml:space="preserve"> Leases. </w:t>
      </w:r>
      <w:r>
        <w:rPr>
          <w:rFonts w:ascii="Arial" w:cs="Arial" w:eastAsia="Arial" w:hAnsi="Arial"/>
          <w:sz w:val="16"/>
          <w:szCs w:val="16"/>
          <w:color w:val="auto"/>
        </w:rPr>
        <w:t>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The amendments in ASU 2016-02 are expected to impact our balance sheet by adding lease-related assets and liabilities. This may affect compliance with contractual agreements and loan covenants, if not addressed within the credit facility. We have performed inquiries within group locations and compiled information on operating and capital leases. We are using the results of these inquiries and compiled information to evaluate the impacts of the lease accounting standard on our financial position, results of operations, and related disclosures. Upon adoption, we expect to recognize a right-of-use asset and a lease liability for nearly all of our leases that are currently classified as operating leases and are therefore not recorded on the balance sheet. We are in the process of gathering information that will enable us to estimate the amounts of those assets and liabilities.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Effects of Tax Reform in Other Comprehensive Income. </w:t>
      </w:r>
      <w:r>
        <w:rPr>
          <w:rFonts w:ascii="Arial" w:cs="Arial" w:eastAsia="Arial" w:hAnsi="Arial"/>
          <w:sz w:val="16"/>
          <w:szCs w:val="16"/>
          <w:color w:val="auto"/>
        </w:rPr>
        <w:t>In February 2018, the FASB issued guidance related to the impacts of the Tax Cuts and Jobs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2018-02, </w:t>
      </w:r>
      <w:r>
        <w:rPr>
          <w:rFonts w:ascii="Arial" w:cs="Arial" w:eastAsia="Arial" w:hAnsi="Arial"/>
          <w:sz w:val="16"/>
          <w:szCs w:val="16"/>
          <w:i w:val="1"/>
          <w:iCs w:val="1"/>
          <w:color w:val="auto"/>
        </w:rPr>
        <w:t>Income Statement – Reporting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(Topic 220): Reclassification of Certain Tax Effects from Accumulated Other Comprehensive Income, </w:t>
      </w:r>
      <w:r>
        <w:rPr>
          <w:rFonts w:ascii="Arial" w:cs="Arial" w:eastAsia="Arial" w:hAnsi="Arial"/>
          <w:sz w:val="16"/>
          <w:szCs w:val="16"/>
          <w:color w:val="auto"/>
        </w:rPr>
        <w:t>that permits reclassification of certain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effects of the Act from AOCI to retained earnings. The guidance also requires certain disclosures about stranded tax effects. ASU 2018-02 is effective for us on January 1, 2019, with early adoption in any period permitted. Entities may adopt the guidance using either at the beginning of the period of adoption or retrospectively to each period in which the effect of the change in the U.S. federal corporate income tax rate in the Tax Act is recognized. We are in the process of evaluating adoption method and the effects of this new guidance on our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 xml:space="preserve">In accordance with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operating results of the PBC Business for the six months ended June 30, 2017, are classified as discontinued operations. The presentation of discontinued operations includes revenues and expenses of the discontinued operations, net of tax, as one line item on the Condensed Consolidated Statements of Operations and Comprehensive Income (Loss). All historical Condensed Consolidated Statements of Operations and Comprehensive Income (Loss) presented have been revised to reflect this presentation. Accordingly, results of the PBC Business have been excluded from continuing operations and group results for all periods presented in the condensed consolidated financial statements and the accompanying notes unless otherwise stated. The Condensed Consolidated Statement of Cash Flows for the six months ended June 30, 2017, includes cash flows of the PBC Business in each line item unless otherwise stated.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June</w:t>
            </w:r>
          </w:p>
        </w:tc>
        <w:tc>
          <w:tcPr>
            <w:tcW w:w="260" w:type="dxa"/>
            <w:vAlign w:val="bottom"/>
          </w:tcPr>
          <w:p>
            <w:pPr>
              <w:spacing w:after="0"/>
              <w:rPr>
                <w:sz w:val="14"/>
                <w:szCs w:val="14"/>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30, 2017</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136,687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51,526</w:t>
            </w:r>
          </w:p>
        </w:tc>
        <w:tc>
          <w:tcPr>
            <w:tcW w:w="2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104,485</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3,102</w:t>
            </w:r>
          </w:p>
        </w:tc>
        <w:tc>
          <w:tcPr>
            <w:tcW w:w="2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6,111</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r>
      <w:tr>
        <w:trPr>
          <w:trHeight w:val="507"/>
        </w:trPr>
        <w:tc>
          <w:tcPr>
            <w:tcW w:w="77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16,541</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2,905</w:t>
            </w:r>
          </w:p>
        </w:tc>
        <w:tc>
          <w:tcPr>
            <w:tcW w:w="2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5,581</w:t>
            </w:r>
          </w:p>
        </w:tc>
      </w:tr>
      <w:tr>
        <w:trPr>
          <w:trHeight w:val="27"/>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9"/>
              <w:spacing w:after="0"/>
              <w:rPr>
                <w:sz w:val="20"/>
                <w:szCs w:val="20"/>
                <w:color w:val="auto"/>
              </w:rPr>
            </w:pPr>
            <w:r>
              <w:rPr>
                <w:rFonts w:ascii="Arial" w:cs="Arial" w:eastAsia="Arial" w:hAnsi="Arial"/>
                <w:sz w:val="14"/>
                <w:szCs w:val="14"/>
                <w:b w:val="1"/>
                <w:bCs w:val="1"/>
                <w:color w:val="auto"/>
                <w:w w:val="95"/>
              </w:rPr>
              <w:t>Six Months Ended</w:t>
            </w:r>
          </w:p>
        </w:tc>
      </w:tr>
      <w:tr>
        <w:trPr>
          <w:trHeight w:val="192"/>
        </w:trPr>
        <w:tc>
          <w:tcPr>
            <w:tcW w:w="9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6,111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5,208</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Bridgemedica, LLC</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22, 2018, we completed the acquisition of 100% of the assets of Bridgemedica, LLC (“Bridgemedica”). For accounting 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certain working capital adjustments and are in the process of completing the integration of the Bridgemedica business into our operations. Amounts recorded for preliminary goodwill and intangible assets are disclosed in Note 6 and Note 7, respectively, and are subject to completion of our integration procedures.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May 7, 2018, we acquired 100% of the stock of PMG Intermediate Holding Corporation, the parent company of Paragon Medical, Inc. (“Paragon Medical”) for a base purchase price of $375.0 million in cash, subject to certain adjustments. After estimated working capital and other closing adjustments, the cash purchase price was approximately $391.0 million which included $13.4 million in cash acquired. We paid cash of $392.2 million and recorded a receivable of approximately $1.3 million in other current assets for the balance.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 We have performed a preliminary assessment of the opening balance sheet and purchase price allocation which is subject to completion of working capital adjustments and fair value estimates.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will be recorded with an offsetting adjustment to goodwill. We incurred new debt in connection with the Paragon Medical acquisition as described in Note 10.</w:t>
      </w:r>
    </w:p>
    <w:p>
      <w:pPr>
        <w:sectPr>
          <w:pgSz w:w="11900" w:h="16838" w:orient="portrait"/>
          <w:cols w:equalWidth="0" w:num="1">
            <w:col w:w="11420"/>
          </w:cols>
          <w:pgMar w:left="240" w:top="125"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88"/>
        </w:trPr>
        <w:tc>
          <w:tcPr>
            <w:tcW w:w="8160" w:type="dxa"/>
            <w:vAlign w:val="bottom"/>
            <w:gridSpan w:val="3"/>
          </w:tcPr>
          <w:p>
            <w:pPr>
              <w:spacing w:after="0"/>
              <w:rPr>
                <w:sz w:val="20"/>
                <w:szCs w:val="20"/>
                <w:color w:val="auto"/>
              </w:rPr>
            </w:pPr>
            <w:r>
              <w:rPr>
                <w:rFonts w:ascii="Arial" w:cs="Arial" w:eastAsia="Arial" w:hAnsi="Arial"/>
                <w:sz w:val="18"/>
                <w:szCs w:val="18"/>
                <w:color w:val="auto"/>
                <w:w w:val="93"/>
              </w:rPr>
              <w:t>The following table summarizes the preliminary purchase price allocation for the Paragon Medical acquisition.</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18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May 7, 2018</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13,418</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22,853</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23,606</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69,322</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164,200</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157,421</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455,061</w:t>
            </w:r>
          </w:p>
        </w:tc>
      </w:tr>
      <w:tr>
        <w:trPr>
          <w:trHeight w:val="237"/>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16,767</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46,713</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64,100</w:t>
            </w:r>
          </w:p>
        </w:tc>
      </w:tr>
      <w:tr>
        <w:trPr>
          <w:trHeight w:val="257"/>
        </w:trPr>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390,961</w:t>
            </w: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 combination of income, market, and cost approaches were used for the valuation where appropriate, depending on the asset or liability being valued. Valuation inputs in these models and analyses gave consideration to market participant assumptions. Acquired intangible assets are primarily customer relationships. As of June 30, 2018, intangible assets in connection with Paragon Medical were $163.3 million after post-acquisition amortization.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Paragon Medical acquisition, we recorded goodwill, which represents the excess of the purchase price over the estimated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tangible and intangible assets acquired, net of liabilities assumed. As of June 30, 2018, goodwill in connection with Paragon Medical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$155.6 million after post-acquisition currency impacts. The goodwill is attributed primarily to Paragon Medical as a going concern, the assembled workforce,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fair value of expected cost synergies, and revenue growth from combining the NN and Paragon Medical life sciences businesses. The going concern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element represents the ability to earn a higher return on the combined assembled collection of assets and businesses of Paragon Medical than if those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businesses were to be acquired and managed separately. Approximately $2.8 million of the goodwill relates to prior asset acquisitions by Paragon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Medical and is expected to be deducted for tax purposes.</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Property, plant and equipment acquired primarily included machinery and equipment for use in manufacturing operations. Additionally, manufacturing sites and related facilities, including leasehold improvements, were acquired. We have performed a preliminary assessment of the fair value of property, plant and equipment using both the cost approach and the market approach. The preliminary assessment was supported where available by observable market data which includes consideration of obsolescence. We have performed a preliminary assessment of the fair value of intangible assets using the income approach, supported by market data, by using the relief from royalty and multi-period excess earnings methods.</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incurred approximately $4.9 million in acquisition related costs with respect to Paragon Medical during the six months ended June 30, 2018. Transaction costs were expensed as incurred and are included in the “Acquisition related costs excluded from selling, general and administrative expense” line item in the Condensed Consolidated Statements of Operations and Comprehensive Income (Loss). We expensed $12.9 million of financing costs related to the Paragon Medical acquisition during the six months ended June 30, 2018, which are included in the "Loss on extinguishment of debt and write-off of debt issuance costs" line item in the Condensed Consolidated Statements of Operations and Comprehensive Income (Loss). As required by the acquisition method of accounting, acquired inventories were recorded at their estimated fair value. Beginning May 7, 2018, our consolidated results of operations include the results of Paragon Medical. Since the date of the acquisition, net sales of $27.1 million and income from operations of $1.7 million has been included in our condensed consolidated financial statements.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pro forma financial results shown in the table below for the three and six months ended June 30, 2018 and 2017, combine the consolidated results of NN and Paragon Medical giving effect to the Paragon Medical acquisition as if it had been completed on January 1, 2017, the beginning of the comparable prior annual reporting period presented. The unaudited pro forma financial results do not give effect to any of our other acquisitions that occurred after January 1, 2017, and do not include any anticipated synergies or other assumed benefits of the Paragon Medical acquisition. This unaudited pro forma financial</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08"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is presented for informational purposes only and is not indicative of future operations or results had the Paragon Medical acquisition been completed as of January 1, 2017.</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pro forma financial results include certain adjustments for additional depreciation and amortization expense based upon the fair value step-up and estimated useful lives of Paragon Medical depreciable fixed assets and definite-life amortizable assets acquired. The provision for income taxes has also been adjusted for all periods, based upon the foregoing adjustments to historical results. The impact of adopting ASC 606 has been included based on an adoption date of January 1, 2018.</w:t>
      </w:r>
    </w:p>
    <w:p>
      <w:pPr>
        <w:spacing w:after="0" w:line="237"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5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210,902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384,846</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Pro forma income (loss)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(12,017)</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(44,238)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Basic income (loss) from continuing operations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from continuing operations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Unaudited pro forma results for the six months ended June 30, 2017, include $14.8 million of inventory fair value adjustments, financing, integration, and transaction costs, net of tax, directly attributable to the acquisition which will not have an ongoing impact. No such costs are present in the unaudited pro forma results for the three months ended June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determined our reportable segments under the provisions of U.S. GAAP related to disclosures about segments of an enterprise. Management has concluded that Mobile Solutions, Power Solutions, and Life Sciences each constitutes an operating segment as each engages in business activities for which it earns revenues and incurs expenses for which separate financial information is available, and this is the level at which the Chief Operating Decision Maker (“CODM”) reviews discrete financial information for purposes of allocating resources and assessing performance. In making this determination, management considered the form and content of the financial information that is regularly reviewed by the CODM. As described in Note 1, in January 2018, we implemented a new enterprise and management structure and reorganized our businesses into the Mobile Solutions, Power Solutions and Life Sciences groups based principally on the end markets they serve. In the first quarter of 2018, we began reporting our financial results based on these new reportable segments. Prior year amounts have been restated to conform to the current year presentation.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results of continuing operations for each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Sciences</w:t>
            </w: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Consolidations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Three Months Ended June 30, 2018</w:t>
            </w:r>
          </w:p>
        </w:tc>
        <w:tc>
          <w:tcPr>
            <w:tcW w:w="2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5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88,079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49,820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59,153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(703)</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196,349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97"/>
        </w:trPr>
        <w:tc>
          <w:tcPr>
            <w:tcW w:w="7920" w:type="dxa"/>
            <w:vAlign w:val="bottom"/>
            <w:tcBorders>
              <w:bottom w:val="single" w:sz="8" w:color="CCEEFF"/>
            </w:tcBorders>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(31,105)</w:t>
            </w:r>
          </w:p>
        </w:tc>
        <w:tc>
          <w:tcPr>
            <w:tcW w:w="0" w:type="dxa"/>
            <w:vAlign w:val="bottom"/>
          </w:tcPr>
          <w:p>
            <w:pPr>
              <w:spacing w:after="0"/>
              <w:rPr>
                <w:sz w:val="1"/>
                <w:szCs w:val="1"/>
                <w:color w:val="auto"/>
              </w:rPr>
            </w:pPr>
          </w:p>
        </w:tc>
      </w:tr>
      <w:tr>
        <w:trPr>
          <w:trHeight w:val="163"/>
        </w:trPr>
        <w:tc>
          <w:tcPr>
            <w:tcW w:w="4020" w:type="dxa"/>
            <w:vAlign w:val="bottom"/>
            <w:gridSpan w:val="4"/>
            <w:shd w:val="clear" w:color="auto" w:fill="CCEEFF"/>
          </w:tcPr>
          <w:p>
            <w:pPr>
              <w:ind w:left="40"/>
              <w:spacing w:after="0" w:line="163" w:lineRule="exact"/>
              <w:rPr>
                <w:sz w:val="20"/>
                <w:szCs w:val="20"/>
                <w:color w:val="auto"/>
              </w:rPr>
            </w:pPr>
            <w:r>
              <w:rPr>
                <w:rFonts w:ascii="Arial" w:cs="Arial" w:eastAsia="Arial" w:hAnsi="Arial"/>
                <w:sz w:val="18"/>
                <w:szCs w:val="18"/>
                <w:b w:val="1"/>
                <w:bCs w:val="1"/>
                <w:color w:val="auto"/>
              </w:rPr>
              <w:t>Six Months Ended June 30, 2018</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177,873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98,502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(1,231)</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365,497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(31,242)</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2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Three Months Ended June 30, 2017</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86,658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48,734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23,114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(559)</w:t>
            </w:r>
          </w:p>
        </w:tc>
        <w:tc>
          <w:tcPr>
            <w:tcW w:w="6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157,947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(40,025)</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2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Six Months Ended June 30, 2017</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25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173,104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97,158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46,243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(1,003)</w:t>
            </w:r>
          </w:p>
        </w:tc>
        <w:tc>
          <w:tcPr>
            <w:tcW w:w="6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315,502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26,494</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(39,215)</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Includes eliminations of intersegment transactions occurring during the ordinary course of business.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Total Assets as of</w:t>
            </w:r>
          </w:p>
        </w:tc>
      </w:tr>
      <w:tr>
        <w:trPr>
          <w:trHeight w:val="26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2"/>
                <w:szCs w:val="22"/>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Solutions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446,111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Power Solutions</w:t>
            </w: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390,656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383,063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355,703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Corporate and Consolidations</w:t>
            </w: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113,018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307,916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1,761,084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1,475,003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Paragon Medical business acquired on May 7, 2018, contributed $27.1 million to net sales and $1.7 million to income from operations in the Life Sciences group after the acquisition date through June 30, 2018. The Bridgemedica business acquired on February 22, 2018, contributed $3.6 million to net sales and less than $0.1 million to income from operations in the Life Sciences group after the acquisition date through June 30,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42,311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27,669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Note 6. Goodwill</w:t>
            </w: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gridSpan w:val="4"/>
          </w:tcPr>
          <w:p>
            <w:pPr>
              <w:spacing w:after="0"/>
              <w:rPr>
                <w:sz w:val="20"/>
                <w:szCs w:val="20"/>
                <w:color w:val="auto"/>
              </w:rPr>
            </w:pPr>
            <w:r>
              <w:rPr>
                <w:rFonts w:ascii="Arial" w:cs="Arial" w:eastAsia="Arial" w:hAnsi="Arial"/>
                <w:sz w:val="18"/>
                <w:szCs w:val="18"/>
                <w:color w:val="auto"/>
              </w:rPr>
              <w:t>The following table shows changes in the carrying amount of goodwill.</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Mobile</w:t>
            </w:r>
          </w:p>
        </w:tc>
        <w:tc>
          <w:tcPr>
            <w:tcW w:w="34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Power</w:t>
            </w:r>
          </w:p>
        </w:tc>
        <w:tc>
          <w:tcPr>
            <w:tcW w:w="28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24"/>
                <w:szCs w:val="24"/>
                <w:color w:val="auto"/>
              </w:rPr>
            </w:pPr>
          </w:p>
        </w:tc>
        <w:tc>
          <w:tcPr>
            <w:tcW w:w="15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Sciences</w:t>
            </w: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454,612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Currency impacts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in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165,454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Adjustments to goodwill</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73,708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201,497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617,814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goodwill acquired in 2018 is related to the Paragon Medical and Bridgemedica acquisitions as described in Note 3 and is derived from the value of the businesses acquired. We recorded $157.4 million of goodwill related to the Paragon Medical acquisition and $8.0 million of goodwill related to the Bridgemedica acquisition during the six months ended June 30, 2018. We are in the process of analyzing the opening balance sheets and purchase price allocations for these acquisitions. The preliminary fair value of the businesses acquired was based on management business plans and future performance estimates which are subject to a high degree of management judgment and complexity. Actual results may differ from these projections and the differences may be material, leading to measurement period adjustments of this goodwill.</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2018, as a result of the changes in our organizational and management structure, goodwill was reassigned to operating segments using a relative fair value allocation. For further information on the organizational changes, see Note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Mobile</w:t>
            </w:r>
          </w:p>
        </w:tc>
        <w:tc>
          <w:tcPr>
            <w:tcW w:w="3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Power</w:t>
            </w:r>
          </w:p>
        </w:tc>
        <w:tc>
          <w:tcPr>
            <w:tcW w:w="3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Life</w:t>
            </w:r>
          </w:p>
        </w:tc>
        <w:tc>
          <w:tcPr>
            <w:tcW w:w="400" w:type="dxa"/>
            <w:vAlign w:val="bottom"/>
          </w:tcPr>
          <w:p>
            <w:pPr>
              <w:spacing w:after="0"/>
              <w:rPr>
                <w:sz w:val="14"/>
                <w:szCs w:val="14"/>
                <w:color w:val="auto"/>
              </w:rPr>
            </w:pPr>
          </w:p>
        </w:tc>
        <w:tc>
          <w:tcPr>
            <w:tcW w:w="13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3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Sciences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237,702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Intangible assets acquired in acquisitions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169,913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169,913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37,658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257,649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394,664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shows the nature and preliminary weighted average estimated useful lives of intangible assets acquired during the six months ended June 30, 2018. Actual results may differ from these projections and the differences may be material, leading to measurement period adjustments of these intangible assets.</w:t>
      </w:r>
    </w:p>
    <w:p>
      <w:pPr>
        <w:spacing w:after="0" w:line="1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Value as of</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w:t>
            </w:r>
          </w:p>
        </w:tc>
      </w:tr>
      <w:tr>
        <w:trPr>
          <w:trHeight w:val="234"/>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Acquisition Date</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Life in Years</w:t>
            </w:r>
          </w:p>
        </w:tc>
      </w:tr>
      <w:tr>
        <w:trPr>
          <w:trHeight w:val="27"/>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144,900</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Trademark and trade name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15,400</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29</w:t>
            </w: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r>
      <w:tr>
        <w:trPr>
          <w:trHeight w:val="257"/>
        </w:trPr>
        <w:tc>
          <w:tcPr>
            <w:tcW w:w="4380" w:type="dxa"/>
            <w:vAlign w:val="bottom"/>
          </w:tcPr>
          <w:p>
            <w:pPr>
              <w:ind w:left="20"/>
              <w:spacing w:after="0"/>
              <w:rPr>
                <w:sz w:val="20"/>
                <w:szCs w:val="20"/>
                <w:color w:val="auto"/>
              </w:rPr>
            </w:pPr>
            <w:r>
              <w:rPr>
                <w:rFonts w:ascii="Arial" w:cs="Arial" w:eastAsia="Arial" w:hAnsi="Arial"/>
                <w:sz w:val="18"/>
                <w:szCs w:val="18"/>
                <w:color w:val="auto"/>
              </w:rPr>
              <w:t>Total intangible assets acquired in current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169,913</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w:t>
            </w: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January 1, 2018, as a result of the changes in our organizational and management structure, intangible assets were reassigned to operating segments using a relative fair value allocation. For further information on the organizational changes, see Note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Joint Venture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a 49% investment in a joint venture located in Wuxi, China, called Wuxi Weifu Autocam Precision Machinery Company, Ltd. (the “JV”). The JV is jointly controlled and managed, and we account for it under the equity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our investment in the JV.</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39,822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 of cumulative earnings</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1,718</w:t>
            </w:r>
          </w:p>
        </w:tc>
      </w:tr>
      <w:tr>
        <w:trPr>
          <w:trHeight w:val="27"/>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basis difference from purchase accounting</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7"/>
        </w:trPr>
        <w:tc>
          <w:tcPr>
            <w:tcW w:w="9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9"/>
        </w:trPr>
        <w:tc>
          <w:tcPr>
            <w:tcW w:w="9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recognized sales to the JV of $0.2 million and approximately $0.1 million during the six months ended June 30, 2018 and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financial data of the JV.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33,985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38,109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26,165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26,165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4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36,584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28,160</w:t>
            </w:r>
          </w:p>
        </w:tc>
      </w:tr>
      <w:tr>
        <w:trPr>
          <w:trHeight w:val="27"/>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6,459</w:t>
            </w:r>
          </w:p>
        </w:tc>
      </w:tr>
      <w:tr>
        <w:trPr>
          <w:trHeight w:val="702"/>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22, 2017, the U. S. government enacted comprehensive tax legislation. The Tax Act reduces the maximum U.S. federal corporate income tax rate from 35% to 21% and creates new taxes on certain foreign sourced earnings. In response to the Tax Act, the Securities and Exchange Commission issued Staff Accounting Bulletin No. 118 (“SAB 118”) which allows issuers to recognize provisional estimates of the impact of the Tax Act in their financial statements, or in circumstances where estimates cannot be made, to disclose and recognize at a later date.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 ended December 31, 2017, we included in our financial statements provisional charges for the revaluation of our net domestic deferred tax assets and a one-time charge for the deemed repatriation of historic unremitted earnings. During the six months ended June 30, 2018, there were no additional changes to the provisional amounts recorded as of December 31, 2017. The accounting is expected to be completed and disclosed within the one-year measurement period as allowed by SAB 118.</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effective tax rate from continuing operations was 19.1% and 18.2% for the three months and six months ended June 30, 2018, respectively, and 30.5% and 31.3% for the three months and six months ended June 30, 2017, respectively. Our 2018 effective tax rates differ from the U.S. federal statutory tax rate of 21% due to permanent differences including certain provisions of the Tax Act, specifically the base-broadening provision which imposed a new minimum tax on global intangible low-tax income (“GILTI”). Our 2017 effective tax rates differ from the U.S. federal statutory tax rate of 34% due primarily to earnings outside the U.S. which were taxed at rates lower than the U.S. federal statutory rate.</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six months ended June 30, 2018, we finalized our accounting policy decision with respect to the new GILTI tax rules and have concluded that GILTI will be treated as a periodic charge in the year in which it arises. Therefore, we will not record deferred taxes for the basis associated with GILTI earnings.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third quarter of 2017, the Internal Revenue Service commenced an examination of the federal tax return for the pre-acquisition period of January 1, 2015, through October 19, 2015, for Precision Engineered Products Holdings, LLC, our wholly-owned subsidiary. The examination is ongoing as of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215"/>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$545.0 million Senior Secured Term Loan B (“Senior Secured Term Loan”) bearing interest at the greater</w:t>
            </w: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of 0.75% or one-month LIBOR (2.09% at June 30, 2018), plus an applicable margin of 3.75% at June 30,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expiring October 19,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534,250</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6"/>
              </w:rPr>
              <w:t>$300.0 million Incremental Term Loan (“Incremental Term Loan”) bearing interest at one-month LIBOR</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6"/>
              </w:rPr>
              <w:t>(2.09% at June 30, 2018), plus an applicable margin of 3.25% at June 30, 2018, expiring April 3, 2021</w:t>
            </w: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291,000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$143.0 million Senior Secured Revolver (“Senior Secured Revolver”) bearing interest at one-month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LIBOR (2.09% at June 30, 2018) plus an applicable margin of 3.5% at June 30, 2018, expiring October</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19, 2020</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4"/>
              </w:rPr>
              <w:t>$200.0 million Second Lien Facility ("Second Lien") bearing interest at one-month LIBOR (2.09% at June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30, 2018), plus an applicable margin of 8.0% at June 30, 2018, expiring April 19, 2023</w:t>
            </w: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1,092,174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828,565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Principal, net of current portion</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1,062,365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811,282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20,477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1,040,434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790,805</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capitalized interest costs amounting to $0.3 million and $0.3 million in the three months ended June 30, 2018 and 2017, and $0.5 million and $0.6 million in the six months ended June 30, 2018 and 2017, related to construction in progress.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Collectively, our Senior Secured Term Loan, Incremental Term Loan, and Senior Secured Revolver comprise our credit facility. Our credit facility is subject to certain financial covenants based on a consolidated net leverage ratio, as defined in the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facility agreement. The financial covenants are effective when we have outstanding amounts drawn on our Senior Secured Revolver on the last day of any fiscal quarter and become more restrictive over time. We had $68.0 million outstanding balance on the Senior Secured Revolver as of June 30, 2018, and were in compliance with all covenants under our credit facility and expect to be in compliance with all covenants through June 30,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Credit Agreement</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connection with the Paragon Medical acquisition, we, certain of our subsidiaries named therein, SunTrust Bank, as Administrative Agent, SunTrust Robinson Humphrey, Inc. as Lead Arranger and Bookrunner, and the lenders named therein entered into a Second Lien Credit Agreement (the “Second Lien Credit Agreement”) pursuant to which SunTrust and the other lenders extended to us a $200.0 million secured second lien term loan facility (the “Second Lien Facility”). We utilized the net proceeds from the Second Lien Facility, together with cash on hand, to pay the Paragon Medical purchase price and fees and expenses related to the acquisition. The Second Lien Facility is collateralized by all of our assets. The Second Lien Facility matures on April 19, 2023, and bears interest at either (i) a base rate, plus an applicable margin, or (ii) the greater of the London Interbank Offered Rate (“LIBOR”) or 1.00%, plus an applicable margin. The initial applicable margin for all borrowings under the Second Lien Facility is 7.00% per annum with respect to base rate borrowings and 8.00% per annum with respect to LIBOR borrowings. We may voluntarily prepay outstanding loans under the Second Lien Facility, in whole or in part without premium or penalty at any time on or after May 7, 2020. We are subject to a prepayment penalty of 2% of the amount of such loans that we prepay before May 7, 2019. If we prepay any outstanding loans after May 7, 2019, but prior to May 7, 2020, we are subject to a prepayment penalty of 1% of the amount prepaid. The Second Lien Credit Agreement requires us to prepay outstanding loans, subject to certain exceptions, with: (i) a variable percentage of excess cash flow; (ii) 100% of the net cash proceeds of non-ordinary course asset sales or other dispositions of property, and 100% of the net cash proceeds from certain insurance and condemnation events with respect to our assets, subject to customary thresholds and reinvestment rights; and (iii) 100% of the net cash proceeds from the issuance or incurrence of debt obligations for borrowed money not permitted by the Second Lien Credit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Facility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7, 2018, we entered into an amendment to our existing credit facility to permit the Paragon Medical acquisition, to permit the Second Lien Credit Agreement, and to amend certain covenants. We paid $16.7 million of debt issuance costs related to the amendment. A total of $12.9 million is included in the "Loss on extinguishment of debt and write-off of debt issuance costs" line on the Condensed Consolidated Statements of Operations and Comprehensive Income (Loss). The remaining $3.8 million is capitalized as a reduction of long-term debt.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restructuring and integration charges incurred for the three months and six months ended June 30,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jc w:val="center"/>
              <w:ind w:right="1280"/>
              <w:spacing w:after="0"/>
              <w:rPr>
                <w:sz w:val="20"/>
                <w:szCs w:val="20"/>
                <w:color w:val="auto"/>
              </w:rPr>
            </w:pPr>
            <w:r>
              <w:rPr>
                <w:rFonts w:ascii="Arial" w:cs="Arial" w:eastAsia="Arial" w:hAnsi="Arial"/>
                <w:sz w:val="14"/>
                <w:szCs w:val="14"/>
                <w:b w:val="1"/>
                <w:bCs w:val="1"/>
                <w:color w:val="auto"/>
                <w:w w:val="93"/>
              </w:rPr>
              <w:t>Three Months Ended June 30,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40" w:type="dxa"/>
            <w:vAlign w:val="bottom"/>
          </w:tcPr>
          <w:p>
            <w:pPr>
              <w:jc w:val="center"/>
              <w:ind w:left="279"/>
              <w:spacing w:after="0" w:line="153" w:lineRule="exact"/>
              <w:rPr>
                <w:sz w:val="20"/>
                <w:szCs w:val="20"/>
                <w:color w:val="auto"/>
              </w:rPr>
            </w:pPr>
            <w:r>
              <w:rPr>
                <w:rFonts w:ascii="Arial" w:cs="Arial" w:eastAsia="Arial" w:hAnsi="Arial"/>
                <w:sz w:val="14"/>
                <w:szCs w:val="14"/>
                <w:b w:val="1"/>
                <w:bCs w:val="1"/>
                <w:color w:val="auto"/>
                <w:w w:val="99"/>
              </w:rPr>
              <w:t>Mobile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4"/>
                <w:szCs w:val="14"/>
                <w:b w:val="1"/>
                <w:bCs w:val="1"/>
                <w:color w:val="auto"/>
                <w:w w:val="92"/>
              </w:rPr>
              <w:t>Six Months Ended June 30, 2018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40" w:type="dxa"/>
            <w:vAlign w:val="bottom"/>
          </w:tcPr>
          <w:p>
            <w:pPr>
              <w:jc w:val="center"/>
              <w:ind w:left="279"/>
              <w:spacing w:after="0" w:line="153" w:lineRule="exact"/>
              <w:rPr>
                <w:sz w:val="20"/>
                <w:szCs w:val="20"/>
                <w:color w:val="auto"/>
              </w:rPr>
            </w:pPr>
            <w:r>
              <w:rPr>
                <w:rFonts w:ascii="Arial" w:cs="Arial" w:eastAsia="Arial" w:hAnsi="Arial"/>
                <w:sz w:val="14"/>
                <w:szCs w:val="14"/>
                <w:b w:val="1"/>
                <w:bCs w:val="1"/>
                <w:color w:val="auto"/>
                <w:w w:val="99"/>
              </w:rPr>
              <w:t>Mobile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right="1280"/>
              <w:spacing w:after="0"/>
              <w:rPr>
                <w:sz w:val="20"/>
                <w:szCs w:val="20"/>
                <w:color w:val="auto"/>
              </w:rPr>
            </w:pPr>
            <w:r>
              <w:rPr>
                <w:rFonts w:ascii="Arial" w:cs="Arial" w:eastAsia="Arial" w:hAnsi="Arial"/>
                <w:sz w:val="14"/>
                <w:szCs w:val="14"/>
                <w:b w:val="1"/>
                <w:bCs w:val="1"/>
                <w:color w:val="auto"/>
                <w:w w:val="93"/>
              </w:rPr>
              <w:t>Three Months Ended June 30, 2017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40" w:type="dxa"/>
            <w:vAlign w:val="bottom"/>
          </w:tcPr>
          <w:p>
            <w:pPr>
              <w:jc w:val="center"/>
              <w:ind w:left="279"/>
              <w:spacing w:after="0" w:line="153" w:lineRule="exact"/>
              <w:rPr>
                <w:sz w:val="20"/>
                <w:szCs w:val="20"/>
                <w:color w:val="auto"/>
              </w:rPr>
            </w:pPr>
            <w:r>
              <w:rPr>
                <w:rFonts w:ascii="Arial" w:cs="Arial" w:eastAsia="Arial" w:hAnsi="Arial"/>
                <w:sz w:val="14"/>
                <w:szCs w:val="14"/>
                <w:b w:val="1"/>
                <w:bCs w:val="1"/>
                <w:color w:val="auto"/>
                <w:w w:val="99"/>
              </w:rPr>
              <w:t>Mobile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4"/>
                <w:szCs w:val="14"/>
                <w:b w:val="1"/>
                <w:bCs w:val="1"/>
                <w:color w:val="auto"/>
                <w:w w:val="92"/>
              </w:rPr>
              <w:t>Six Months Ended June 30, 2017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40" w:type="dxa"/>
            <w:vAlign w:val="bottom"/>
          </w:tcPr>
          <w:p>
            <w:pPr>
              <w:jc w:val="center"/>
              <w:ind w:left="279"/>
              <w:spacing w:after="0" w:line="153" w:lineRule="exact"/>
              <w:rPr>
                <w:sz w:val="20"/>
                <w:szCs w:val="20"/>
                <w:color w:val="auto"/>
              </w:rPr>
            </w:pPr>
            <w:r>
              <w:rPr>
                <w:rFonts w:ascii="Arial" w:cs="Arial" w:eastAsia="Arial" w:hAnsi="Arial"/>
                <w:sz w:val="14"/>
                <w:szCs w:val="14"/>
                <w:b w:val="1"/>
                <w:bCs w:val="1"/>
                <w:color w:val="auto"/>
                <w:w w:val="99"/>
              </w:rPr>
              <w:t>Mobile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and integration reserve activity for the six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Reserve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Non-cash</w:t>
            </w:r>
          </w:p>
        </w:tc>
        <w:tc>
          <w:tcPr>
            <w:tcW w:w="220" w:type="dxa"/>
            <w:vAlign w:val="bottom"/>
          </w:tcPr>
          <w:p>
            <w:pPr>
              <w:spacing w:after="0"/>
              <w:rPr>
                <w:sz w:val="14"/>
                <w:szCs w:val="14"/>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260" w:type="dxa"/>
            <w:vAlign w:val="bottom"/>
          </w:tcPr>
          <w:p>
            <w:pPr>
              <w:spacing w:after="0"/>
              <w:rPr>
                <w:sz w:val="12"/>
                <w:szCs w:val="12"/>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Reductions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4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recognized severance costs of $0.7 million in the six months ended June 30, 2018, at corporate headquarters related to the restructuring of our former Precision Engineered Products Group to form the Power Solutions and Life Sciences groups effective January 2, 2018.</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recognized severance costs of $1.6 million in the six months ended June 30, 2018, in our Life Sciences group related to the integration of Paragon Medical into our existing business after the acquisition.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amount accrued for restructuring and integration costs represents what we expect to pay over the next 2.7 years. We expect to pay $1.1 million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acquisition of Autocam Corporation in 2014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June 30, 2018, for this matter. There was no material change in the status of this matter from December 31, 2017, to June 30, 2018.</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adopted ASC 606 on January 1, 2018, using the modified retrospective transition method for all contracts not completed as of the date of adoption. The reported results for 2018 reflect the application of ASC 606 while the reported results for 2017 were prepared under the guidance of ASC 605. The adoption of ASC 606 represents a change in accounting principle that will more closely align revenue recognition with the delivery of our goods and will provide financial statement readers with enhanced disclosures. In accordance with ASC 606, revenue is recognized when a customer obtains control of promised goods in an amount that reflects the consideration we expect to be entitled to receive in exchange for those goods. To the extent that transaction price includes variable consideration,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sales to external customers by major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Mobile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Power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Sciences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top w:val="single" w:sz="8" w:color="auto"/>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257,612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27,044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19,522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19,601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177,873</w:t>
            </w:r>
          </w:p>
        </w:tc>
        <w:tc>
          <w:tcPr>
            <w:tcW w:w="12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98,502</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365,497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w w:val="93"/>
              </w:rPr>
              <w:t>Three Months Ended June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Mobile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Power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Solutions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Sciences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41,924</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48,441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137,804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88,079</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49,820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59,153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less than one year,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utilized certain practical expedients allowed by the new standard. We intend to utilize the portfolio approach practical expedient to evaluate sales-related discounts on a portfolio basis to contracts with similar characteristics. The effect on our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applying the portfolio approach would not differ materially from applying the new standard to individual contracts.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we estimate the impact to the transaction price based on an analysis of historical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69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39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Revenue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3,372</w:t>
            </w:r>
          </w:p>
        </w:tc>
      </w:tr>
    </w:tbl>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(contract liability) on the Condensed Consolidated Balance Sheet. These contract liabilities are reported on the Condensed Consolidated Balance Sheet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three months and six months ended June 30, 2018, were not materially impacted by any other factors. Revenue recognized during the three months and six months ended June 30, 2018, from amounts included in deferred revenue at the beginning of the period for performance obligations satisfied or partially satisfied during the three months and six months ended June 30, 2018, was approximately $0.7 million and $1.0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ASC 606 requires that we disclose the aggregate amount of transaction price that is allocated to performance obligations that have not yet been satisfied as of June 30, 2018. The guidance provides certain practical expedients that limit this requirement. Our contracts meet the following practical expedient provided by ASC 606:</w:t>
      </w:r>
    </w:p>
    <w:p>
      <w:pPr>
        <w:spacing w:after="0" w:line="8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obligation is part of a contract that has an original expected duration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the adoption of ASC 606, we expensed commissions paid to internal sales representatives for obtaining contracts. Under ASC 606, we adopted the practical expedient to recognize commissions paid to internal sales personnel that are incremental to obtaining customer contracts as an expense when incurred since the amortization period is less than one year. The judgments made in determining the amount of costs incurred include whether the commissions are in fact incremental and would not have occurred absent the customer contract. Costs to obtain a contract are expensed as selling, general and administrative expense.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value add, and other taxes we collect concurrent with revenue-producing activities are excluded from revenue. Incidental items that are immaterial in the context of the contract are recognized as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7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The following table presents the impact of adoption of ASC 606 on our Condensed Consolidated Statements of Operations and Comprehensive Income (Loss) and our Condensed Consolidated Balance Sheet. Differences are due to the acceleration in the recognition of revenue to the point of shipment or delivery for contracts where an unconditional obligation to purchase is present for inventory that was considered in consignment under ASC 605.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7"/>
          </w:tcPr>
          <w:p>
            <w:pPr>
              <w:jc w:val="center"/>
              <w:ind w:right="38"/>
              <w:spacing w:after="0"/>
              <w:rPr>
                <w:sz w:val="20"/>
                <w:szCs w:val="20"/>
                <w:color w:val="auto"/>
              </w:rPr>
            </w:pPr>
            <w:r>
              <w:rPr>
                <w:rFonts w:ascii="Arial" w:cs="Arial" w:eastAsia="Arial" w:hAnsi="Arial"/>
                <w:sz w:val="14"/>
                <w:szCs w:val="14"/>
                <w:b w:val="1"/>
                <w:bCs w:val="1"/>
                <w:color w:val="auto"/>
                <w:w w:val="93"/>
              </w:rPr>
              <w:t>Three Months Ended June 30, 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Balances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Balances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2"/>
                <w:szCs w:val="12"/>
                <w:color w:val="auto"/>
              </w:rPr>
            </w:pPr>
          </w:p>
        </w:tc>
        <w:tc>
          <w:tcPr>
            <w:tcW w:w="8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Without</w:t>
            </w:r>
          </w:p>
        </w:tc>
        <w:tc>
          <w:tcPr>
            <w:tcW w:w="280" w:type="dxa"/>
            <w:vAlign w:val="bottom"/>
          </w:tcPr>
          <w:p>
            <w:pPr>
              <w:spacing w:after="0"/>
              <w:rPr>
                <w:sz w:val="12"/>
                <w:szCs w:val="12"/>
                <w:color w:val="auto"/>
              </w:rPr>
            </w:pPr>
          </w:p>
        </w:tc>
        <w:tc>
          <w:tcPr>
            <w:tcW w:w="7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As Reported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3"/>
              </w:rPr>
              <w:t>As Reported</w:t>
            </w:r>
          </w:p>
        </w:tc>
        <w:tc>
          <w:tcPr>
            <w:tcW w:w="28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196,349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196,367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365,497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365,569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148,640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148,631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275,084</w:t>
            </w:r>
          </w:p>
        </w:tc>
        <w:tc>
          <w:tcPr>
            <w:tcW w:w="28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275,120</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3,401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3,437</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48"/>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As of June 30, 2018</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Balances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2"/>
                <w:szCs w:val="12"/>
                <w:color w:val="auto"/>
              </w:rPr>
            </w:pPr>
          </w:p>
        </w:tc>
        <w:tc>
          <w:tcPr>
            <w:tcW w:w="8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As Reported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147,449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146,913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116,136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116,470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Shared-Based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855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2,218</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six months ended June 30, 2018, we granted options to purchase 55,300 shares to certain key employees. The weighted average grant date fair value of the options granted during the six months ended June 30, 2018, was $10.68 per share. The fair value of our options cannot be determined by market value because they are not traded in an open market. Accordingly, we utilized the Black Scholes financial pricing model to estimate the fair value. The following table shows the weighted average assumptions relevant to determining the fair value of stock options granted in 2018.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149"/>
        </w:trPr>
        <w:tc>
          <w:tcPr>
            <w:tcW w:w="918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Option</w:t>
            </w:r>
          </w:p>
        </w:tc>
      </w:tr>
      <w:tr>
        <w:trPr>
          <w:trHeight w:val="192"/>
        </w:trPr>
        <w:tc>
          <w:tcPr>
            <w:tcW w:w="91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 years</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40" w:type="dxa"/>
            <w:vAlign w:val="bottom"/>
          </w:tcPr>
          <w:p>
            <w:pPr>
              <w:jc w:val="right"/>
              <w:spacing w:after="0"/>
              <w:rPr>
                <w:sz w:val="20"/>
                <w:szCs w:val="20"/>
                <w:color w:val="auto"/>
              </w:rPr>
            </w:pPr>
            <w:r>
              <w:rPr>
                <w:rFonts w:ascii="Arial" w:cs="Arial" w:eastAsia="Arial" w:hAnsi="Arial"/>
                <w:sz w:val="18"/>
                <w:szCs w:val="18"/>
                <w:color w:val="auto"/>
              </w:rPr>
              <w:t>47.78%</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9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9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Securities and Exchange Commission’s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2018.</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15.21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June 30, 2018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13.61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36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June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six months ended June 30, 2018, we granted 86,516 restricted stock awards to non-executive directors, officers and certain other key employees. The shares of restricted stock granted during the six months ended June 30, 2018,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six months ended June 30, 2018, was $24.55 per share. Total grant-date fair value of restricted stock that vested in the six months ended June 30, 2018, was $1.8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unvested restricted stock awards as of June 30, 2018, and changes during the six months then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89"/>
              </w:rPr>
              <w:t>Nonvested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Restricted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Nonvested at June 30, 2018</w:t>
            </w:r>
          </w:p>
        </w:tc>
        <w:tc>
          <w:tcPr>
            <w:tcW w:w="13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147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20"/>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2018 were made pursuant to the NN, Inc. 2016 Omnibus Incentive Plan and a Performance Share Unit Agreement. Some PSUs are based on total shareholder return (“TSR Awards”), and other PSUs are based on return on invested capital (“ROIC Awards”).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TSR Awards vest, if at all, upon our achieving a specified relative total shareholder return, which will be measured against the total shareholder return of the S&amp;P SmallCap 600 Index during specified performance periods as defined in the award agreements. Each performance period generally begins on January 1 of the year of grant and ends 36 months later on December 31. The ROIC Awards will vest, if at all, upon our achieving a specified average return on invested capital during the performance periods. 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will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 The following table presents the goals with respect to TSR and ROIC for each award granted in 2018.</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8"/>
                <w:szCs w:val="18"/>
                <w:color w:val="auto"/>
              </w:rPr>
              <w:t>TSR:</w:t>
            </w:r>
          </w:p>
        </w:tc>
        <w:tc>
          <w:tcPr>
            <w:tcW w:w="3100" w:type="dxa"/>
            <w:vAlign w:val="bottom"/>
            <w:vMerge w:val="restart"/>
          </w:tcPr>
          <w:p>
            <w:pPr>
              <w:spacing w:after="0"/>
              <w:rPr>
                <w:sz w:val="14"/>
                <w:szCs w:val="1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310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(50% of Shares)</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(100% of Shares)</w:t>
            </w: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grants</w:t>
            </w:r>
          </w:p>
        </w:tc>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35th Percentile</w:t>
            </w:r>
          </w:p>
        </w:tc>
        <w:tc>
          <w:tcPr>
            <w:tcW w:w="2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50th Percentile</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436"/>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ROIC:</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(35% of Shares)</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(100% of Shares)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grants</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1"/>
                <w:szCs w:val="21"/>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 The following table presents the number of awards granted and the grant date fair value of each award in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TSR Awards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15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36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5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43"/>
        </w:trPr>
        <w:tc>
          <w:tcPr>
            <w:tcW w:w="4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24.65</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We generally recognize an expense for ROIC Awards based on the Target Performance threshold of 100% because, at the date of grant, the Target Performance is the probable level of performance achievement. All PSUs that vested on December 31, 2017, were settled in shares in May 2018.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unvested PSU awards as of June 30, 2018, and changes during the six months then ended.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Nonvested TSR Awards</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8"/>
          </w:tcPr>
          <w:p>
            <w:pPr>
              <w:jc w:val="right"/>
              <w:ind w:right="370"/>
              <w:spacing w:after="0"/>
              <w:rPr>
                <w:sz w:val="20"/>
                <w:szCs w:val="20"/>
                <w:color w:val="auto"/>
              </w:rPr>
            </w:pPr>
            <w:r>
              <w:rPr>
                <w:rFonts w:ascii="Arial" w:cs="Arial" w:eastAsia="Arial" w:hAnsi="Arial"/>
                <w:sz w:val="14"/>
                <w:szCs w:val="14"/>
                <w:b w:val="1"/>
                <w:bCs w:val="1"/>
                <w:color w:val="auto"/>
              </w:rPr>
              <w:t>Nonvested ROIC Awards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170"/>
              <w:spacing w:after="0" w:line="149" w:lineRule="exact"/>
              <w:rPr>
                <w:sz w:val="20"/>
                <w:szCs w:val="20"/>
                <w:color w:val="auto"/>
              </w:rPr>
            </w:pPr>
            <w:r>
              <w:rPr>
                <w:rFonts w:ascii="Arial" w:cs="Arial" w:eastAsia="Arial" w:hAnsi="Arial"/>
                <w:sz w:val="14"/>
                <w:szCs w:val="14"/>
                <w:b w:val="1"/>
                <w:bCs w:val="1"/>
                <w:color w:val="auto"/>
              </w:rPr>
              <w:t>Average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20" w:type="dxa"/>
            <w:vAlign w:val="bottom"/>
            <w:gridSpan w:val="2"/>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Grant-Date</w:t>
            </w:r>
          </w:p>
        </w:tc>
        <w:tc>
          <w:tcPr>
            <w:tcW w:w="100" w:type="dxa"/>
            <w:vAlign w:val="bottom"/>
          </w:tcPr>
          <w:p>
            <w:pPr>
              <w:spacing w:after="0"/>
              <w:rPr>
                <w:sz w:val="12"/>
                <w:szCs w:val="12"/>
                <w:color w:val="auto"/>
              </w:rPr>
            </w:pPr>
          </w:p>
        </w:tc>
        <w:tc>
          <w:tcPr>
            <w:tcW w:w="124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Grant-Date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(per share)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3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130</w:t>
            </w:r>
          </w:p>
        </w:tc>
        <w:tc>
          <w:tcPr>
            <w:tcW w:w="680" w:type="dxa"/>
            <w:vAlign w:val="bottom"/>
            <w:tcBorders>
              <w:bottom w:val="single" w:sz="8" w:color="CCEEFF"/>
            </w:tcBorders>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4"/>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4"/>
              </w:rPr>
              <w:t>16.27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6"/>
              <w:spacing w:after="0"/>
              <w:rPr>
                <w:sz w:val="20"/>
                <w:szCs w:val="20"/>
                <w:color w:val="auto"/>
              </w:rPr>
            </w:pPr>
            <w:r>
              <w:rPr>
                <w:rFonts w:ascii="Arial" w:cs="Arial" w:eastAsia="Arial" w:hAnsi="Arial"/>
                <w:sz w:val="18"/>
                <w:szCs w:val="18"/>
                <w:color w:val="auto"/>
              </w:rPr>
              <w:t>55</w:t>
            </w:r>
          </w:p>
        </w:tc>
        <w:tc>
          <w:tcPr>
            <w:tcW w:w="68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24.65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68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24.55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CCEEFF"/>
            </w:tcBorders>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4"/>
              </w:rPr>
              <w:t>15.12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CCEEFF"/>
            </w:tcBorders>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4"/>
              </w:rPr>
              <w:t>15.49</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Nonvested at June 30, 2018</w:t>
            </w:r>
          </w:p>
        </w:tc>
        <w:tc>
          <w:tcPr>
            <w:tcW w:w="132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174</w:t>
            </w:r>
          </w:p>
        </w:tc>
        <w:tc>
          <w:tcPr>
            <w:tcW w:w="68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18.90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18.63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Note 15. Net Income (Loss) Per Share</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(24,511)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(30,494)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w w:val="97"/>
              </w:rPr>
              <w:t>Income from discontinued operations, net of tax (Note 2)</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24"/>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(24,511)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(30,494)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27,696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24"/>
              <w:spacing w:after="0"/>
              <w:rPr>
                <w:sz w:val="20"/>
                <w:szCs w:val="20"/>
                <w:color w:val="auto"/>
              </w:rPr>
            </w:pPr>
            <w:r>
              <w:rPr>
                <w:rFonts w:ascii="Arial" w:cs="Arial" w:eastAsia="Arial" w:hAnsi="Arial"/>
                <w:sz w:val="18"/>
                <w:szCs w:val="18"/>
                <w:color w:val="auto"/>
              </w:rPr>
              <w:t>27,468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27,632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stock options</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Diluted shares outstanding</w:t>
            </w:r>
          </w:p>
        </w:tc>
        <w:tc>
          <w:tcPr>
            <w:tcW w:w="8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27,696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27,468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27,632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loss from continuing operations per share</w:t>
            </w:r>
          </w:p>
        </w:tc>
        <w:tc>
          <w:tcPr>
            <w:tcW w:w="132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Basic income from discontinued operations per share</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24"/>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share</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loss from continuing operations per share</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132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from discontinued operations per share</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840" w:type="dxa"/>
            <w:vAlign w:val="bottom"/>
          </w:tcPr>
          <w:p>
            <w:pPr>
              <w:spacing w:after="0"/>
              <w:rPr>
                <w:sz w:val="20"/>
                <w:szCs w:val="20"/>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calculations of diluted loss from continuing operations per share for the three-month periods ended June 30, 2018 and 2017, exclude 0.8 million and 0.9 million potentially dilutive stock options, which had the effect of being anti-dilutive. The calculations of diluted loss from continuing operations per share for the six-month periods ended June 30, 2018 and 2017, excluded 0.8 million and 0.9 million potentially dilutive stock options, which had the effect of being anti-dilutive. Given the loss from continuing operations for the three-month periods and six-month periods ended June 30, 2018 and 2017, all options are considered anti-dilutive and were excluded from the calculation of diluted loss from continuing operations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2017 Annual Report.</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financial instruments that are subject to fair value disclosure consist of cash and cash equivalents, accounts receivable, accounts payable, and long-term debt. As of June 30, 2018, the carrying values of these financial instruments approximated fair value. The fair value of floating-rate debt approximates the carrying amount because the interest rates paid are based on short-term maturities. As of June 30, 2018, we had no fixed-rate debt outstanding.</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Prior Periods’ Financial Statement Revision</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following tables present the effect of the correction of misstatements that impacted each of the periods presented below, as further described in Note 1, and the related adjustments to reflect the revision on the Condensed Consolidated Statements of Operations and Comprehensive Income (Loss). Also, as further described in Note 2, due to the disposition of the PBC Business and the related discontinued operations treatment, the tables below present separately the impact of the correction of the misstatements as well as the effect of recasting the prior periods for discontinued operations.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As Originally</w:t>
            </w:r>
          </w:p>
        </w:tc>
        <w:tc>
          <w:tcPr>
            <w:tcW w:w="180" w:type="dxa"/>
            <w:vAlign w:val="bottom"/>
          </w:tcPr>
          <w:p>
            <w:pPr>
              <w:spacing w:after="0"/>
              <w:rPr>
                <w:sz w:val="13"/>
                <w:szCs w:val="13"/>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Discontinued</w:t>
            </w:r>
          </w:p>
        </w:tc>
        <w:tc>
          <w:tcPr>
            <w:tcW w:w="200" w:type="dxa"/>
            <w:vAlign w:val="bottom"/>
          </w:tcPr>
          <w:p>
            <w:pPr>
              <w:spacing w:after="0"/>
              <w:rPr>
                <w:sz w:val="13"/>
                <w:szCs w:val="13"/>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Reported</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and amortization shown separately</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332,994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228,994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operating income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Loss from continuing operations before benefit for income taxes and share of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(39,898)</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783"/>
        </w:trPr>
        <w:tc>
          <w:tcPr>
            <w:tcW w:w="6080" w:type="dxa"/>
            <w:vAlign w:val="bottom"/>
          </w:tcPr>
          <w:p>
            <w:pPr>
              <w:ind w:left="56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 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As Originally</w:t>
            </w:r>
          </w:p>
        </w:tc>
        <w:tc>
          <w:tcPr>
            <w:tcW w:w="18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Discontinued</w:t>
            </w:r>
          </w:p>
        </w:tc>
        <w:tc>
          <w:tcPr>
            <w:tcW w:w="220" w:type="dxa"/>
            <w:vAlign w:val="bottom"/>
          </w:tcPr>
          <w:p>
            <w:pPr>
              <w:spacing w:after="0"/>
              <w:rPr>
                <w:sz w:val="13"/>
                <w:szCs w:val="13"/>
                <w:color w:val="auto"/>
              </w:rPr>
            </w:pP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Reported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Operations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680" w:type="dxa"/>
            <w:vAlign w:val="bottom"/>
          </w:tcPr>
          <w:p>
            <w:pPr>
              <w:ind w:left="40"/>
              <w:spacing w:after="0"/>
              <w:rPr>
                <w:sz w:val="20"/>
                <w:szCs w:val="20"/>
                <w:color w:val="auto"/>
              </w:rPr>
            </w:pPr>
            <w:r>
              <w:rPr>
                <w:rFonts w:ascii="Arial" w:cs="Arial" w:eastAsia="Arial" w:hAnsi="Arial"/>
                <w:sz w:val="18"/>
                <w:szCs w:val="18"/>
                <w:color w:val="auto"/>
                <w:w w:val="94"/>
              </w:rPr>
              <w:t>Loss from continuing operations before benefit for income taxes and share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40"/>
              <w:spacing w:after="0"/>
              <w:rPr>
                <w:sz w:val="20"/>
                <w:szCs w:val="20"/>
                <w:color w:val="auto"/>
              </w:rPr>
            </w:pPr>
            <w:r>
              <w:rPr>
                <w:rFonts w:ascii="Arial" w:cs="Arial" w:eastAsia="Arial" w:hAnsi="Arial"/>
                <w:sz w:val="18"/>
                <w:szCs w:val="18"/>
                <w:color w:val="auto"/>
              </w:rPr>
              <w:t>of net income from joint venture</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(39,721)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(21,138)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Foreign currency translation gain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67"/>
        </w:trPr>
        <w:tc>
          <w:tcPr>
            <w:tcW w:w="56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125" w:right="4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and reclassifications to conform to the current period's presentation on our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 2017</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As</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As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Originally</w:t>
            </w:r>
          </w:p>
        </w:tc>
        <w:tc>
          <w:tcPr>
            <w:tcW w:w="20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Reclasses (1)</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Revised</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(13,727)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by)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31,733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disposals 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w w:val="97"/>
              </w:rPr>
              <w:t>Loss on extinguishment of debt and write-off of debt issuance costs</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39,639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15,765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debt issuance or prepayment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Proceeds from issuance of stock and exercise of stock options</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to satisfy income tax withholding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Principal payments on capital leases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820"/>
              <w:spacing w:after="0"/>
              <w:rPr>
                <w:sz w:val="20"/>
                <w:szCs w:val="20"/>
                <w:color w:val="auto"/>
              </w:rPr>
            </w:pPr>
            <w:r>
              <w:rPr>
                <w:rFonts w:ascii="Arial" w:cs="Arial" w:eastAsia="Arial" w:hAnsi="Arial"/>
                <w:sz w:val="18"/>
                <w:szCs w:val="18"/>
                <w:color w:val="auto"/>
              </w:rPr>
              <w:t>Net cash provided by (used by) financing activities</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39,762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8,177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right="2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reclassification of prior period amounts to reflect current period presentation, including the addition of the income taxes payable (receivable) line, the adoption of ASU 2016-15, and condensing immaterial amounts.</w:t>
      </w:r>
    </w:p>
    <w:p>
      <w:pPr>
        <w:spacing w:after="0" w:line="1" w:lineRule="exact"/>
        <w:rPr>
          <w:rFonts w:ascii="Arial" w:cs="Arial" w:eastAsia="Arial" w:hAnsi="Arial"/>
          <w:sz w:val="18"/>
          <w:szCs w:val="18"/>
          <w:color w:val="auto"/>
        </w:rPr>
      </w:pPr>
    </w:p>
    <w:p>
      <w:pPr>
        <w:ind w:left="340" w:right="68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of $6.1 million is included in income from discontinued operations on the Condensed Consolidated Statements of Operations and Comprehensive Income (Loss) for the six months ended June 30, 2017.</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June 30, 2018, we had 51 facilities in North America, Europe, South America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additional information concerning such risk factors and cautionary statements, please see the section titled “Item 1A. Risk Factors” in our 2017 Annual Report on Form 10-K for the fiscal year ended December 31, 2017, which we filed with the SEC on April 2, 2018 (the “2017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paragraphs describe factors that have influenced results of operations for the six months ended June 30, 2018, that management believes are important to provide an understanding of the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Mobile Solutions is focused on growth in the general industrial and automotive end markets. The Precision Engineered Products Group reported in our historical financial statements was bifurcated into two new groups – Power Solutions and Life Sciences. Power Solutions is focused on growth in the electrical and aerospace and defense end markets. Life Sciences is focused on growth in the medical end market. In the first quarter of 2018, we began reporting our financial results based on these new reportable segments. Prior year amounts have been revised to confirm to the current year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Certain prior period amounts have been revised to reflect the impact of corrections of misstatements and to correct the timing of previously recorded out-of-period adjustments. Refer to Note 1 and Note 17 in the Notes to Condensed Consolidated Financial Statements for more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Sciences Acquisitions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 base purchase price of $375.0 million in cash, subject to certain adjustments. After estimated working capital and other closing adjustments, the cash purchase price was approximately $391.0 million which included $13.4 million in cash acquired. We paid cash of $392.2 million and recorded a receivable of approximately $1.3 million in other current assets for the balance.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 We have performed a preliminary assessment of the opening balance sheet and purchase price allocation which is subject to completion of working capital adjustments and fair value estimates.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will be recorded with an offsetting adjustment to goodwill. In connection with the closing of the Paragon Medical acquisition, we entered into a Second Lien Credit Agreement (the “Second Lien Credit Agreement”) for a $200.0 million secured second lien term loan facility (the “Second Lien Facility”). We utilized the net proceeds from the Second Lien Facility, together with cash on hand, to pay the Paragon Medical purchase price and fees and expenses related to the acquisition. We also entered into 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amendment to our existing credit facility to permit the Paragon Medical acquisition, to permit the Second Lien Credit Agreement, and to amend certain covenants.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22, 2018, we completed the acquisition of 100% of the assets of Bridgemedica, LLC (“Bridgemedica”). For accounting 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certain working capital adjustments and are in the process of completing the integration of the Bridgemedica business into our operations.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discussed in our 2017 Annual Report, on October 2, 2017, we completed the acquisition of DRT Medical, LLC, which was subsequently named NN Life Sciences – Vandalia, LLC (“Vandalia”), a supplier of precision manufactured medical instruments and orthopedic implants with locations in Ohio and Pennsylvania.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xml:space="preserve"> the operating results of the PBC Business for the three and six months ended June 30, 2017, are classified as discontinued operations. The presentation of discontinued operations includes revenues and expenses of the discontinued operations, net of tax, as one line item on the Condensed Consolidated Statements of Operations and Comprehensive Income (Loss). All historical Condensed Consolidated Statements of Operations and Comprehensive Income (Loss) presented have been revised to reflect this presentation. Accordingly, results of the PBC Business have been excluded from continuing operations and group results for all periods presented in the condensed consolidated financial statements and the accompanying notes unless otherwise stated. Refer to Note 2 in the Notes to Condensed Consolidated Financial Statements for more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Reform</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reduces the U.S. federal corporate income tax rate from 35% to 21%, requires companies to pay a one-time transition tax on earnings of certain foreign subsidiaries that were previously tax deferred, and creates new taxes on certain foreign sourced earnings.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December 31, 2017, we made an estimate of the effects on the one-time transition tax and included this in our provisional amount. The ultimate impact could possibly differ materially from this provisional amount due to, among other things, additional analysis, changes in interpretations and assumptions we have made, and additional interpretive regulatory guidance that may be issued. In accordance with Staff Accounting Bulletin No. 118, we may record additional provisional amounts during a measurement period not to extend beyond one year of the enactment date of the Tax Act. The accounting is expected to be complete when our 2017 U.S. corporate income tax return is filed in 2018, and any measurement period adjustments will be recognized as income tax expense or benefit in 2018. As of June 30, 2018, no changes are expected to be made to this estimate.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80"/>
        <w:spacing w:after="0" w:line="402" w:lineRule="auto"/>
        <w:rPr>
          <w:sz w:val="20"/>
          <w:szCs w:val="20"/>
          <w:color w:val="auto"/>
        </w:rPr>
      </w:pPr>
      <w:r>
        <w:rPr>
          <w:rFonts w:ascii="Arial" w:cs="Arial" w:eastAsia="Arial" w:hAnsi="Arial"/>
          <w:sz w:val="18"/>
          <w:szCs w:val="18"/>
          <w:i w:val="1"/>
          <w:iCs w:val="1"/>
          <w:color w:val="auto"/>
        </w:rPr>
        <w:t xml:space="preserve">Three Months Ended June 30, 2018, Compared to the Three Months Ended June 30, 2017 </w:t>
      </w:r>
      <w:r>
        <w:rPr>
          <w:rFonts w:ascii="Arial" w:cs="Arial" w:eastAsia="Arial" w:hAnsi="Arial"/>
          <w:sz w:val="18"/>
          <w:szCs w:val="18"/>
          <w:u w:val="single" w:color="auto"/>
          <w:color w:val="auto"/>
        </w:rPr>
        <w:t>Overall Consolidated Results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38,402</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37,157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3,445</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309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(2,509)</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148,640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114,514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34,126</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29,413</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2,528</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308</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(1,849)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3,726</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8,637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3,437</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3,207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Restructuring and integration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1,585</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3,650</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Loss on extinguishment of debt and write-off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Derivative loss on change in interest rate swap fair value</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09"/>
        </w:trPr>
        <w:tc>
          <w:tcPr>
            <w:tcW w:w="5220" w:type="dxa"/>
            <w:vAlign w:val="bottom"/>
          </w:tcPr>
          <w:p>
            <w:pPr>
              <w:ind w:left="40"/>
              <w:spacing w:after="0"/>
              <w:rPr>
                <w:sz w:val="20"/>
                <w:szCs w:val="20"/>
                <w:color w:val="auto"/>
              </w:rPr>
            </w:pPr>
            <w:r>
              <w:rPr>
                <w:rFonts w:ascii="Arial" w:cs="Arial" w:eastAsia="Arial" w:hAnsi="Arial"/>
                <w:sz w:val="18"/>
                <w:szCs w:val="18"/>
                <w:color w:val="auto"/>
                <w:w w:val="95"/>
              </w:rPr>
              <w:t>Loss from continuing operations before benefit for income taxes and</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8,616</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(5,236)</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$38.4 million, or 24%, in the second quarter of 2018 compared to the second quarter of 2017 primarily due to $37.2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net sales attributable to the Paragon Medical, Bridgemedica, and Vandalia businesses acquired in our Life Sciences group. Higher volumes contributed another $3.4 million to the increase primarily as a result of demand improvements within the automotive end market. Overall, from the three months ended June 30, 2017, to the three months ended June 30, 2018, net sales increased by $1.4 million for our Mobile Solutions group, increased by $1.1 million for our Power Solutions group, and increased by $36.0 million for our Life Sciences group, respectfully. In the three months ended June 30, 2018 and 2017, sales of $0.7 million and $0.6 million, respectively, between our Power Solutions and Life Sciences groups were eliminated in consolidation.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$29.4 million in cost of sales attributable to the Paragon Medical, Bridgemedica, and</w:t>
      </w:r>
      <w:r>
        <w:rPr>
          <w:rFonts w:ascii="Arial" w:cs="Arial" w:eastAsia="Arial" w:hAnsi="Arial"/>
          <w:sz w:val="18"/>
          <w:szCs w:val="18"/>
          <w:i w:val="1"/>
          <w:iCs w:val="1"/>
          <w:color w:val="auto"/>
        </w:rPr>
        <w:t xml:space="preserve"> </w:t>
      </w:r>
      <w:r>
        <w:rPr>
          <w:rFonts w:ascii="Arial" w:cs="Arial" w:eastAsia="Arial" w:hAnsi="Arial"/>
          <w:sz w:val="18"/>
          <w:szCs w:val="18"/>
          <w:color w:val="auto"/>
        </w:rPr>
        <w:t>Vandalia acquisitions, including $3.4 million for a one-time increase in cost of sales for inventory fair value adjustment for Paragon Medical. Higher volumes also contributed $2.5 million to the increase, consistent with the increase in sales demand. Increases were partially offset by $1.8 million in cost savings from production process improvement projects.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in selling, general and administrative expense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compared to the three months ended June 30, 2017, was due to infrastructure and</w:t>
      </w:r>
    </w:p>
    <w:p>
      <w:pPr>
        <w:sectPr>
          <w:pgSz w:w="11900" w:h="16838" w:orient="portrait"/>
          <w:cols w:equalWidth="0" w:num="1">
            <w:col w:w="11360"/>
          </w:cols>
          <w:pgMar w:left="240" w:top="125"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25" w:right="2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staffing costs incurred related to our strategic initiatives, including integration of recent acquisitions and a global implementation of an enterprise resource planning (“ERP”) system. The Paragon Medical, Bridgemedica, and Vandalia businesses contributed $1.5 million to selling, general and administrative expense during the three months ended June 30, 2018, which was not present during the three months ended June 30, 2017, prior to the acquisitions.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in connection with the Life Sciences acquisitions.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depreciation and amortization during the three months ended June 30, 2018,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2017, was consistent with additions to intangible assets and property, plant and equipment, including $2.8 million from the Paragon Medical, Bridgemedica, and Vandalia businesses. This additional depreciation and amortization includes the related fair value adjustments to certain property, plant and equipment and the addition of intangible assets, principally for customer relationships and trade names.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increase in restructuring and integration expense was primarily due to employee severance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Paragon Medical acquisition. Note 11 in the Notes to Condensed Consolidated Financial Statements provides more information regarding the effects of restructuring and integration on our operating results.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$3.7 million during the three months ended June 30, 2018, compared to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interest on the Second Lien Facility which was not in place during the three months ended June 30, 2017, and bears interest at a higher rate than our existing credit facility. This increase was partially offset by further interest savings resulting from the refinancing of the Senior Secured Term Loan and the Incremental Term Loan on November 24, 2017.</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14,875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11,451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interest (1)</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15,988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12,338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(1)  Capitalized interest primarily relates to equipment construction efforts at various plants.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The $12.9 million write-off in 2018 resulted from costs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facility and the amendment to the existing credit facility. The $39.6 million write-off in 2017 resulted from the extinguishment of our Senior Notes and modification of our credit facility on April 3, 2017.</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19.1% for the three months ended June 30, 2018, compared to 30.5%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2017. Note 9 in the Notes to Condensed Consolidated Financial Statements describes the components of income taxes for each period presented.</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Our share of net income from a Chinese joint venture in our Mobile Solutions group decreased by $0.6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net income decreased primarily due to price and volume decreases and increased raw material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86,658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1,421</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jc w:val="right"/>
              <w:ind w:right="39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2,363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263</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(1,205)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10,688</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74"/>
              <w:spacing w:after="0"/>
              <w:rPr>
                <w:sz w:val="20"/>
                <w:szCs w:val="20"/>
                <w:color w:val="auto"/>
              </w:rPr>
            </w:pPr>
            <w:r>
              <w:rPr>
                <w:rFonts w:ascii="Arial" w:cs="Arial" w:eastAsia="Arial" w:hAnsi="Arial"/>
                <w:sz w:val="18"/>
                <w:szCs w:val="18"/>
                <w:color w:val="auto"/>
                <w:w w:val="94"/>
              </w:rPr>
              <w:t>(3,308)</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increased during the second quarter of 2018 from the second quarter of 2017 due to market demand improvements for our steering systems application components resulting from an industry shift from hydraulics to electric-assist steering systems technology. We are realizing the indirect benefits of our customers taking an increasing portion of market share. Also, as the Brazilian economy improves, demand for automotive products is increasing. These volume increases were partially offset by price reductions granted to our customers.</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Income from operations decreased by $3.3 million compared to prior year due to various factors including higher start-up costs related to new product launches, lower pricing as noted above, and higher depreciation and lease expenses. These factors were partially offset by implementation of cost savings initiatives and the beneficial impact of higher production volumes.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48,734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3"/>
              </w:rPr>
              <w:t>1,086</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1,050</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46</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(10)</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(819)</w:t>
            </w:r>
          </w:p>
        </w:tc>
        <w:tc>
          <w:tcPr>
            <w:tcW w:w="8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sales increased during the second quarter of 2018 from the second quarter of 2017 primarily due to growth in the electrical products business.</w:t>
      </w:r>
    </w:p>
    <w:p>
      <w:pPr>
        <w:spacing w:after="0" w:line="23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Income from operations decreased by $0.8 million primarily due to a shift in product mix toward higher cost raw materials, such as precious metals used in power control products, and investments in the development of new products that we are preparing to launch in the aerospace end market later in 2018. Higher sales volumes partially offset these increased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23,114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87"/>
              </w:rPr>
              <w:t>36,039</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37,157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32</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(1,150)</w:t>
            </w:r>
          </w:p>
        </w:tc>
      </w:tr>
      <w:tr>
        <w:trPr>
          <w:trHeight w:val="297"/>
        </w:trPr>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4"/>
              </w:rPr>
              <w:t>(1,757)</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increased during the second quarter of 2018 from the second quarter of 2017 primarily due to $37.2 million of net sales attributable to the Paragon Medical, Bridgemedica, and Vandalia acquisitions.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Income from operations decreased by $1.8 million primarily due to $3.4 million in cost of sales for inventory fair value adjustment at Paragon Medical, acquisition related restructuring and integration costs, and other costs of establishing the Life Sciences Group.</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320"/>
        <w:spacing w:after="0" w:line="402" w:lineRule="auto"/>
        <w:rPr>
          <w:sz w:val="20"/>
          <w:szCs w:val="20"/>
          <w:color w:val="auto"/>
        </w:rPr>
      </w:pPr>
      <w:r>
        <w:rPr>
          <w:rFonts w:ascii="Arial" w:cs="Arial" w:eastAsia="Arial" w:hAnsi="Arial"/>
          <w:sz w:val="18"/>
          <w:szCs w:val="18"/>
          <w:i w:val="1"/>
          <w:iCs w:val="1"/>
          <w:color w:val="auto"/>
        </w:rPr>
        <w:t xml:space="preserve">Six Months Ended June 30, 2018, Compared to the Six Months Ended June 30, 2017 </w:t>
      </w:r>
      <w:r>
        <w:rPr>
          <w:rFonts w:ascii="Arial" w:cs="Arial" w:eastAsia="Arial" w:hAnsi="Arial"/>
          <w:sz w:val="18"/>
          <w:szCs w:val="18"/>
          <w:u w:val="single" w:color="auto"/>
          <w:color w:val="auto"/>
        </w:rPr>
        <w:t>Overall Consolidated Results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315,502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49,995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46,139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4,710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2,522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(3,376)</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275,084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228,994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46,090</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36,711</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3,675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1,946</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(5,404)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9,162</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14,173</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5,213</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25,622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4,917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Restructuring and integration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2,329</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(23,093)</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27,177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Loss on extinguishment of debt and write-off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(26,701)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Derivative loss on change in interest rate swap fair value</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05"/>
        </w:trPr>
        <w:tc>
          <w:tcPr>
            <w:tcW w:w="52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3"/>
              </w:rPr>
              <w:t>Loss from continuing operations before benefit for income taxes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and share of net income from joint venture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(1,459)</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10,754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(10,754)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(16,767)</w:t>
            </w: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$50.0 million, or 16%, in the six months ended June 30, 2018, compared to the six months ended June 30, 2017,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$46.1 million of net sales attributable to the Paragon Medical, Bridgemedica, and Vandalia businesses acquired in our Life Sciences group. Higher volumes contributed another $4.7 million to the increase primarily as a result of demand improvements within the automotive end market. Overall, from the six months ended June 30, 2017, to the six months ended June 30, 2018, net sales increased by $4.8 million for our Mobile Solutions group, increased by $1.3 million for our Power Solutions group, and increased by $44.1 million for our Life Sciences group, respectfully. In the six months ended June 30, 2018 and 2017, sales of $1.2 million and $1.0 million, respectively, between our Power Solutions and Life Sciences groups were eliminated in consolidation.</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$36.7 million in cost of sales attributable to the Paragon Medical, Bridgemedica, and</w:t>
      </w:r>
      <w:r>
        <w:rPr>
          <w:rFonts w:ascii="Arial" w:cs="Arial" w:eastAsia="Arial" w:hAnsi="Arial"/>
          <w:sz w:val="18"/>
          <w:szCs w:val="18"/>
          <w:i w:val="1"/>
          <w:iCs w:val="1"/>
          <w:color w:val="auto"/>
        </w:rPr>
        <w:t xml:space="preserve"> </w:t>
      </w:r>
      <w:r>
        <w:rPr>
          <w:rFonts w:ascii="Arial" w:cs="Arial" w:eastAsia="Arial" w:hAnsi="Arial"/>
          <w:sz w:val="18"/>
          <w:szCs w:val="18"/>
          <w:color w:val="auto"/>
        </w:rPr>
        <w:t>Vandalia acquisitions, including $3.4 million for a one-time increase in cost of sales for inventory fair value adjustment for Paragon Medical. Higher volumes also contributed $3.7 million to the increase, consistent with the increase in sales demand. Increases were partially offset by $5.4 million in cost savings from production process improvement projects.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in selling, general and administrative expense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compared to the six months ended June 30, 2017, was due to infrastructure and staffing costs incurred related to our strategic initiatives, including integration of recent acquisitions and a global implementation of an enterprise resource planning (“ERP”) system. The Paragon Medical, Bridgemedica, and Vandalia businesses contributed $2.0 million to selling, general and administrative expense during the six months ended June 30, 2018, which was not present during the six months ended June 30, 2017, prior to the acquisitions.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in connection with the Life Sciences acquisitions.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depreciation and amortization during the six months ended June 30, 2018,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2017, was consistent with additions to intangible assets and property, plant and equipment, including $3.5 million from the Paragon Medical, Bridgemedica, and Vandalia businesses. This additional depreciation and amortization includes the related step-ups of certain property, plant and equipment to fair value and the addition of intangible assets, principally for customer relationships and trade names.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increase in restructuring and integration expense was primarily due to employee severance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implementing our new enterprise and management structure. Note 11 in the Notes to Condensed Consolidated Financial Statements provides more information regarding the effects of restructuring and integration on our operating results.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$0.8 million during the six months ended June 30, 2018, compared to the six months ended June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interest on the Second Lien Facility which was not in place during the six months ended June 30, 2017, and bears interest at a higher rate than our existing credit facility. This increase was partially offset by the redemption of our Senior Notes on April 3, 2017, with the proceeds of our Incremental Term Loan, which bears an interest rate based on LIBOR which is lower than the 10.25% fixed interest rate on the Senior Notes. Further interest savings resulted from the refinancing of the Senior Secured Term Loan and the Incremental Term Loan on November 24, 2017.</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25,839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25,098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interest (1)</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27,984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27,177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(1)  Capitalized interest primarily relates to equipment construction efforts at various plants.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The $12.9 million write-off in 2018 resulted from costs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facility and the amendment to the existing credit facility. The $39.6 million write-off in 2017 resulted from the extinguishment of our Senior Notes and modification of our credit facility on April 3,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18.2% for the six months ended June 30, 2018, compared to 31.3%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Note 9 in the Notes to Condensed Consolidated Financial Statements describes the components of income taxes for each period presented.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Our share of net income from a Chinese joint venture in our Mobile Solutions group decreased by $1.5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net income decreased primarily due to price decreases and increased raw material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electromechanical motors on a high-volume basis. This expertise has been gained through investment in technical capabilities, processes and systems, and skilled program management and product launch capabilities.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4,769</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tcPr>
          <w:p>
            <w:pPr>
              <w:jc w:val="right"/>
              <w:ind w:right="39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4,750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2,429</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(2,410)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(4,124)</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sales increased during the six months ended June 30, 2018, from the six months ended June 30, 2017, due to market demand improvements for our steering systems application components resulting from an industry shift from hydraulics to electric-assist steering systems technology. We are realizing the indirect benefits of our customers taking an increasing portion of market share. Also, as the Brazilian economy improves, demand for automotive products is increasing. These volume increases were partially offset by price reductions granted to our customers.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Income from operations decreased by $4.1 million compared to prior year due to higher start-up costs related to new product launches, lower pricing as noted above, and higher depreciation and lease expenses. These factors were partially offset by implementation of cost savings initiatives and the beneficial impact of higher production volumes.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97,158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1,344</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1,251</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93</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11,233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94"/>
              <w:spacing w:after="0"/>
              <w:rPr>
                <w:sz w:val="20"/>
                <w:szCs w:val="20"/>
                <w:color w:val="auto"/>
              </w:rPr>
            </w:pPr>
            <w:r>
              <w:rPr>
                <w:rFonts w:ascii="Arial" w:cs="Arial" w:eastAsia="Arial" w:hAnsi="Arial"/>
                <w:sz w:val="18"/>
                <w:szCs w:val="18"/>
                <w:color w:val="auto"/>
                <w:w w:val="94"/>
              </w:rPr>
              <w:t>(2,381)</w:t>
            </w: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increased during the six months ended June 30, 2018, from the six months ended June 30, 2017, primarily due to growth in the electrical products business.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Income from operations decreased by $2.4 million primarily due to a shift in product mix toward higher cost raw materials, such as precious metals used in power control products, and investments in the development of new products that we are preparing to launch in the aerospace end market later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46,243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4"/>
              </w:rPr>
              <w:t>44,110</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46,139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(1,291)</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(738)</w:t>
            </w:r>
          </w:p>
        </w:tc>
      </w:tr>
      <w:tr>
        <w:trPr>
          <w:trHeight w:val="297"/>
        </w:trPr>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(1,175)</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Net sales increased during the six months ended June 30, 2018, from the six months ended June 30, 2017, primarily due to $46.1 million of net sales attributable to the Paragon Medical, Bridgemedica, and Vandalia acquisitions, partially offset by a $1.3 million reduction in core volume which was attributable to a single customer.</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Income from operations decreased by $1.2 million primarily due to $3.4 million in cost of sales for inventory fair value adjustment at Paragon Medical, acquisition related restructuring and integration costs, other costs associated with establishing the Life Sciences Group, and lower core volume as noted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2017, to June 30, 2018</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From December 31, 2017, to June 30, 2018, total assets increased by $286.1 million primarily due to assets acquired with the Paragon Medical and Bridgemedica businesses which had $466.4 million of total assets as of June 30, 2018. Paragon Medical and Bridgemedica contributed $165.5 million to the increase in goodwill and $169.9 million to intangible assets. Overall, accounts receivable increased consistently with sales growth. Inventories increased as our plants satisfy customer demand. Days inventory outstanding increased slightly by approximately two days due to normal seasonal inventory building activity. Partially offsetting these increases was a $201.2 million decrease in cash to fund the Paragon Medical and Bridgemedica acquisitions and capital expenditures as well as working capital needs.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December 31, 2017, to June 30, 2018, total liabilities increased by $328.9 million, primarily related to new debt used to partially finance the Paragon Medical acquisition. Paragon Medical and Bridgemedica contributed $63.8 million to the increase in total liabilities.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income taxes payable, current maturities of long-term debt, and other current liabilities, was $224.5 million as of June 30, 2018, compared to $368.9 million as of December 31, 2017. The decrease in working capital was due primarily to the decrease in cash used to fund acquisitions and capital expenditures.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Cash used by operations was $19.4 million for the six months ended June 30, 2018, compared with cash provided by operations of $15.8 million for the six months ended June 30, 2017. The difference was primarily due to the decrease in income from operations. The components of the decrease in income from operations are discussed in the “Results of Operations” section. Additionally, cash provided by operating activities for discontinued operations was $8.7 million for the six months ended June 30, 2017, and was not present in the six months ended June 30, 2018.</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used by investing activities was $421.7 million for the six months ended June 30, 2018, compared with cash used by investing activities of $20.0 million for the six months ended June 30, 2017. The difference was primarily due to cash paid for the Paragon Medical and Bridgemedica acquisitions and capital expenditures. Cash used by investing activities for discontinued operations was $5.2 million for the six months ended June 30,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was $240.7 million for the six months ended June 30, 2018, compared with cash provided by financing activities of $8.2 million for the six months ended June 30, 2017. The difference was primarily due to proceeds from the new debt facility used to partially finance the Paragon Medical acquisition.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Aggregate principal amounts outstanding under the Senior Secured Term Loan, the Incremental Term Loan, the Senior Secured Revolver, and the Second Lien Facility as of June 30, 2018, were $1,087.2 million (without regard to debt issuance costs). As of June 30, 2018, we could borrow up to $29.6 million under the Senior Secured Revolver, subject to certain limitations. This amount of availability is net of $2.4 million of outstanding letters of credit at June 30, 2018, which are considered as usage of the Senior Secured Revolver.</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Collectively, our Senior Secured Term Loan, Incremental Term Loan, and Senior Secured Revolver comprise our credit facility. Our credit facility is subject to certain financial covenants based on a consolidated net leverage ratio, as defined in the credit facility agreement. The financial covenants are effective when we have outstanding amounts drawn on our Senior Secured Revolver on the last day of any fiscal quarter and become more restrictive over time. We had $68.0 million outstanding balance on the Senior Secured Revolver as of June 30, 2018, and were in compliance with all covenants under our credit facility and expect to be in compliance with all covenants through June 30, 2019.</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rate plus an applicable margin of 3.75%. Based on the outstanding balance at June 30, 2018, annual interest payments would have been $31.2 million.</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Incremental Term Loan requires quarterly principal payments of $3.0 million through April 3, 2021, with the remaining principal amount due on the maturity date. Based on the outstanding balance at June 30, 2018, annual interest payments would have been $15.2 million.</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Senior Secured Revolver bears interest at a rate of one-month LIBOR plus an applicable margin of 3.50%. Based on the outstanding balance at June 30, 2018, annual interest payments would have been $3.8 million. In connection with the closing of the Paragon Medical acquisition on May 7, 2018, we entered into an amendment to our existing credit facility to permit the Paragon Medical acquisition, to permit the Second Lien Credit Agreement, and to amend certain covenants.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entered into the $200.0 million Second Lien Facility on May 7, 2018, to partially fund the Paragon Medical acquisition. The Second Lien Facility matures on April 19, 2023. The Second Lien Facility bears interest at a rate of one-month LIBOR plus an applicable margin of 8.00%. Based on the outstanding balance at June 30, 2018, annual interest payments would have been $20.2 million. We may voluntarily prepay outstanding loans under the Second Lien Facility, in whole or in part without premium or penalty at any time on or after May 7, 2020. We are subject to a prepayment penalty of 2% of the amount of such loans that we prepay before May 7, 2019. If we prepay any outstanding loans after May 7, 2019, but prior to May 7, 2020, we are subject to a prepayment penalty of 1% of the amount prepaid. The Second Lien Credit Agreement requires us to prepay outstanding loans, subject to certain exceptions, with: (i) a variable percentage of excess cash flow; (ii) 100% of the net cash proceeds of non-ordinary course asset sales or other dispositions of property, and 100% of the net cash proceeds from certain insurance and condemnation events with respect to our assets, subject to customary thresholds and reinvestment rights; and (iii) 100% of the net cash proceeds from the issuance or incurrence of debt obligations for borrowed money not permitted by the Second Lien Credit Agreement.</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funds generated from our consolidated continuing operations and existing cash will provide sufficient cash flow to service the required debt and interest payments under our existing credit facility. The absence of cash flows from discontinued operations is not expected to significantly affect our ability to service our debt.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is elevated. Various strategies to manage this risk are available to management, including producing and selling in local currencies and hedging programs. As of June 30, 2018, no currency derivatives were in place. In addition, a strengthening of the U.S. dollar and/or euro against foreign currencies could impair our ability to compete with international competitors for foreign as well as domestic sales.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next twelve months, we expect capital expenditures to remain relatively consistent, the majority of which relate to new or expanded business or continuous improvement programs. We believe that funds generated from continuing operations and borrowings from the credit facility will be sufficient to finance capital expenditures and working capital needs through this period. The absence of cash flows from discontinued operations is not expected to significantly affect our ability to finance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capital expenditures or working capital needs. We base these assertions on current availability for borrowing of up to $29.6 million and forecasted positive cash flow from continuing operations for the next twelve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2017 Annual Report, including those policies as discussed in Note 1 to the Notes to Consolidated Financial Statements included in the 2017 Annual Report. There have been no changes to these policies during the six months ended June 30, 2018, except as discussed in Note 1 to the Notes to Condensed Consolidated Financial Statements included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 on Form 10-Q.</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June 30, 2018, we had $534.3 million of principal outstanding under the variable rate Senior Secured Term Loan, without regard to debt issuance costs. At June 30, 2018, a one-percent increase in the interest rate charged on outstanding variable rate borrowings under the Senior Secured Term Loan would result in interest expense increasing annually by approximately $5.3 million.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June 30, 2018, we had $285.0 million of principal outstanding under the Incremental Term Loan, without regard to debt issuance costs. At June 30, 2018, a one-percent increase in the interest rate charged on outstanding variable rate borrowings under the Incremental Term Loan would result in interest expense increasing annually by approximately $2.9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June 30, 2018, we had $68.0 million of principal outstanding under the Senior Secured Revolver, without regard to debt issuance costs. At June 30, 2018, a one-percent increase in the interest rate charged on outstanding variable rate borrowings under the Senior Secured Revolver would result in interest expense increasing annually by approximately $0.7 million.</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June 30, 2018, we had $200.0 million of principal outstanding under the Second Lien Facility, without regard to debt issuance costs. At June 30, 2018, a one-percent increase in the interest rate charged on outstanding variable rate borrowings under the Second Lien Facility would result in interest expense increasing annually by approximately $2.0 million.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 As of June 30, 2018, we had no interest rate swaps.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2018.</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June 30, 2018,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previously disclosed in our 2017 Annual Report the following control deficiencies that constitute material weaknesses in our internal control over financial reporting:</w:t>
      </w:r>
    </w:p>
    <w:p>
      <w:pPr>
        <w:spacing w:after="0" w:line="76" w:lineRule="exact"/>
        <w:rPr>
          <w:sz w:val="20"/>
          <w:szCs w:val="20"/>
          <w:color w:val="auto"/>
        </w:rPr>
      </w:pPr>
    </w:p>
    <w:p>
      <w:pPr>
        <w:ind w:left="640" w:right="100" w:hanging="321"/>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w:t>
      </w:r>
    </w:p>
    <w:p>
      <w:pPr>
        <w:spacing w:after="0" w:line="1" w:lineRule="exact"/>
        <w:rPr>
          <w:rFonts w:ascii="Arial" w:cs="Arial" w:eastAsia="Arial" w:hAnsi="Arial"/>
          <w:sz w:val="18"/>
          <w:szCs w:val="18"/>
          <w:color w:val="auto"/>
        </w:rPr>
      </w:pPr>
    </w:p>
    <w:p>
      <w:pPr>
        <w:ind w:left="640" w:right="80" w:hanging="321"/>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maintain effective controls over information and communication as it relates to the accounting for income taxes. Specifically, we did not implement and reinforce an adequate process for communication and information sharing necessary to support the functioning of internal control between our tax group and our corporate accounting group.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contributed to the material weaknesses described below:</w:t>
      </w:r>
    </w:p>
    <w:p>
      <w:pPr>
        <w:spacing w:after="0" w:line="131" w:lineRule="exact"/>
        <w:rPr>
          <w:sz w:val="20"/>
          <w:szCs w:val="20"/>
          <w:color w:val="auto"/>
        </w:rPr>
      </w:pPr>
    </w:p>
    <w:p>
      <w:pPr>
        <w:ind w:left="640" w:right="80" w:hanging="321"/>
        <w:spacing w:after="0" w:line="288"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did not design and maintain effective internal controls over the accounting for business combinations, which specifically included not designing and maintaining effective controls over the (a) accuracy, valuation and presentation and disclosure for allocating goodwill to our international businesses and (b) completeness, accuracy and valuation of deferred income taxes recorded in connection with business combinations;</w:t>
      </w:r>
    </w:p>
    <w:p>
      <w:pPr>
        <w:ind w:left="640" w:right="460" w:hanging="321"/>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material weaknesses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resulted in a revision to previously issued financial statements as discussed in Note 1 and Note 17 in the Notes to Condensed Consolidated Financial Statements presented in Item 1 of this Quarterly Report.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Notwithstanding such material weaknesses, our Chief Executive Officer and Chief Financial Officer have concluded that our condensed consolidated financial statements in this Quarterly Report on Form 10-Q present fairly, and in all material respects,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our financial position, results of operations and cash flows for the periods presented in conformity with U.S. generally accepted accounting principles.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Building on our efforts during 2016 and 2017, with the oversight of the Audit Committee of our Board of Directors, we continue to dedicate significant resources and efforts to improve our control environment and to take steps to remediate the material weaknesses identified above. During the second quarter, we completed our gap analysis of our business combinations and income taxes processes supporting internal control over financial reporting to identify areas where new controls are needed and where existing controls need to be enhanced. Based on that analysis, we developed a comprehensive workplan for remediation of the four material weaknesses. This workplan includes detailed process by process work flows with completion dates and responsible parties. We regularly track our progress on completion of the workplan and provide periodic updates to the Audit Committee on our progress.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Remediation Efforts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address the material weakness associated with an insufficient complement of personnel with an appropriate level of knowledge, experience, and training commensurate with our financial reporting requirements, during the second quarter, we hired a Chief Accounting Officer based in our corporate headquarters and Finance Directors in our new Life Sciences and Power Solutions groups. Each of these individuals has significant experience in technical accounting matters and internal controls commensurate with our public company reporting requirements.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address the material weaknesses associated with the accounting for business combinations and income taxes, we completed a gap analysis of our key controls during the second quarter. Through this analysis we identified areas where new controls were needed as well as areas where control enhancements to our existing controls were necessary. We developed and implemented these controls as part of our second quarter close process and will continue to enhance or modify these controls in future periods if needed.</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address the material weakness associated with information and communication as it relates to the accounting for income taxes and the information sharing necessary to support the functioning of internal control between our tax group and corporate accounting group, we have implemented formal, scheduled meetings which enable us to communicate and share information necessary for the appropriate accounting of income taxes and business combinations matters as well as other matters. We have also clarified roles and responsibilities within and between our finance and tax teams and have included members of our tax team in the execution of certain controls that previously did not have functional tax involvement. These newly implemented formalized meetings are held before and after the finalization of our income tax accounts during the close process. We have implemented these processes and will continue to enhance or modify them as necessary to support the sharing of information between our tax group and corporate accounting group.</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the items above we are working to strengthen the internal control environment for financial reporting through the use of lean office and continuous improvement tools to identify areas for improvement and optimization in our various financial workflows. We have also conducted training on policies and procedures, standardizing business practices, effective communication, strategic thinking, leadership, and process improvement within various financial functional areas including a worldwide financial leaders’ summit.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Efforts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the measures described above will facilitate the remediation of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controls operate for a sufficient period of time and management has concluded, through testing, that these controls are operating effectively.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described above in the “Remediation Plan for Material Weaknesses” section, there were changes during the fiscal quarter ended June 30, 2018, in our internal control over financial reporting that have materially affected, or are reasonably likely to materially affect, our internal control over financial reporting.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Prior to the acquisition of Autocam Corporation in 2014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June 30, 2018, for this matter. There was no material change in the status of this matter from December 31, 2017, to June 30, 2018.</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to the risk factors disclosed in our 2017 Annual Report on Form 10-K for the fiscal year ended December 31, 2017, which was filed with the SEC on April 2, 2018, under Item 1A. “Risk Factors.”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20" w:type="dxa"/>
            <w:vAlign w:val="bottom"/>
            <w:gridSpan w:val="4"/>
          </w:tcPr>
          <w:p>
            <w:pPr>
              <w:ind w:left="240"/>
              <w:spacing w:after="0"/>
              <w:rPr>
                <w:sz w:val="20"/>
                <w:szCs w:val="20"/>
                <w:color w:val="auto"/>
              </w:rPr>
            </w:pPr>
            <w:r>
              <w:rPr>
                <w:rFonts w:ascii="Arial" w:cs="Arial" w:eastAsia="Arial" w:hAnsi="Arial"/>
                <w:sz w:val="18"/>
                <w:szCs w:val="18"/>
                <w:b w:val="1"/>
                <w:bCs w:val="1"/>
                <w:color w:val="auto"/>
                <w:w w:val="89"/>
              </w:rPr>
              <w:t>Unregistered Sales of Equity Securities and Use of Proceeds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49"/>
        </w:trPr>
        <w:tc>
          <w:tcPr>
            <w:tcW w:w="1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r>
      <w:tr>
        <w:trPr>
          <w:trHeight w:val="149"/>
        </w:trPr>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Shares Purchased</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5"/>
              </w:rPr>
              <w:t>Approximate Dollar Value)</w:t>
            </w:r>
          </w:p>
        </w:tc>
      </w:tr>
      <w:tr>
        <w:trPr>
          <w:trHeight w:val="149"/>
        </w:trPr>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as Part of Publicly</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2"/>
              </w:rPr>
              <w:t>of Shares That May Yet</w:t>
            </w:r>
          </w:p>
        </w:tc>
      </w:tr>
      <w:tr>
        <w:trPr>
          <w:trHeight w:val="149"/>
        </w:trPr>
        <w:tc>
          <w:tcPr>
            <w:tcW w:w="10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Total Number of</w:t>
            </w:r>
          </w:p>
        </w:tc>
        <w:tc>
          <w:tcPr>
            <w:tcW w:w="18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Average Price Paid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Announced Plans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1"/>
              </w:rPr>
              <w:t>Be Purchased Under the</w:t>
            </w:r>
          </w:p>
        </w:tc>
      </w:tr>
      <w:tr>
        <w:trPr>
          <w:trHeight w:val="188"/>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Shares Purchased (1)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Plan or Programs (1)</w:t>
            </w: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2018</w:t>
            </w:r>
          </w:p>
        </w:tc>
        <w:tc>
          <w:tcPr>
            <w:tcW w:w="48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18,399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ind w:left="40"/>
              <w:spacing w:after="0"/>
              <w:rPr>
                <w:sz w:val="20"/>
                <w:szCs w:val="20"/>
                <w:color w:val="auto"/>
              </w:rPr>
            </w:pPr>
            <w:r>
              <w:rPr>
                <w:rFonts w:ascii="Arial" w:cs="Arial" w:eastAsia="Arial" w:hAnsi="Arial"/>
                <w:sz w:val="18"/>
                <w:szCs w:val="18"/>
                <w:color w:val="auto"/>
              </w:rPr>
              <w:t>May 2018</w:t>
            </w: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160" w:type="dxa"/>
            <w:vAlign w:val="bottom"/>
          </w:tcPr>
          <w:p>
            <w:pPr>
              <w:ind w:left="188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2018</w:t>
            </w:r>
          </w:p>
        </w:tc>
        <w:tc>
          <w:tcPr>
            <w:tcW w:w="2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Pr>
          <w:p>
            <w:pPr>
              <w:ind w:left="40"/>
              <w:spacing w:after="0"/>
              <w:rPr>
                <w:sz w:val="20"/>
                <w:szCs w:val="20"/>
                <w:color w:val="auto"/>
              </w:rPr>
            </w:pPr>
            <w:r>
              <w:rPr>
                <w:rFonts w:ascii="Arial" w:cs="Arial" w:eastAsia="Arial" w:hAnsi="Arial"/>
                <w:sz w:val="18"/>
                <w:szCs w:val="18"/>
                <w:color w:val="auto"/>
              </w:rPr>
              <w:t>Total</w:t>
            </w:r>
          </w:p>
        </w:tc>
        <w:tc>
          <w:tcPr>
            <w:tcW w:w="3060" w:type="dxa"/>
            <w:vAlign w:val="bottom"/>
            <w:gridSpan w:val="2"/>
          </w:tcPr>
          <w:p>
            <w:pPr>
              <w:spacing w:after="0"/>
              <w:rPr>
                <w:sz w:val="20"/>
                <w:szCs w:val="20"/>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18,399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ind w:left="188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ind w:left="340" w:right="12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12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10120" w:type="dxa"/>
            <w:vAlign w:val="bottom"/>
            <w:gridSpan w:val="19"/>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300" w:type="dxa"/>
            <w:vAlign w:val="bottom"/>
            <w:gridSpan w:val="2"/>
          </w:tcPr>
          <w:p>
            <w:pPr>
              <w:ind w:left="76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80" w:type="dxa"/>
            <w:vAlign w:val="bottom"/>
            <w:gridSpan w:val="1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No.</w:t>
            </w:r>
          </w:p>
        </w:tc>
        <w:tc>
          <w:tcPr>
            <w:tcW w:w="6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Stock Purchase Agreement, dated as of April 2, 2018, by and among Precision Engineered Products LLC, NN, Inc., PMG</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Intermediate Holding Corporation and Paragon Equity LLC (incorporated by reference to Exhibit 2.1 to NN, Inc.’s</w:t>
              </w:r>
            </w:hyperlink>
          </w:p>
        </w:tc>
        <w:tc>
          <w:tcPr>
            <w:tcW w:w="500" w:type="dxa"/>
            <w:vAlign w:val="bottom"/>
            <w:tcBorders>
              <w:top w:val="single" w:sz="8" w:color="0000FF"/>
            </w:tcBorders>
            <w:gridSpan w:val="4"/>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Current Report on Form 8-K filed on April 3, 2018).</w:t>
              </w:r>
            </w:hyperlink>
          </w:p>
        </w:tc>
        <w:tc>
          <w:tcPr>
            <w:tcW w:w="50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bottom w:val="single" w:sz="8" w:color="0000FF"/>
            </w:tcBorders>
            <w:gridSpan w:val="15"/>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Commitment Letter, dated as of April 2, 2018, by and among NN, Inc., SunTrust Bank and SunTrust Robinson Humphrey,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Inc. (incorporated by reference to Exhibit 10.1 to NN, Inc.’s Current Report on Form 8-K filed on April 3, 2018).</w:t>
              </w:r>
            </w:hyperlink>
          </w:p>
        </w:tc>
        <w:tc>
          <w:tcPr>
            <w:tcW w:w="7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tcBorders>
              <w:bottom w:val="single" w:sz="8" w:color="0000FF"/>
            </w:tcBorders>
            <w:gridSpan w:val="14"/>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Amendment No. 4 to Amended and Restated Credit Agreement, dated May 7, 2018, by and among NN, Inc., the affiliated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Guarantors party thereto, SunTrust Bank, SunTrust Robinson Humphrey, Inc. and the Lenders party thereto. (incorporated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by reference to Exhibit 10.1 to NN, Inc.’s Current Report on Form 8-K filed on May 7, 2018).</w:t>
              </w:r>
            </w:hyperlink>
          </w:p>
        </w:tc>
        <w:tc>
          <w:tcPr>
            <w:tcW w:w="2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Second Lien Credit Agreement, dated May 7, 2018, by and among NN, Inc., the affiliated Guarantors party thereto,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SunTrust Bank, SunTrust Robinson Humphrey, Inc. and the Lenders party thereto (incorporated by reference to Exhibit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r>
                <w:rPr>
                  <w:rFonts w:ascii="Arial" w:cs="Arial" w:eastAsia="Arial" w:hAnsi="Arial"/>
                  <w:sz w:val="18"/>
                  <w:szCs w:val="18"/>
                  <w:color w:val="0000FF"/>
                  <w:w w:val="92"/>
                </w:rPr>
                <w:t xml:space="preserve"> to NN, Inc.’s Current Report on Form 8-K filed on May 7, 2018).</w:t>
              </w:r>
            </w:hyperlink>
          </w:p>
        </w:tc>
        <w:tc>
          <w:tcPr>
            <w:tcW w:w="3520" w:type="dxa"/>
            <w:vAlign w:val="bottom"/>
            <w:tcBorders>
              <w:top w:val="single" w:sz="8" w:color="0000FF"/>
            </w:tcBorders>
            <w:gridSpan w:val="7"/>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Principal Executive Officer Pursuant to Rules 13a-14(a) and 15d-14(a) under the Securities Exchange Act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of 1934, as amended.</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Principal Financial Officer Pursuant to Rules 13a-14(a) and 15d-14(a) under the Securities Exchange Act</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of 1934, as amended.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1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5"/>
          </w:tcPr>
          <w:p>
            <w:pPr>
              <w:jc w:val="right"/>
              <w:ind w:right="540"/>
              <w:spacing w:after="0"/>
              <w:rPr>
                <w:sz w:val="20"/>
                <w:szCs w:val="20"/>
                <w:color w:val="auto"/>
              </w:rPr>
            </w:pPr>
            <w:r>
              <w:rPr>
                <w:rFonts w:ascii="Arial" w:cs="Arial" w:eastAsia="Arial" w:hAnsi="Arial"/>
                <w:sz w:val="18"/>
                <w:szCs w:val="18"/>
                <w:color w:val="auto"/>
              </w:rPr>
              <w:t>45</w:t>
            </w: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Date: August 9, 2018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(Duly Authorized Officer)</w:t>
      </w:r>
    </w:p>
    <w:p>
      <w:pPr>
        <w:spacing w:after="0" w:line="3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Date: August 9, 2018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125"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800"/>
        <w:spacing w:after="0"/>
        <w:tabs>
          <w:tab w:leader="none" w:pos="698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40"/>
        <w:spacing w:after="0"/>
        <w:tabs>
          <w:tab w:leader="none" w:pos="700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spacing w:after="0"/>
        <w:tabs>
          <w:tab w:leader="none" w:pos="700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20"/>
        <w:spacing w:after="0"/>
        <w:tabs>
          <w:tab w:leader="none" w:pos="698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5"/>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9" Type="http://schemas.openxmlformats.org/officeDocument/2006/relationships/hyperlink" Target="http://www.sec.gov/Archives/edgar/data/918541/000119312518105623/d535081dex21.htm" TargetMode="External"/><Relationship Id="rId20" Type="http://schemas.openxmlformats.org/officeDocument/2006/relationships/hyperlink" Target="http://www.sec.gov/Archives/edgar/data/918541/000119312518105623/d535081dex101.htm" TargetMode="External"/><Relationship Id="rId21" Type="http://schemas.openxmlformats.org/officeDocument/2006/relationships/hyperlink" Target="http://www.sec.gov/Archives/edgar/data/918541/000119312518153752/d584161dex101.htm" TargetMode="External"/><Relationship Id="rId22" Type="http://schemas.openxmlformats.org/officeDocument/2006/relationships/hyperlink" Target="http://www.sec.gov/Archives/edgar/data/918541/000119312518153752/d58416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2019-12-28T20:07:04Z</dcterms:created>
  <dcterms:modified xsi:type="dcterms:W3CDTF">2019-12-28T20:07:04Z</dcterms:modified>
</cp:coreProperties>
</file>