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285115</wp:posOffset>
            </wp:positionH>
            <wp:positionV relativeFrom="page">
              <wp:posOffset>671830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697230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56515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83185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4"/>
          <w:szCs w:val="24"/>
          <w:color w:val="auto"/>
        </w:rPr>
      </w:pPr>
    </w:p>
    <w:p>
      <w:pPr>
        <w:ind w:left="1320" w:hanging="336"/>
        <w:spacing w:after="0"/>
        <w:tabs>
          <w:tab w:leader="none" w:pos="13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6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320" w:hanging="336"/>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5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68580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197485</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NN, Inc.</w:t>
      </w:r>
    </w:p>
    <w:p>
      <w:pPr>
        <w:spacing w:after="0" w:line="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125095</wp:posOffset>
            </wp:positionV>
            <wp:extent cx="2597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1100"/>
          </w:cols>
          <w:pgMar w:left="320" w:top="1282" w:right="479" w:bottom="1440" w:gutter="0" w:footer="0" w:header="0"/>
        </w:sectPr>
      </w:pPr>
    </w:p>
    <w:p>
      <w:pPr>
        <w:spacing w:after="0" w:line="327" w:lineRule="exact"/>
        <w:rPr>
          <w:sz w:val="24"/>
          <w:szCs w:val="24"/>
          <w:color w:val="auto"/>
        </w:rPr>
      </w:pPr>
    </w:p>
    <w:p>
      <w:pPr>
        <w:ind w:left="29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61" w:lineRule="exact"/>
        <w:rPr>
          <w:sz w:val="24"/>
          <w:szCs w:val="24"/>
          <w:color w:val="auto"/>
        </w:rPr>
      </w:pPr>
    </w:p>
    <w:p>
      <w:pPr>
        <w:sectPr>
          <w:pgSz w:w="11900" w:h="16838" w:orient="portrait"/>
          <w:cols w:equalWidth="0" w:num="2">
            <w:col w:w="6880" w:space="720"/>
            <w:col w:w="3500"/>
          </w:cols>
          <w:pgMar w:left="320" w:top="1282" w:right="479" w:bottom="1440" w:gutter="0" w:footer="0" w:header="0"/>
          <w:type w:val="continuous"/>
        </w:sectPr>
      </w:pPr>
    </w:p>
    <w:p>
      <w:pPr>
        <w:spacing w:after="0" w:line="12" w:lineRule="exact"/>
        <w:rPr>
          <w:sz w:val="24"/>
          <w:szCs w:val="24"/>
          <w:color w:val="auto"/>
        </w:rPr>
      </w:pPr>
    </w:p>
    <w:p>
      <w:pPr>
        <w:ind w:left="2220"/>
        <w:spacing w:after="0"/>
        <w:rPr>
          <w:sz w:val="20"/>
          <w:szCs w:val="20"/>
          <w:color w:val="auto"/>
        </w:rPr>
      </w:pPr>
      <w:r>
        <w:rPr>
          <w:rFonts w:ascii="Arial" w:cs="Arial" w:eastAsia="Arial" w:hAnsi="Arial"/>
          <w:sz w:val="17"/>
          <w:szCs w:val="17"/>
          <w:i w:val="1"/>
          <w:iCs w:val="1"/>
          <w:color w:val="auto"/>
        </w:rPr>
        <w:t>(State or other jurisdiction of</w:t>
      </w:r>
    </w:p>
    <w:p>
      <w:pPr>
        <w:ind w:left="218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i w:val="1"/>
          <w:iCs w:val="1"/>
          <w:color w:val="auto"/>
        </w:rPr>
        <w:t>(I.R.S. Employer</w:t>
      </w:r>
    </w:p>
    <w:p>
      <w:pPr>
        <w:jc w:val="center"/>
        <w:ind w:right="2400"/>
        <w:spacing w:after="0"/>
        <w:rPr>
          <w:sz w:val="20"/>
          <w:szCs w:val="20"/>
          <w:color w:val="auto"/>
        </w:rPr>
      </w:pPr>
      <w:r>
        <w:rPr>
          <w:rFonts w:ascii="Arial" w:cs="Arial" w:eastAsia="Arial" w:hAnsi="Arial"/>
          <w:sz w:val="17"/>
          <w:szCs w:val="17"/>
          <w:i w:val="1"/>
          <w:iCs w:val="1"/>
          <w:color w:val="auto"/>
        </w:rPr>
        <w:t>Identification No.)</w:t>
      </w:r>
    </w:p>
    <w:p>
      <w:pPr>
        <w:spacing w:after="0" w:line="95" w:lineRule="exact"/>
        <w:rPr>
          <w:sz w:val="24"/>
          <w:szCs w:val="24"/>
          <w:color w:val="auto"/>
        </w:rPr>
      </w:pPr>
    </w:p>
    <w:p>
      <w:pPr>
        <w:sectPr>
          <w:pgSz w:w="11900" w:h="16838" w:orient="portrait"/>
          <w:cols w:equalWidth="0" w:num="2">
            <w:col w:w="6640" w:space="720"/>
            <w:col w:w="3740"/>
          </w:cols>
          <w:pgMar w:left="320" w:top="1282" w:right="479" w:bottom="1440" w:gutter="0" w:footer="0" w:header="0"/>
          <w:type w:val="continuous"/>
        </w:sectPr>
      </w:pPr>
    </w:p>
    <w:p>
      <w:pPr>
        <w:ind w:left="4340"/>
        <w:spacing w:after="0"/>
        <w:rPr>
          <w:sz w:val="20"/>
          <w:szCs w:val="20"/>
          <w:color w:val="auto"/>
        </w:rPr>
      </w:pPr>
      <w:r>
        <w:rPr>
          <w:rFonts w:ascii="Arial" w:cs="Arial" w:eastAsia="Arial" w:hAnsi="Arial"/>
          <w:sz w:val="18"/>
          <w:szCs w:val="18"/>
          <w:b w:val="1"/>
          <w:bCs w:val="1"/>
          <w:color w:val="auto"/>
        </w:rPr>
        <w:t>6210 Ardrey Kell Road, Suite 600</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Charlotte, North Carolina 28277</w:t>
      </w:r>
    </w:p>
    <w:p>
      <w:pPr>
        <w:spacing w:after="0" w:line="103" w:lineRule="exact"/>
        <w:rPr>
          <w:sz w:val="24"/>
          <w:szCs w:val="24"/>
          <w:color w:val="auto"/>
        </w:rPr>
      </w:pPr>
    </w:p>
    <w:p>
      <w:pPr>
        <w:jc w:val="center"/>
        <w:ind w:right="-139"/>
        <w:spacing w:after="0"/>
        <w:rPr>
          <w:sz w:val="20"/>
          <w:szCs w:val="20"/>
          <w:color w:val="auto"/>
        </w:rPr>
      </w:pPr>
      <w:r>
        <w:rPr>
          <w:rFonts w:ascii="Arial" w:cs="Arial" w:eastAsia="Arial" w:hAnsi="Arial"/>
          <w:sz w:val="17"/>
          <w:szCs w:val="17"/>
          <w:i w:val="1"/>
          <w:iCs w:val="1"/>
          <w:color w:val="auto"/>
        </w:rPr>
        <w:t>(Address of principal executive offices, including zip code)</w:t>
      </w:r>
    </w:p>
    <w:p>
      <w:pPr>
        <w:spacing w:after="0" w:line="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(980) 264-4300</w:t>
      </w:r>
    </w:p>
    <w:p>
      <w:pPr>
        <w:spacing w:after="0" w:line="121" w:lineRule="exact"/>
        <w:rPr>
          <w:sz w:val="24"/>
          <w:szCs w:val="24"/>
          <w:color w:val="auto"/>
        </w:rPr>
      </w:pPr>
    </w:p>
    <w:p>
      <w:pPr>
        <w:ind w:left="3700"/>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138" w:lineRule="exact"/>
        <w:rPr>
          <w:sz w:val="24"/>
          <w:szCs w:val="24"/>
          <w:color w:val="auto"/>
        </w:rPr>
      </w:pPr>
    </w:p>
    <w:p>
      <w:pPr>
        <w:ind w:left="34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100"/>
          </w:cols>
          <w:pgMar w:left="320" w:top="1282" w:right="479" w:bottom="1440" w:gutter="0" w:footer="0" w:header="0"/>
          <w:type w:val="continuous"/>
        </w:sectPr>
      </w:pPr>
    </w:p>
    <w:p>
      <w:pPr>
        <w:spacing w:after="0" w:line="59" w:lineRule="exact"/>
        <w:rPr>
          <w:sz w:val="24"/>
          <w:szCs w:val="24"/>
          <w:color w:val="auto"/>
        </w:rPr>
      </w:pPr>
    </w:p>
    <w:p>
      <w:pPr>
        <w:jc w:val="center"/>
        <w:ind w:left="64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91" w:lineRule="exact"/>
        <w:rPr>
          <w:sz w:val="24"/>
          <w:szCs w:val="24"/>
          <w:color w:val="auto"/>
        </w:rPr>
      </w:pPr>
    </w:p>
    <w:p>
      <w:pPr>
        <w:sectPr>
          <w:pgSz w:w="11900" w:h="16838" w:orient="portrait"/>
          <w:cols w:equalWidth="0" w:num="3">
            <w:col w:w="4480" w:space="720"/>
            <w:col w:w="1520" w:space="720"/>
            <w:col w:w="3660"/>
          </w:cols>
          <w:pgMar w:left="320" w:top="1282" w:right="479" w:bottom="1440" w:gutter="0" w:footer="0" w:header="0"/>
          <w:type w:val="continuous"/>
        </w:sectPr>
      </w:pPr>
    </w:p>
    <w:p>
      <w:pPr>
        <w:ind w:left="1340"/>
        <w:spacing w:after="0"/>
        <w:rPr>
          <w:sz w:val="20"/>
          <w:szCs w:val="20"/>
          <w:color w:val="auto"/>
        </w:rPr>
      </w:pPr>
      <w:r>
        <w:rPr>
          <w:rFonts w:ascii="Arial" w:cs="Arial" w:eastAsia="Arial" w:hAnsi="Arial"/>
          <w:sz w:val="16"/>
          <w:szCs w:val="16"/>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880"/>
        <w:spacing w:after="0"/>
        <w:rPr>
          <w:sz w:val="20"/>
          <w:szCs w:val="20"/>
          <w:color w:val="auto"/>
        </w:rPr>
      </w:pPr>
      <w:r>
        <w:rPr>
          <w:rFonts w:ascii="Arial" w:cs="Arial" w:eastAsia="Arial" w:hAnsi="Arial"/>
          <w:sz w:val="17"/>
          <w:szCs w:val="17"/>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211" w:lineRule="exact"/>
        <w:rPr>
          <w:sz w:val="24"/>
          <w:szCs w:val="24"/>
          <w:color w:val="auto"/>
        </w:rPr>
      </w:pPr>
    </w:p>
    <w:p>
      <w:pPr>
        <w:sectPr>
          <w:pgSz w:w="11900" w:h="16838" w:orient="portrait"/>
          <w:cols w:equalWidth="0" w:num="3">
            <w:col w:w="4680" w:space="720"/>
            <w:col w:w="1380" w:space="720"/>
            <w:col w:w="3600"/>
          </w:cols>
          <w:pgMar w:left="320" w:top="1282" w:right="479" w:bottom="1440" w:gutter="0" w:footer="0" w:header="0"/>
          <w:type w:val="continuous"/>
        </w:sectPr>
      </w:pPr>
    </w:p>
    <w:p>
      <w:pPr>
        <w:spacing w:after="0" w:line="27" w:lineRule="exact"/>
        <w:rPr>
          <w:sz w:val="24"/>
          <w:szCs w:val="24"/>
          <w:color w:val="auto"/>
        </w:rPr>
      </w:pPr>
    </w:p>
    <w:p>
      <w:pPr>
        <w:ind w:right="16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ind w:right="2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98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Arial" w:cs="Arial" w:eastAsia="Arial" w:hAnsi="Arial"/>
                <w:sz w:val="18"/>
                <w:szCs w:val="18"/>
                <w:color w:val="auto"/>
                <w:w w:val="99"/>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00" w:type="dxa"/>
            <w:vAlign w:val="bottom"/>
          </w:tcPr>
          <w:p>
            <w:pPr>
              <w:ind w:left="214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580"/>
        <w:spacing w:after="0" w:line="25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2023, there were 47,352,810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282"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94"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NN, Inc.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80"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0000FF"/>
        </w:rPr>
        <w:t>PART I. FINANCIAL INFORMATION</w:t>
      </w:r>
    </w:p>
    <w:p>
      <w:pPr>
        <w:spacing w:after="0" w:line="117" w:lineRule="exact"/>
        <w:rPr>
          <w:sz w:val="20"/>
          <w:szCs w:val="20"/>
          <w:color w:val="auto"/>
        </w:rPr>
      </w:pPr>
    </w:p>
    <w:p>
      <w:pPr>
        <w:ind w:left="1380"/>
        <w:spacing w:after="0"/>
        <w:tabs>
          <w:tab w:leader="none" w:pos="23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0000FF"/>
        </w:rPr>
        <w:t>Financial Statements</w:t>
      </w:r>
    </w:p>
    <w:p>
      <w:pPr>
        <w:spacing w:after="0" w:line="104" w:lineRule="exact"/>
        <w:rPr>
          <w:sz w:val="20"/>
          <w:szCs w:val="20"/>
          <w:color w:val="auto"/>
        </w:rPr>
      </w:pPr>
    </w:p>
    <w:p>
      <w:pPr>
        <w:ind w:left="2600"/>
        <w:spacing w:after="0"/>
        <w:rPr>
          <w:sz w:val="20"/>
          <w:szCs w:val="20"/>
          <w:color w:val="auto"/>
        </w:rPr>
      </w:pPr>
      <w:r>
        <w:rPr>
          <w:rFonts w:ascii="Arial" w:cs="Arial" w:eastAsia="Arial" w:hAnsi="Arial"/>
          <w:sz w:val="16"/>
          <w:szCs w:val="16"/>
          <w:u w:val="single" w:color="auto"/>
          <w:color w:val="0000FF"/>
        </w:rPr>
        <w:t>Condensed Consolidated Statements of Operations and Comprehensive Income (Loss)</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0000FF"/>
        </w:rPr>
        <w:t>(Unaudited)</w:t>
      </w:r>
    </w:p>
    <w:p>
      <w:pPr>
        <w:spacing w:after="0" w:line="34"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0000FF"/>
        </w:rPr>
        <w:t>Condensed Consolidated Balance Sheets (Unaudited)</w:t>
      </w:r>
    </w:p>
    <w:p>
      <w:pPr>
        <w:spacing w:after="0" w:line="63" w:lineRule="exact"/>
        <w:rPr>
          <w:sz w:val="20"/>
          <w:szCs w:val="20"/>
          <w:color w:val="auto"/>
        </w:rPr>
      </w:pPr>
    </w:p>
    <w:p>
      <w:pPr>
        <w:ind w:left="2600"/>
        <w:spacing w:after="0"/>
        <w:rPr>
          <w:sz w:val="20"/>
          <w:szCs w:val="20"/>
          <w:color w:val="auto"/>
        </w:rPr>
      </w:pPr>
      <w:r>
        <w:rPr>
          <w:rFonts w:ascii="Arial" w:cs="Arial" w:eastAsia="Arial" w:hAnsi="Arial"/>
          <w:sz w:val="16"/>
          <w:szCs w:val="16"/>
          <w:u w:val="single" w:color="auto"/>
          <w:color w:val="0000FF"/>
        </w:rPr>
        <w:t>Condensed Consolidated Statements of Changes in Stockholders’ Equity (Unaudited)</w:t>
      </w:r>
    </w:p>
    <w:p>
      <w:pPr>
        <w:spacing w:after="0" w:line="86"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0000FF"/>
        </w:rPr>
        <w:t>Condensed Consolidated Statements of Cash Flows (Unaudited)</w:t>
      </w:r>
    </w:p>
    <w:p>
      <w:pPr>
        <w:spacing w:after="0" w:line="63" w:lineRule="exact"/>
        <w:rPr>
          <w:sz w:val="20"/>
          <w:szCs w:val="20"/>
          <w:color w:val="auto"/>
        </w:rPr>
      </w:pPr>
    </w:p>
    <w:p>
      <w:pPr>
        <w:ind w:left="2600"/>
        <w:spacing w:after="0"/>
        <w:rPr>
          <w:sz w:val="20"/>
          <w:szCs w:val="20"/>
          <w:color w:val="auto"/>
        </w:rPr>
      </w:pPr>
      <w:r>
        <w:rPr>
          <w:rFonts w:ascii="Arial" w:cs="Arial" w:eastAsia="Arial" w:hAnsi="Arial"/>
          <w:sz w:val="18"/>
          <w:szCs w:val="18"/>
          <w:u w:val="single" w:color="auto"/>
          <w:color w:val="0000FF"/>
        </w:rPr>
        <w:t>Notes to Condensed Consolidated Financial Statements (Unaudited)</w:t>
      </w:r>
    </w:p>
    <w:p>
      <w:pPr>
        <w:spacing w:after="0" w:line="50"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1. Interim Financial Statements</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2. Segment Information</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3. Inventories</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4. Intangible Assets, Net</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5. Investment in Joint Venture</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6. Income Taxes</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7. Debt</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8. Leases</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9. Commitments and Contingencies</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10. Preferred Stock and Stockholders' Equity</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11. Revenue from Contracts with Customers</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12. Share-Based Compensation</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13. Accumulated Other Comprehensive Income</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14. Net Loss Per Common Share</w:t>
      </w:r>
    </w:p>
    <w:p>
      <w:pPr>
        <w:spacing w:after="0" w:line="63" w:lineRule="exact"/>
        <w:rPr>
          <w:sz w:val="20"/>
          <w:szCs w:val="20"/>
          <w:color w:val="auto"/>
        </w:rPr>
      </w:pPr>
    </w:p>
    <w:p>
      <w:pPr>
        <w:ind w:left="2800"/>
        <w:spacing w:after="0"/>
        <w:rPr>
          <w:sz w:val="20"/>
          <w:szCs w:val="20"/>
          <w:color w:val="auto"/>
        </w:rPr>
      </w:pPr>
      <w:r>
        <w:rPr>
          <w:rFonts w:ascii="Arial" w:cs="Arial" w:eastAsia="Arial" w:hAnsi="Arial"/>
          <w:sz w:val="18"/>
          <w:szCs w:val="18"/>
          <w:u w:val="single" w:color="auto"/>
          <w:color w:val="0000FF"/>
        </w:rPr>
        <w:t>Note 15. Fair Value Measurements</w:t>
      </w:r>
    </w:p>
    <w:p>
      <w:pPr>
        <w:spacing w:after="0" w:line="131" w:lineRule="exact"/>
        <w:rPr>
          <w:sz w:val="20"/>
          <w:szCs w:val="20"/>
          <w:color w:val="auto"/>
        </w:rPr>
      </w:pPr>
    </w:p>
    <w:p>
      <w:pPr>
        <w:jc w:val="right"/>
        <w:ind w:right="140"/>
        <w:spacing w:after="0"/>
        <w:tabs>
          <w:tab w:leader="none" w:pos="6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0000FF"/>
        </w:rPr>
        <w:t>Management’s Discussion and Analysis of Financial Condition and Results of Operations</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0000FF"/>
        </w:rPr>
        <w:t>Quantitative and Qualitative Disclosures About Market Risk</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0000FF"/>
        </w:rPr>
        <w:t>PART II. OTHER INFORMATION</w:t>
      </w:r>
    </w:p>
    <w:p>
      <w:pPr>
        <w:spacing w:after="0" w:line="100"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Item 1.</w:t>
            </w:r>
          </w:p>
        </w:tc>
        <w:tc>
          <w:tcPr>
            <w:tcW w:w="4360" w:type="dxa"/>
            <w:vAlign w:val="bottom"/>
            <w:gridSpan w:val="7"/>
          </w:tcPr>
          <w:p>
            <w:pPr>
              <w:spacing w:after="0"/>
              <w:rPr>
                <w:sz w:val="20"/>
                <w:szCs w:val="20"/>
                <w:color w:val="auto"/>
              </w:rPr>
            </w:pPr>
            <w:r>
              <w:rPr>
                <w:rFonts w:ascii="Arial" w:cs="Arial" w:eastAsia="Arial" w:hAnsi="Arial"/>
                <w:sz w:val="18"/>
                <w:szCs w:val="18"/>
                <w:color w:val="0000FF"/>
              </w:rPr>
              <w:t>Legal Proceedings</w:t>
            </w:r>
          </w:p>
        </w:tc>
      </w:tr>
      <w:tr>
        <w:trPr>
          <w:trHeight w:val="250"/>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420" w:type="dxa"/>
            <w:vAlign w:val="bottom"/>
            <w:tcBorders>
              <w:top w:val="single" w:sz="8" w:color="0000FF"/>
            </w:tcBorders>
            <w:gridSpan w:val="2"/>
          </w:tcPr>
          <w:p>
            <w:pPr>
              <w:spacing w:after="0"/>
              <w:rPr>
                <w:sz w:val="21"/>
                <w:szCs w:val="21"/>
                <w:color w:val="auto"/>
              </w:rPr>
            </w:pPr>
          </w:p>
        </w:tc>
        <w:tc>
          <w:tcPr>
            <w:tcW w:w="3020" w:type="dxa"/>
            <w:vAlign w:val="bottom"/>
            <w:gridSpan w:val="3"/>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r>
      <w:tr>
        <w:trPr>
          <w:trHeight w:val="250"/>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Mine Safety Disclosures</w:t>
            </w:r>
          </w:p>
        </w:tc>
        <w:tc>
          <w:tcPr>
            <w:tcW w:w="2580" w:type="dxa"/>
            <w:vAlign w:val="bottom"/>
            <w:gridSpan w:val="2"/>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Item 5.</w:t>
            </w:r>
          </w:p>
        </w:tc>
        <w:tc>
          <w:tcPr>
            <w:tcW w:w="4360" w:type="dxa"/>
            <w:vAlign w:val="bottom"/>
            <w:gridSpan w:val="7"/>
          </w:tcPr>
          <w:p>
            <w:pPr>
              <w:spacing w:after="0"/>
              <w:rPr>
                <w:sz w:val="20"/>
                <w:szCs w:val="20"/>
                <w:color w:val="auto"/>
              </w:rPr>
            </w:pPr>
            <w:r>
              <w:rPr>
                <w:rFonts w:ascii="Arial" w:cs="Arial" w:eastAsia="Arial" w:hAnsi="Arial"/>
                <w:sz w:val="18"/>
                <w:szCs w:val="18"/>
                <w:color w:val="0000FF"/>
              </w:rPr>
              <w:t>Other Information</w:t>
            </w:r>
          </w:p>
        </w:tc>
      </w:tr>
      <w:tr>
        <w:trPr>
          <w:trHeight w:val="250"/>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3040" w:type="dxa"/>
            <w:vAlign w:val="bottom"/>
            <w:gridSpan w:val="4"/>
          </w:tcPr>
          <w:p>
            <w:pPr>
              <w:spacing w:after="0"/>
              <w:rPr>
                <w:sz w:val="21"/>
                <w:szCs w:val="21"/>
                <w:color w:val="auto"/>
              </w:rPr>
            </w:pPr>
          </w:p>
        </w:tc>
      </w:tr>
      <w:tr>
        <w:trPr>
          <w:trHeight w:val="250"/>
        </w:trPr>
        <w:tc>
          <w:tcPr>
            <w:tcW w:w="13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20</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26</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26</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28</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28</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28</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28</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28</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28</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28</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29</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0000FF"/>
        </w:rPr>
        <w:t>30</w:t>
      </w:r>
    </w:p>
    <w:p>
      <w:pPr>
        <w:sectPr>
          <w:pgSz w:w="11900" w:h="16838" w:orient="portrait"/>
          <w:cols w:equalWidth="0" w:num="2">
            <w:col w:w="8980" w:space="720"/>
            <w:col w:w="520"/>
          </w:cols>
          <w:pgMar w:left="320" w:top="481" w:right="135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380,726</w:t>
            </w:r>
          </w:p>
        </w:tc>
      </w:tr>
      <w:tr>
        <w:trPr>
          <w:trHeight w:val="175"/>
        </w:trPr>
        <w:tc>
          <w:tcPr>
            <w:tcW w:w="5660" w:type="dxa"/>
            <w:vAlign w:val="bottom"/>
          </w:tcPr>
          <w:p>
            <w:pPr>
              <w:ind w:left="20"/>
              <w:spacing w:after="0" w:line="176" w:lineRule="exact"/>
              <w:rPr>
                <w:sz w:val="20"/>
                <w:szCs w:val="20"/>
                <w:color w:val="auto"/>
              </w:rPr>
            </w:pPr>
            <w:r>
              <w:rPr>
                <w:rFonts w:ascii="Arial" w:cs="Arial" w:eastAsia="Arial" w:hAnsi="Arial"/>
                <w:sz w:val="18"/>
                <w:szCs w:val="18"/>
                <w:color w:val="auto"/>
                <w:w w:val="94"/>
              </w:rPr>
              <w:t>Cost of sales (exclusive of depreciation and amortization shown separately</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below)</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104,543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320,648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316,500</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38,453</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33,962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(10,051)</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r>
      <w:tr>
        <w:trPr>
          <w:trHeight w:val="156"/>
        </w:trPr>
        <w:tc>
          <w:tcPr>
            <w:tcW w:w="56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Loss before benefit (provision) for income taxes and share of net income</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4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joint venture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(16,505)</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(1,514)</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net income from joint venture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w:t>
            </w: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5660" w:type="dxa"/>
            <w:vAlign w:val="bottom"/>
          </w:tcPr>
          <w:p>
            <w:pPr>
              <w:ind w:left="260"/>
              <w:spacing w:after="0"/>
              <w:rPr>
                <w:sz w:val="20"/>
                <w:szCs w:val="20"/>
                <w:color w:val="auto"/>
              </w:rPr>
            </w:pPr>
            <w:r>
              <w:rPr>
                <w:rFonts w:ascii="Arial" w:cs="Arial" w:eastAsia="Arial" w:hAnsi="Arial"/>
                <w:sz w:val="18"/>
                <w:szCs w:val="18"/>
                <w:color w:val="auto"/>
              </w:rPr>
              <w:t>Foreign currency translation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(13,543)</w:t>
            </w:r>
          </w:p>
        </w:tc>
      </w:tr>
      <w:tr>
        <w:trPr>
          <w:trHeight w:val="230"/>
        </w:trPr>
        <w:tc>
          <w:tcPr>
            <w:tcW w:w="5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rate swap:</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660" w:type="dxa"/>
            <w:vAlign w:val="bottom"/>
          </w:tcPr>
          <w:p>
            <w:pPr>
              <w:ind w:left="520"/>
              <w:spacing w:after="0"/>
              <w:rPr>
                <w:sz w:val="20"/>
                <w:szCs w:val="20"/>
                <w:color w:val="auto"/>
              </w:rPr>
            </w:pPr>
            <w:r>
              <w:rPr>
                <w:rFonts w:ascii="Arial" w:cs="Arial" w:eastAsia="Arial" w:hAnsi="Arial"/>
                <w:sz w:val="18"/>
                <w:szCs w:val="18"/>
                <w:color w:val="auto"/>
              </w:rPr>
              <w:t>Change in fair value, net of tax</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2,464</w:t>
            </w:r>
          </w:p>
        </w:tc>
      </w:tr>
      <w:tr>
        <w:trPr>
          <w:trHeight w:val="230"/>
        </w:trPr>
        <w:tc>
          <w:tcPr>
            <w:tcW w:w="5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Reclassification adjustments included in net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(11,130)</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Shares used to calculate basic and diluted net loss per share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44,670</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w w:val="90"/>
              </w:rPr>
              <w:t>Accounts receivable, net of allowances of $1,210 and $1,469 at September 30, 2023 and December 31, 2022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74,129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80,682</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191,700</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0"/>
              </w:rPr>
              <w:t>Property, plant and equipment, net of accumulated depreciation of $243,638 and $225,046 at September 30, 2023</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and December 31, 2022</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185,707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197,637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62,202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72,891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joint venture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546,127</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Preferred Stock, and Stockholders’ Equity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45,871</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Accrued salaries, wages and benefits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Short-term debt and current maturities of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78,806</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51,411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295,162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Arial" w:cs="Arial" w:eastAsia="Arial" w:hAnsi="Arial"/>
                <w:sz w:val="18"/>
                <w:szCs w:val="18"/>
                <w:color w:val="auto"/>
                <w:w w:val="92"/>
              </w:rPr>
              <w:t>Series D perpetual preferred stock - $0.01 par value per share, 65 shares authorized, issued and outstanding at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Arial" w:cs="Arial" w:eastAsia="Arial" w:hAnsi="Arial"/>
                <w:sz w:val="18"/>
                <w:szCs w:val="18"/>
                <w:color w:val="auto"/>
              </w:rPr>
              <w:t>September 30, 2023 and December 31, 2022</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64,701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Arial" w:cs="Arial" w:eastAsia="Arial" w:hAnsi="Arial"/>
                <w:sz w:val="18"/>
                <w:szCs w:val="18"/>
                <w:color w:val="auto"/>
                <w:w w:val="91"/>
              </w:rPr>
              <w:t>Common stock - $0.01 par value per share, 90,000 shares authorized, 47,311 and 43,856 shares issued and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680"/>
              <w:spacing w:after="0"/>
              <w:rPr>
                <w:sz w:val="20"/>
                <w:szCs w:val="20"/>
                <w:color w:val="auto"/>
              </w:rPr>
            </w:pPr>
            <w:r>
              <w:rPr>
                <w:rFonts w:ascii="Arial" w:cs="Arial" w:eastAsia="Arial" w:hAnsi="Arial"/>
                <w:sz w:val="18"/>
                <w:szCs w:val="18"/>
                <w:color w:val="auto"/>
              </w:rPr>
              <w:t>outstanding at September 30, 2023 and December 31, 2022</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468,143</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(274,807)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(245,198)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186,264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preferred stock,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546,127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2023 and 2022</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6"/>
          </w:tcPr>
          <w:p>
            <w:pPr>
              <w:jc w:val="right"/>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gridSpan w:val="3"/>
          </w:tcPr>
          <w:p>
            <w:pPr>
              <w:jc w:val="right"/>
              <w:ind w:right="200"/>
              <w:spacing w:after="0" w:line="160"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3"/>
          </w:tcPr>
          <w:p>
            <w:pPr>
              <w:jc w:val="right"/>
              <w:ind w:right="320"/>
              <w:spacing w:after="0" w:line="160" w:lineRule="exact"/>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jc w:val="center"/>
              <w:ind w:right="280"/>
              <w:spacing w:after="0" w:line="160" w:lineRule="exact"/>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380" w:type="dxa"/>
            <w:vAlign w:val="bottom"/>
            <w:gridSpan w:val="4"/>
          </w:tcPr>
          <w:p>
            <w:pPr>
              <w:jc w:val="right"/>
              <w:ind w:right="180"/>
              <w:spacing w:after="0" w:line="160" w:lineRule="exact"/>
              <w:rPr>
                <w:sz w:val="20"/>
                <w:szCs w:val="20"/>
                <w:color w:val="auto"/>
              </w:rPr>
            </w:pPr>
            <w:r>
              <w:rPr>
                <w:rFonts w:ascii="Arial" w:cs="Arial" w:eastAsia="Arial" w:hAnsi="Arial"/>
                <w:sz w:val="14"/>
                <w:szCs w:val="14"/>
                <w:b w:val="1"/>
                <w:bCs w:val="1"/>
                <w:color w:val="auto"/>
                <w:w w:val="93"/>
              </w:rPr>
              <w:t>Accumulated 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shares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4"/>
              </w:rPr>
              <w:t>value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6"/>
                <w:szCs w:val="16"/>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7"/>
              </w:rPr>
              <w:t>comprehensive loss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47,019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462,525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154,444</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center"/>
              <w:ind w:left="33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accrued for preferred stock</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w w:val="91"/>
              </w:rPr>
              <w:t>Shares issued under stock incentive plans, net of forfeitures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center"/>
              <w:ind w:left="33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460,382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143,726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80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w w:val="96"/>
              </w:rPr>
              <w:t>Accumulated 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4"/>
              </w:rPr>
              <w:t>value</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0"/>
              </w:rPr>
              <w:t>comprehensive loss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43,884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473,019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(230,969)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2"/>
              </w:rPr>
              <w:t>(36,167)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206,322</w:t>
            </w: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accrued for preferred stock</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rPr>
              <w:t>Shares forfeited under stock incentive plans</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8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43,882</w:t>
            </w:r>
          </w:p>
        </w:tc>
        <w:tc>
          <w:tcPr>
            <w:tcW w:w="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470,543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(233,184)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2"/>
              </w:rPr>
              <w:t>(43,032)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194,766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2023 and 2022</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7"/>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3"/>
                <w:szCs w:val="13"/>
                <w:color w:val="auto"/>
              </w:rPr>
            </w:pPr>
          </w:p>
        </w:tc>
        <w:tc>
          <w:tcPr>
            <w:tcW w:w="116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Accumulated</w:t>
            </w:r>
          </w:p>
        </w:tc>
        <w:tc>
          <w:tcPr>
            <w:tcW w:w="1420" w:type="dxa"/>
            <w:vAlign w:val="bottom"/>
            <w:gridSpan w:val="3"/>
          </w:tcPr>
          <w:p>
            <w:pPr>
              <w:jc w:val="right"/>
              <w:ind w:right="180"/>
              <w:spacing w:after="0" w:line="160" w:lineRule="exact"/>
              <w:rPr>
                <w:sz w:val="20"/>
                <w:szCs w:val="20"/>
                <w:color w:val="auto"/>
              </w:rPr>
            </w:pPr>
            <w:r>
              <w:rPr>
                <w:rFonts w:ascii="Arial" w:cs="Arial" w:eastAsia="Arial" w:hAnsi="Arial"/>
                <w:sz w:val="14"/>
                <w:szCs w:val="14"/>
                <w:b w:val="1"/>
                <w:bCs w:val="1"/>
                <w:color w:val="auto"/>
                <w:w w:val="96"/>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2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comprehensive loss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(245,198)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186,264</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(29,609)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w w:val="94"/>
              </w:rPr>
              <w:t>Shares issued under stock incentive plans, net of forfeitures</w:t>
            </w:r>
          </w:p>
        </w:tc>
        <w:tc>
          <w:tcPr>
            <w:tcW w:w="880" w:type="dxa"/>
            <w:vAlign w:val="bottom"/>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Restricted shares forgiven for taxes</w:t>
            </w: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Balance as of September 30, 2023</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460,382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(274,807)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143,726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7"/>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3"/>
                <w:szCs w:val="13"/>
                <w:color w:val="auto"/>
              </w:rPr>
            </w:pPr>
          </w:p>
        </w:tc>
        <w:tc>
          <w:tcPr>
            <w:tcW w:w="11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Accumulated</w:t>
            </w:r>
          </w:p>
        </w:tc>
        <w:tc>
          <w:tcPr>
            <w:tcW w:w="142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6"/>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comprehensive loss</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(219,100)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224,185</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(14,084)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(14,084)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w w:val="94"/>
              </w:rPr>
              <w:t>Shares issued under stock incentive plans, net of forfeitures</w:t>
            </w:r>
          </w:p>
        </w:tc>
        <w:tc>
          <w:tcPr>
            <w:tcW w:w="88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Restricted shares forgiven for taxes</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(11,130)</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Balance as of September 30, 2022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470,543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(233,184)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194,766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92"/>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3"/>
              </w:rPr>
              <w:t>2022</w:t>
            </w: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(29,609)</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(14,084)</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34,643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33,962</w:t>
            </w: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Paid-in-kind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derivative loss (gain), net of cash settlements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2,310</w:t>
            </w: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(1,831)</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(15,667)</w:t>
            </w:r>
          </w:p>
        </w:tc>
      </w:tr>
      <w:tr>
        <w:trPr>
          <w:trHeight w:val="230"/>
        </w:trPr>
        <w:tc>
          <w:tcPr>
            <w:tcW w:w="8280" w:type="dxa"/>
            <w:vAlign w:val="bottom"/>
          </w:tcPr>
          <w:p>
            <w:pPr>
              <w:ind w:left="6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9,692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(11,314)</w:t>
            </w:r>
          </w:p>
        </w:tc>
      </w:tr>
      <w:tr>
        <w:trPr>
          <w:trHeight w:val="229"/>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w:t>
            </w:r>
          </w:p>
        </w:tc>
      </w:tr>
      <w:tr>
        <w:trPr>
          <w:trHeight w:val="230"/>
        </w:trPr>
        <w:tc>
          <w:tcPr>
            <w:tcW w:w="8280" w:type="dxa"/>
            <w:vAlign w:val="bottom"/>
          </w:tcPr>
          <w:p>
            <w:pPr>
              <w:ind w:left="680"/>
              <w:spacing w:after="0"/>
              <w:rPr>
                <w:sz w:val="20"/>
                <w:szCs w:val="20"/>
                <w:color w:val="auto"/>
              </w:rPr>
            </w:pPr>
            <w:r>
              <w:rPr>
                <w:rFonts w:ascii="Arial" w:cs="Arial" w:eastAsia="Arial" w:hAnsi="Arial"/>
                <w:sz w:val="18"/>
                <w:szCs w:val="18"/>
                <w:color w:val="auto"/>
              </w:rPr>
              <w:t>Income taxes receivable and payable,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r>
      <w:tr>
        <w:trPr>
          <w:trHeight w:val="20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(16,292)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(14,011)</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plant,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(13,416)</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(13,551)</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52,000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32,000</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(28,158)</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Cash paid for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short-term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flows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(16,105)</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12,808</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28,656</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2023</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6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NN, Inc. is a global diversified industrial company that combines advanced engineering and production capabilities with in-depth materials science expertise to design and manufacture high-precision components and assemblies primarily for the automotive, general industrial, electrical, aerospace, defense, and medical markets. As used in this Quarterly Report on Form 10-Q (this “Quarterly Report”), the terms “NN,” the “Company,” “we,” “our,” or “us” refer to NN, Inc., and its subsidiaries. As of September 30, 2023, we had 27 facilities in North America, Europe, South America, and Asia.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6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accompanying condensed consolidated financial statements have not been audited. The Condensed Consolidated Balance Sheet as of December 31, 2022, was derived from the audited consolidated financial statements included in our Annual Report on Form 10-K for the year ended December 31, 2022 (the “2022 Annual Report”), which we filed with the U.S. Securities and Exchange Commission (the “SEC”) on March 10, 2023. In management’s opinion, the accompanying unaudited condensed consolidated financial statements reflect all adjustments necessary to fairly state our results of operations for the three and nine months ended September 30, 2023 and 2022; financial position as of September 30, 2023 and December 31, 2022; and cash flows for the nine months ended September 30, 2023 and 2022, on a basis consistent with our audited consolidated financial statements. These adjustments are of a normal recurring nature and are, in the opinion of management, necessary to state fairly the Company’s financial position and operating results for the interim periods. Certain prior period amounts have been reclassified to conform to the current year’s presentation.</w:t>
      </w:r>
    </w:p>
    <w:p>
      <w:pPr>
        <w:spacing w:after="0" w:line="5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2022 Annual Report. The results for the three and nine months ended September 30, 2023, are not necessarily indicative of results for the year ending December 31, 2023, or any other future periods.</w:t>
      </w:r>
    </w:p>
    <w:p>
      <w:pPr>
        <w:spacing w:after="0" w:line="5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Sales Programs</w:t>
      </w:r>
    </w:p>
    <w:p>
      <w:pPr>
        <w:spacing w:after="0" w:line="63"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We participate in programs established by our customers which allows us to sell certain receivables from that customer on a non-recourse basis to a third-party financial institution. During the nine months ended September 30, 2023, we incurred fees of $0.8 million, related to the sale of receivables which is recorded in the Other expense (income), net line item on the Condensed Consolidated Statements of Operations and Comprehensive Income (Loss).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Closures</w:t>
      </w:r>
    </w:p>
    <w:p>
      <w:pPr>
        <w:spacing w:after="0" w:line="6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Due to ongoing efforts to optimize the Company’s manufacturing footprint, we ceased manufacturing operations at several facilities during the nine months ended September 30, 2023, including at our Irvine and Taunton locations. We sold machinery and equipment from these locations and recognized a loss on sales of $0.2 million during the nine months ended September 30, 2023. The loss, which is primarily reported within our Power Solutions segment, is included in the Other operating expense (income), net line item on the Condensed Consolidated Statements of Operations and Comprehensive Income (Loss). In June 2023, we began subleasing our Irvine and Taunton facilities under subleases that terminate in 2034 and 2035,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Segment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aggregated into the following two reportable segments:</w:t>
      </w:r>
    </w:p>
    <w:p>
      <w:pPr>
        <w:spacing w:after="0" w:line="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Mobile Solutions, which is focused on growth in the automotive, general industrial, and medical end markets;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Solutions, which is focused on growth in the electrical, general industrial, automotive, and medical end markets.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These divisions are considered our two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1"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financial performance by reportable segment.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Mobile Solutions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78,961</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76,122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234,132</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225,542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 Solutions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155,184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Intersegment sales eliminations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380,726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Mobile Solutions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Power Solutions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(17,651)</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(10,051)</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26,780</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694"/>
              <w:spacing w:after="0"/>
              <w:rPr>
                <w:sz w:val="20"/>
                <w:szCs w:val="20"/>
                <w:color w:val="auto"/>
              </w:rPr>
            </w:pPr>
            <w:r>
              <w:rPr>
                <w:rFonts w:ascii="Arial" w:cs="Arial" w:eastAsia="Arial" w:hAnsi="Arial"/>
                <w:sz w:val="18"/>
                <w:szCs w:val="18"/>
                <w:color w:val="auto"/>
                <w:w w:val="87"/>
              </w:rPr>
              <w:t>32,146</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left="694"/>
              <w:spacing w:after="0"/>
              <w:rPr>
                <w:sz w:val="20"/>
                <w:szCs w:val="20"/>
                <w:color w:val="auto"/>
              </w:rPr>
            </w:pPr>
            <w:r>
              <w:rPr>
                <w:rFonts w:ascii="Arial" w:cs="Arial" w:eastAsia="Arial" w:hAnsi="Arial"/>
                <w:sz w:val="18"/>
                <w:szCs w:val="18"/>
                <w:color w:val="auto"/>
                <w:w w:val="87"/>
              </w:rPr>
              <w:t>24,610</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694"/>
              <w:spacing w:after="0"/>
              <w:rPr>
                <w:sz w:val="20"/>
                <w:szCs w:val="20"/>
                <w:color w:val="auto"/>
              </w:rPr>
            </w:pPr>
            <w:r>
              <w:rPr>
                <w:rFonts w:ascii="Arial" w:cs="Arial" w:eastAsia="Arial" w:hAnsi="Arial"/>
                <w:sz w:val="18"/>
                <w:szCs w:val="18"/>
                <w:color w:val="auto"/>
                <w:w w:val="87"/>
              </w:rPr>
              <w:t>23,926</w:t>
            </w: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70,917</w:t>
            </w:r>
          </w:p>
        </w:tc>
        <w:tc>
          <w:tcPr>
            <w:tcW w:w="1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center"/>
              <w:ind w:left="694"/>
              <w:spacing w:after="0"/>
              <w:rPr>
                <w:sz w:val="20"/>
                <w:szCs w:val="20"/>
                <w:color w:val="auto"/>
              </w:rPr>
            </w:pPr>
            <w:r>
              <w:rPr>
                <w:rFonts w:ascii="Arial" w:cs="Arial" w:eastAsia="Arial" w:hAnsi="Arial"/>
                <w:sz w:val="18"/>
                <w:szCs w:val="18"/>
                <w:color w:val="auto"/>
                <w:w w:val="87"/>
              </w:rPr>
              <w:t>80,682</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Note 4. Intangible Assets</w:t>
            </w: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60" w:type="dxa"/>
            <w:vAlign w:val="bottom"/>
            <w:gridSpan w:val="4"/>
          </w:tcPr>
          <w:p>
            <w:pPr>
              <w:spacing w:after="0"/>
              <w:rPr>
                <w:sz w:val="20"/>
                <w:szCs w:val="20"/>
                <w:color w:val="auto"/>
              </w:rPr>
            </w:pPr>
            <w:r>
              <w:rPr>
                <w:rFonts w:ascii="Arial" w:cs="Arial" w:eastAsia="Arial" w:hAnsi="Arial"/>
                <w:sz w:val="18"/>
                <w:szCs w:val="18"/>
                <w:color w:val="auto"/>
                <w:w w:val="93"/>
              </w:rPr>
              <w:t>The following table shows changes in the carrying amount of intangible assets, net, by reportable segment.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6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9"/>
              </w:rPr>
              <w:t>Mobile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Power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Solutions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8"/>
              </w:rPr>
              <w:t>22,356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50,535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694"/>
              <w:spacing w:after="0"/>
              <w:rPr>
                <w:sz w:val="20"/>
                <w:szCs w:val="20"/>
                <w:color w:val="auto"/>
              </w:rPr>
            </w:pPr>
            <w:r>
              <w:rPr>
                <w:rFonts w:ascii="Arial" w:cs="Arial" w:eastAsia="Arial" w:hAnsi="Arial"/>
                <w:sz w:val="18"/>
                <w:szCs w:val="18"/>
                <w:color w:val="auto"/>
                <w:w w:val="87"/>
              </w:rPr>
              <w:t>72,891</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w w:val="94"/>
              </w:rPr>
              <w:t>(2,515)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w w:val="94"/>
              </w:rPr>
              <w:t>(8,174)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color w:val="auto"/>
                <w:w w:val="92"/>
              </w:rPr>
              <w:t>(10,689)</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w w:val="98"/>
              </w:rPr>
              <w:t>19,841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42,361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center"/>
              <w:ind w:left="694"/>
              <w:spacing w:after="0"/>
              <w:rPr>
                <w:sz w:val="20"/>
                <w:szCs w:val="20"/>
                <w:color w:val="auto"/>
              </w:rPr>
            </w:pPr>
            <w:r>
              <w:rPr>
                <w:rFonts w:ascii="Arial" w:cs="Arial" w:eastAsia="Arial" w:hAnsi="Arial"/>
                <w:sz w:val="18"/>
                <w:szCs w:val="18"/>
                <w:color w:val="auto"/>
                <w:w w:val="87"/>
              </w:rPr>
              <w:t>62,202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Intangible assets are reviewed for impairment when changes in circumstances indicate the carrying value of those assets may not be recoverable. There were no indicators of impairment at September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Joint Venture</w:t>
      </w:r>
    </w:p>
    <w:p>
      <w:pPr>
        <w:spacing w:after="0" w:line="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ectPr>
          <w:pgSz w:w="11900" w:h="16838" w:orient="portrait"/>
          <w:cols w:equalWidth="0" w:num="1">
            <w:col w:w="11240"/>
          </w:cols>
          <w:pgMar w:left="320" w:top="481" w:right="3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changes in our investment in the JV.</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Dividends paid by joint venture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translation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September 30, 2023</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left="1060" w:hanging="1056"/>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31,802</w:t>
      </w:r>
    </w:p>
    <w:p>
      <w:pPr>
        <w:spacing w:after="0" w:line="34"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3,087</w:t>
      </w:r>
    </w:p>
    <w:p>
      <w:pPr>
        <w:spacing w:after="0" w:line="3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(3,938)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(1,820)</w:t>
      </w:r>
    </w:p>
    <w:p>
      <w:pPr>
        <w:spacing w:after="0" w:line="35" w:lineRule="exact"/>
        <w:rPr>
          <w:sz w:val="20"/>
          <w:szCs w:val="20"/>
          <w:color w:val="auto"/>
        </w:rPr>
      </w:pPr>
    </w:p>
    <w:p>
      <w:pPr>
        <w:ind w:left="1060" w:hanging="1056"/>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29,131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47625</wp:posOffset>
            </wp:positionV>
            <wp:extent cx="1045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655" w:lineRule="exact"/>
        <w:rPr>
          <w:sz w:val="20"/>
          <w:szCs w:val="20"/>
          <w:color w:val="auto"/>
        </w:rPr>
      </w:pPr>
    </w:p>
    <w:p>
      <w:pPr>
        <w:sectPr>
          <w:pgSz w:w="11900" w:h="16838" w:orient="portrait"/>
          <w:cols w:equalWidth="0" w:num="2">
            <w:col w:w="8860" w:space="720"/>
            <w:col w:w="1660"/>
          </w:cols>
          <w:pgMar w:left="320" w:top="481" w:right="339" w:bottom="1440" w:gutter="0" w:footer="0" w:header="0"/>
          <w:type w:val="continuous"/>
        </w:sectPr>
      </w:pPr>
    </w:p>
    <w:p>
      <w:pPr>
        <w:ind w:right="20"/>
        <w:spacing w:after="0" w:line="296" w:lineRule="auto"/>
        <w:rPr>
          <w:sz w:val="20"/>
          <w:szCs w:val="20"/>
          <w:color w:val="auto"/>
        </w:rPr>
      </w:pPr>
      <w:r>
        <w:rPr>
          <w:rFonts w:ascii="Arial" w:cs="Arial" w:eastAsia="Arial" w:hAnsi="Arial"/>
          <w:sz w:val="16"/>
          <w:szCs w:val="16"/>
          <w:color w:val="auto"/>
        </w:rPr>
        <w:t>Our effective tax rate was 3.5% and (4.4)% for the three and nine months ended September 30, 2023, respectively, and 22.7% and (9.2)% for the three and nine months ended September 30, 2022, respectively. The effective tax rates for the three and nine months ended September 30, 2023 and September 30, 2022 differ from the U.S. federal statutory tax rate of 21% primarily due to the accrual of tax on non-permanently reinvested unremitted earnings of foreign subsidiaries and by limitation on the amount of tax benefit recorded for loss carryforwards in certain jurisdictions where we believe it is more likely than not that a portion of the future tax benefit may not be realized. In addition, the effective tax rate for the three and nine months ended September 30,</w:t>
      </w:r>
    </w:p>
    <w:p>
      <w:pPr>
        <w:sectPr>
          <w:pgSz w:w="11900" w:h="16838" w:orient="portrait"/>
          <w:cols w:equalWidth="0" w:num="1">
            <w:col w:w="11240"/>
          </w:cols>
          <w:pgMar w:left="320" w:top="481" w:right="3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2023 was favorably impacted by a net valuation allowance release based on management’s reassessment of the amount of its deferred tax assets that are more likely than not to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6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March 22, 2021, we entered into a new $150.0 million term loan facility (as amended from time to time, the “Term Loan Facility”) and a new $50.0 million asset backed credit facility (as amended from time to time, the “ABL Facility”). On March 3, 2023, we amended the Term Loan Facility (the “Term Loan Amendment”) and ABL Facility to adjust certain covenants under the agreements, as well as to replace references to LIBOR with secured overnight finance rate (“SOFR”) for interest rate calculations. The following table presents the outstanding debt balances.</w:t>
      </w:r>
    </w:p>
    <w:tbl>
      <w:tblPr>
        <w:tblLayout w:type="fixed"/>
        <w:tblInd w:w="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147,375</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ABL Facility</w:t>
            </w:r>
          </w:p>
        </w:tc>
        <w:tc>
          <w:tcPr>
            <w:tcW w:w="1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loans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Total principal</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158,445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157,104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short-term debt and current maturities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Principal of long-term debt, net of current portion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151,746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153,783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 and discount (1)</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145,892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149,389</w:t>
            </w:r>
          </w:p>
        </w:tc>
      </w:tr>
      <w:tr>
        <w:trPr>
          <w:trHeight w:val="21"/>
        </w:trPr>
        <w:tc>
          <w:tcPr>
            <w:tcW w:w="7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420" w:right="760" w:hanging="250"/>
        <w:spacing w:after="0" w:line="277" w:lineRule="auto"/>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this amount, costs of $0.5 million and $0.6 million related to the ABL Facility were recorded in other non-current assets as of September 30, 2023 and December 31, 2022,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6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Effective March 31, 2023, outstanding borrowings under the Term Loan Facility bear interest at either 1) one-month, three-month, or six-month SOFR with a duration adjustment (“Adjusted SOFR”), subject to a 1.000% floor, plus an applicable margin of 6.875%, or 2) the greater of various benchmark rates plus an applicable margin of 5.875%. Beginning in the second quarter of 2023, interest was increased on a paid-in-kind basis at a rate between 1.00% and 2.00% (“PIK interest”), dependent on the Company’s leverage ratio. The PIK interest is payable on the loan maturity date of September 22, 2026. At September 30, 2023, the Term Loan Facility bore interest, including PIK interest, based on one-month Adjusted SOFR, at 14.291%.</w:t>
      </w:r>
    </w:p>
    <w:p>
      <w:pPr>
        <w:spacing w:after="0" w:line="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Term Loan Facility requires quarterly principal payments of $0.4 million with the remaining unpaid principal amount due at the loan maturity date. We may be required to make additional principal payments annually that are calculated as a percentage of our excess cash flow, as defined by the lender, based on our net leverage ratio. The Term Loan Facility is collateralized by all of our assets. The Term Loan Facility has a first lien on all domestic assets other than accounts receivable and inventory and has a second lien on domestic accounts receivable and inventory. We were in compliance with all requirements under the Term Loan Facility as of September 30, 2023.</w:t>
      </w:r>
    </w:p>
    <w:p>
      <w:pPr>
        <w:spacing w:after="0" w:line="8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Term Loan Facility was issued at a $3.8 million discount and we have capitalized an additional $5.3 million in debt issuance costs. These costs are recorded as a direct reduction to the carrying amount of the associated long-term debt and amortized over the term of the debt.</w:t>
      </w:r>
    </w:p>
    <w:p>
      <w:pPr>
        <w:spacing w:after="0" w:line="3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had an interest rate swap that changed the one-month LIBOR to a fixed rate of 1.291% on $60.0 million of the outstanding balance of the Term Loan Facility. During the first quarter of 2023, we terminated the interest rate swap and received cash proceeds of $2.5 million which was equal to its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Facility</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Effective March 3, 2023, the variable borrowing rate is either 1) Adjusted SOFR plus an applicable margin of 1.75% or 2.00%, depending on availability, or 2) the greater of the federal funds rate or prime, plus an applicable margin of 0.75% or 1.00%, depending on availability. We may elect whether to use one-month, three-month, or six-month Adjusted SOFR. At September 30, 2023, using one-month Adjusted SOFR plus a 2.00% margin, the interest rate on outstanding borrowings under the ABL Facility was 7.429%. We pay a commitment fee of 0.375% for unused capacity under the ABL Facility and a 2.125% fee on the amount of letters of credit outstanding. The final maturity date of the ABL Facility is March 22, 2026.</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9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As of September 30, 2023, we had no outstanding borrowings under the ABL Facility, $10.9 million of outstanding letters of credit, and $28.7 million available for future borrowings under the ABL Facility. The ABL Facility has a first lien on domestic accounts receivable and inventory. We were in compliance with all requirements under the ABL Facility as of September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supplemental cash flow information related to leases.</w:t>
      </w:r>
    </w:p>
    <w:p>
      <w:pPr>
        <w:spacing w:after="0" w:line="41"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Operating cash flows used in finance leases</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used in operating leases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Financing cash flows used in finance leases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 (1)</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3,835</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new leases, renewals, and modifications.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5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 not expect to incur a loss related to this matter even in the event of an unfavorable decision and, therefore, have not accrued an amount for the remaining matters as of September 30,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Matters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Preferred Stock and Stockholders' Equity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Perpetual Preferred Stock</w:t>
      </w:r>
    </w:p>
    <w:p>
      <w:pPr>
        <w:spacing w:after="0" w:line="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22, 2021, we completed a private placement of 65,000 shares of newly designated Series D Perpetual Preferred Stock, with a par value of $0.01 per share (the “Series D Preferred Stock”), at a price of $1,000 per share, together with</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detachable warrants (the “2021 Warrants”) to purchase up to 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Beginning March 22, 2026, the cash dividend rate and in-kind dividend rate increase by 2.5% per year. Cash dividends are required beginning on September 30, 2027.</w:t>
      </w:r>
    </w:p>
    <w:p>
      <w:pPr>
        <w:spacing w:after="0" w:line="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retained earnings (or in the absence of retained earnings, additional paid-in capital).</w:t>
      </w:r>
    </w:p>
    <w:p>
      <w:pPr>
        <w:spacing w:after="0" w:line="5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 accordance with ASC 815-15, </w:t>
      </w:r>
      <w:r>
        <w:rPr>
          <w:rFonts w:ascii="Arial" w:cs="Arial" w:eastAsia="Arial" w:hAnsi="Arial"/>
          <w:sz w:val="18"/>
          <w:szCs w:val="18"/>
          <w:i w:val="1"/>
          <w:iCs w:val="1"/>
          <w:color w:val="auto"/>
        </w:rPr>
        <w:t>Derivatives and Hedging - Embedded Derivatives,</w:t>
      </w:r>
      <w:r>
        <w:rPr>
          <w:rFonts w:ascii="Arial" w:cs="Arial" w:eastAsia="Arial" w:hAnsi="Arial"/>
          <w:sz w:val="18"/>
          <w:szCs w:val="18"/>
          <w:color w:val="auto"/>
        </w:rPr>
        <w:t xml:space="preserve"> certain features of the Series D Preferred Stock were bifurcated and accounted for as derivatives separately. Note 15 discusses the accounting for these features.</w:t>
      </w:r>
    </w:p>
    <w:p>
      <w:pPr>
        <w:spacing w:after="0" w:line="62"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As of September 30, 2023, the carrying value of the Series D Preferred Stock shares was $74.3 million, which included $27.6 million of accumulated unpaid and deemed dividends. The following table presents the change in the Series D Preferred Stock carrying value during the nine months ended September 30, 2023.</w:t>
      </w:r>
    </w:p>
    <w:p>
      <w:pPr>
        <w:sectPr>
          <w:pgSz w:w="11900" w:h="16838" w:orient="portrait"/>
          <w:cols w:equalWidth="0" w:num="1">
            <w:col w:w="11240"/>
          </w:cols>
          <w:pgMar w:left="320" w:top="481" w:right="339" w:bottom="1440" w:gutter="0" w:footer="0" w:header="0"/>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September 30, 2023</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Revenue from Contracts with Customers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285" w:hanging="1285"/>
        <w:spacing w:after="0"/>
        <w:tabs>
          <w:tab w:leader="none" w:pos="1285" w:val="left"/>
        </w:tabs>
        <w:numPr>
          <w:ilvl w:val="0"/>
          <w:numId w:val="7"/>
        </w:numPr>
        <w:rPr>
          <w:rFonts w:ascii="Arial" w:cs="Arial" w:eastAsia="Arial" w:hAnsi="Arial"/>
          <w:sz w:val="15"/>
          <w:szCs w:val="15"/>
          <w:color w:val="auto"/>
        </w:rPr>
      </w:pPr>
      <w:r>
        <w:rPr>
          <w:rFonts w:ascii="Arial" w:cs="Arial" w:eastAsia="Arial" w:hAnsi="Arial"/>
          <w:sz w:val="15"/>
          <w:szCs w:val="15"/>
          <w:color w:val="auto"/>
        </w:rPr>
        <w:t>64,701</w:t>
      </w:r>
    </w:p>
    <w:p>
      <w:pPr>
        <w:spacing w:after="0" w:line="57" w:lineRule="exact"/>
        <w:rPr>
          <w:rFonts w:ascii="Arial" w:cs="Arial" w:eastAsia="Arial" w:hAnsi="Arial"/>
          <w:sz w:val="15"/>
          <w:szCs w:val="15"/>
          <w:color w:val="auto"/>
        </w:rPr>
      </w:pPr>
    </w:p>
    <w:p>
      <w:pPr>
        <w:ind w:left="1365"/>
        <w:spacing w:after="0"/>
        <w:rPr>
          <w:rFonts w:ascii="Arial" w:cs="Arial" w:eastAsia="Arial" w:hAnsi="Arial"/>
          <w:sz w:val="15"/>
          <w:szCs w:val="15"/>
          <w:color w:val="auto"/>
        </w:rPr>
      </w:pPr>
      <w:r>
        <w:rPr>
          <w:rFonts w:ascii="Arial" w:cs="Arial" w:eastAsia="Arial" w:hAnsi="Arial"/>
          <w:sz w:val="15"/>
          <w:szCs w:val="15"/>
          <w:color w:val="auto"/>
        </w:rPr>
        <w:t>7,451</w:t>
      </w:r>
    </w:p>
    <w:p>
      <w:pPr>
        <w:spacing w:after="0" w:line="57" w:lineRule="exact"/>
        <w:rPr>
          <w:rFonts w:ascii="Arial" w:cs="Arial" w:eastAsia="Arial" w:hAnsi="Arial"/>
          <w:sz w:val="15"/>
          <w:szCs w:val="15"/>
          <w:color w:val="auto"/>
        </w:rPr>
      </w:pPr>
    </w:p>
    <w:p>
      <w:pPr>
        <w:ind w:left="1365"/>
        <w:spacing w:after="0"/>
        <w:rPr>
          <w:rFonts w:ascii="Arial" w:cs="Arial" w:eastAsia="Arial" w:hAnsi="Arial"/>
          <w:sz w:val="15"/>
          <w:szCs w:val="15"/>
          <w:color w:val="auto"/>
        </w:rPr>
      </w:pPr>
      <w:r>
        <w:rPr>
          <w:rFonts w:ascii="Arial" w:cs="Arial" w:eastAsia="Arial" w:hAnsi="Arial"/>
          <w:sz w:val="15"/>
          <w:szCs w:val="15"/>
          <w:color w:val="auto"/>
        </w:rPr>
        <w:t>2,143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11830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50" w:lineRule="exact"/>
        <w:rPr>
          <w:sz w:val="20"/>
          <w:szCs w:val="20"/>
          <w:color w:val="auto"/>
        </w:rPr>
      </w:pPr>
    </w:p>
    <w:p>
      <w:pPr>
        <w:ind w:left="1285" w:hanging="1285"/>
        <w:spacing w:after="0"/>
        <w:tabs>
          <w:tab w:leader="none" w:pos="1285" w:val="left"/>
        </w:tabs>
        <w:numPr>
          <w:ilvl w:val="0"/>
          <w:numId w:val="8"/>
        </w:numPr>
        <w:rPr>
          <w:rFonts w:ascii="Arial" w:cs="Arial" w:eastAsia="Arial" w:hAnsi="Arial"/>
          <w:sz w:val="15"/>
          <w:szCs w:val="15"/>
          <w:color w:val="auto"/>
        </w:rPr>
      </w:pPr>
      <w:r>
        <w:rPr>
          <w:rFonts w:ascii="Arial" w:cs="Arial" w:eastAsia="Arial" w:hAnsi="Arial"/>
          <w:sz w:val="15"/>
          <w:szCs w:val="15"/>
          <w:color w:val="auto"/>
        </w:rPr>
        <w:t>74,295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1183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678" w:lineRule="exact"/>
        <w:rPr>
          <w:sz w:val="20"/>
          <w:szCs w:val="20"/>
          <w:color w:val="auto"/>
        </w:rPr>
      </w:pPr>
    </w:p>
    <w:p>
      <w:pPr>
        <w:sectPr>
          <w:pgSz w:w="11900" w:h="16838" w:orient="portrait"/>
          <w:cols w:equalWidth="0" w:num="2">
            <w:col w:w="8675" w:space="720"/>
            <w:col w:w="1845"/>
          </w:cols>
          <w:pgMar w:left="320" w:top="481" w:right="339" w:bottom="1440" w:gutter="0" w:footer="0" w:header="0"/>
          <w:type w:val="continuous"/>
        </w:sectPr>
      </w:pPr>
    </w:p>
    <w:p>
      <w:pPr>
        <w:ind w:right="200"/>
        <w:spacing w:after="0" w:line="342" w:lineRule="auto"/>
        <w:rPr>
          <w:sz w:val="20"/>
          <w:szCs w:val="20"/>
          <w:color w:val="auto"/>
        </w:rPr>
      </w:pPr>
      <w:r>
        <w:rPr>
          <w:rFonts w:ascii="Arial" w:cs="Arial" w:eastAsia="Arial" w:hAnsi="Arial"/>
          <w:sz w:val="16"/>
          <w:szCs w:val="16"/>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ectPr>
          <w:pgSz w:w="11900" w:h="16838" w:orient="portrait"/>
          <w:cols w:equalWidth="0" w:num="1">
            <w:col w:w="11240"/>
          </w:cols>
          <w:pgMar w:left="320" w:top="481" w:right="3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revenue by customer geographical region.</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13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76"/>
        </w:trPr>
        <w:tc>
          <w:tcPr>
            <w:tcW w:w="3940" w:type="dxa"/>
            <w:vAlign w:val="bottom"/>
            <w:gridSpan w:val="2"/>
          </w:tcPr>
          <w:p>
            <w:pPr>
              <w:spacing w:after="0"/>
              <w:rPr>
                <w:sz w:val="20"/>
                <w:szCs w:val="20"/>
                <w:color w:val="auto"/>
              </w:rPr>
            </w:pPr>
            <w:r>
              <w:rPr>
                <w:rFonts w:ascii="Arial" w:cs="Arial" w:eastAsia="Arial" w:hAnsi="Arial"/>
                <w:sz w:val="18"/>
                <w:szCs w:val="18"/>
                <w:color w:val="auto"/>
              </w:rPr>
              <w:t>United States and Puerto Rico</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China</w:t>
            </w:r>
          </w:p>
        </w:tc>
        <w:tc>
          <w:tcPr>
            <w:tcW w:w="1480" w:type="dxa"/>
            <w:vAlign w:val="bottom"/>
          </w:tcPr>
          <w:p>
            <w:pPr>
              <w:spacing w:after="0"/>
              <w:rPr>
                <w:sz w:val="19"/>
                <w:szCs w:val="19"/>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480" w:type="dxa"/>
            <w:vAlign w:val="bottom"/>
          </w:tcPr>
          <w:p>
            <w:pPr>
              <w:spacing w:after="0"/>
              <w:rPr>
                <w:sz w:val="19"/>
                <w:szCs w:val="19"/>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Mexico</w:t>
            </w:r>
          </w:p>
        </w:tc>
        <w:tc>
          <w:tcPr>
            <w:tcW w:w="1480" w:type="dxa"/>
            <w:vAlign w:val="bottom"/>
          </w:tcPr>
          <w:p>
            <w:pPr>
              <w:spacing w:after="0"/>
              <w:rPr>
                <w:sz w:val="19"/>
                <w:szCs w:val="19"/>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480" w:type="dxa"/>
            <w:vAlign w:val="bottom"/>
          </w:tcPr>
          <w:p>
            <w:pPr>
              <w:spacing w:after="0"/>
              <w:rPr>
                <w:sz w:val="19"/>
                <w:szCs w:val="19"/>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Poland</w:t>
            </w:r>
          </w:p>
        </w:tc>
        <w:tc>
          <w:tcPr>
            <w:tcW w:w="1480" w:type="dxa"/>
            <w:vAlign w:val="bottom"/>
          </w:tcPr>
          <w:p>
            <w:pPr>
              <w:spacing w:after="0"/>
              <w:rPr>
                <w:sz w:val="19"/>
                <w:szCs w:val="19"/>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9"/>
                <w:szCs w:val="19"/>
                <w:color w:val="auto"/>
              </w:rPr>
            </w:pPr>
          </w:p>
        </w:tc>
      </w:tr>
      <w:tr>
        <w:trPr>
          <w:trHeight w:val="244"/>
        </w:trPr>
        <w:tc>
          <w:tcPr>
            <w:tcW w:w="394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37"/>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6"/>
        </w:trPr>
        <w:tc>
          <w:tcPr>
            <w:tcW w:w="3940" w:type="dxa"/>
            <w:vAlign w:val="bottom"/>
            <w:gridSpan w:val="2"/>
          </w:tcPr>
          <w:p>
            <w:pPr>
              <w:spacing w:after="0"/>
              <w:rPr>
                <w:sz w:val="20"/>
                <w:szCs w:val="20"/>
                <w:color w:val="auto"/>
              </w:rPr>
            </w:pPr>
            <w:r>
              <w:rPr>
                <w:rFonts w:ascii="Arial" w:cs="Arial" w:eastAsia="Arial" w:hAnsi="Arial"/>
                <w:sz w:val="18"/>
                <w:szCs w:val="18"/>
                <w:color w:val="auto"/>
              </w:rPr>
              <w:t>United States and Puerto Rico</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China</w:t>
            </w:r>
          </w:p>
        </w:tc>
        <w:tc>
          <w:tcPr>
            <w:tcW w:w="1480" w:type="dxa"/>
            <w:vAlign w:val="bottom"/>
          </w:tcPr>
          <w:p>
            <w:pPr>
              <w:spacing w:after="0"/>
              <w:rPr>
                <w:sz w:val="19"/>
                <w:szCs w:val="19"/>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480" w:type="dxa"/>
            <w:vAlign w:val="bottom"/>
          </w:tcPr>
          <w:p>
            <w:pPr>
              <w:spacing w:after="0"/>
              <w:rPr>
                <w:sz w:val="19"/>
                <w:szCs w:val="19"/>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Mexico</w:t>
            </w:r>
          </w:p>
        </w:tc>
        <w:tc>
          <w:tcPr>
            <w:tcW w:w="1480" w:type="dxa"/>
            <w:vAlign w:val="bottom"/>
          </w:tcPr>
          <w:p>
            <w:pPr>
              <w:spacing w:after="0"/>
              <w:rPr>
                <w:sz w:val="19"/>
                <w:szCs w:val="19"/>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480" w:type="dxa"/>
            <w:vAlign w:val="bottom"/>
          </w:tcPr>
          <w:p>
            <w:pPr>
              <w:spacing w:after="0"/>
              <w:rPr>
                <w:sz w:val="19"/>
                <w:szCs w:val="19"/>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Poland</w:t>
            </w:r>
          </w:p>
        </w:tc>
        <w:tc>
          <w:tcPr>
            <w:tcW w:w="1480" w:type="dxa"/>
            <w:vAlign w:val="bottom"/>
          </w:tcPr>
          <w:p>
            <w:pPr>
              <w:spacing w:after="0"/>
              <w:rPr>
                <w:sz w:val="19"/>
                <w:szCs w:val="19"/>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9"/>
                <w:szCs w:val="19"/>
                <w:color w:val="auto"/>
              </w:rPr>
            </w:pPr>
          </w:p>
        </w:tc>
      </w:tr>
      <w:tr>
        <w:trPr>
          <w:trHeight w:val="244"/>
        </w:trPr>
        <w:tc>
          <w:tcPr>
            <w:tcW w:w="394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jc w:val="center"/>
              <w:ind w:right="434"/>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080" w:type="dxa"/>
            <w:vAlign w:val="bottom"/>
          </w:tcPr>
          <w:p>
            <w:pPr>
              <w:jc w:val="center"/>
              <w:ind w:right="434"/>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37,048</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36,433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73,479</w:t>
            </w:r>
          </w:p>
        </w:tc>
        <w:tc>
          <w:tcPr>
            <w:tcW w:w="0" w:type="dxa"/>
            <w:vAlign w:val="bottom"/>
          </w:tcPr>
          <w:p>
            <w:pPr>
              <w:spacing w:after="0"/>
              <w:rPr>
                <w:sz w:val="1"/>
                <w:szCs w:val="1"/>
                <w:color w:val="auto"/>
              </w:rPr>
            </w:pPr>
          </w:p>
        </w:tc>
      </w:tr>
      <w:tr>
        <w:trPr>
          <w:trHeight w:val="229"/>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12,414</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14,085</w:t>
            </w:r>
          </w:p>
        </w:tc>
        <w:tc>
          <w:tcPr>
            <w:tcW w:w="0" w:type="dxa"/>
            <w:vAlign w:val="bottom"/>
          </w:tcPr>
          <w:p>
            <w:pPr>
              <w:spacing w:after="0"/>
              <w:rPr>
                <w:sz w:val="1"/>
                <w:szCs w:val="1"/>
                <w:color w:val="auto"/>
              </w:rPr>
            </w:pPr>
          </w:p>
        </w:tc>
      </w:tr>
      <w:tr>
        <w:trPr>
          <w:trHeight w:val="230"/>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13,936</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30"/>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3,221</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30"/>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2,139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29"/>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1,397</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0"/>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8,806</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12,667</w:t>
            </w:r>
          </w:p>
        </w:tc>
        <w:tc>
          <w:tcPr>
            <w:tcW w:w="0" w:type="dxa"/>
            <w:vAlign w:val="bottom"/>
          </w:tcPr>
          <w:p>
            <w:pPr>
              <w:spacing w:after="0"/>
              <w:rPr>
                <w:sz w:val="1"/>
                <w:szCs w:val="1"/>
                <w:color w:val="auto"/>
              </w:rPr>
            </w:pPr>
          </w:p>
        </w:tc>
      </w:tr>
      <w:tr>
        <w:trPr>
          <w:trHeight w:val="223"/>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78,961</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124,443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1080" w:type="dxa"/>
            <w:vAlign w:val="bottom"/>
            <w:vMerge w:val="restart"/>
          </w:tcPr>
          <w:p>
            <w:pPr>
              <w:jc w:val="center"/>
              <w:ind w:right="434"/>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080" w:type="dxa"/>
            <w:vAlign w:val="bottom"/>
          </w:tcPr>
          <w:p>
            <w:pPr>
              <w:jc w:val="center"/>
              <w:ind w:right="434"/>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35,419</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39,579</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75,049</w:t>
            </w:r>
          </w:p>
        </w:tc>
        <w:tc>
          <w:tcPr>
            <w:tcW w:w="0" w:type="dxa"/>
            <w:vAlign w:val="bottom"/>
          </w:tcPr>
          <w:p>
            <w:pPr>
              <w:spacing w:after="0"/>
              <w:rPr>
                <w:sz w:val="1"/>
                <w:szCs w:val="1"/>
                <w:color w:val="auto"/>
              </w:rPr>
            </w:pPr>
          </w:p>
        </w:tc>
      </w:tr>
      <w:tr>
        <w:trPr>
          <w:trHeight w:val="229"/>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12,839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30"/>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14,109</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14,246</w:t>
            </w:r>
          </w:p>
        </w:tc>
        <w:tc>
          <w:tcPr>
            <w:tcW w:w="0" w:type="dxa"/>
            <w:vAlign w:val="bottom"/>
          </w:tcPr>
          <w:p>
            <w:pPr>
              <w:spacing w:after="0"/>
              <w:rPr>
                <w:sz w:val="1"/>
                <w:szCs w:val="1"/>
                <w:color w:val="auto"/>
              </w:rPr>
            </w:pPr>
          </w:p>
        </w:tc>
      </w:tr>
      <w:tr>
        <w:trPr>
          <w:trHeight w:val="230"/>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5,185</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30"/>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1,432</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29"/>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1,100</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30"/>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6,038</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11,213</w:t>
            </w:r>
          </w:p>
        </w:tc>
        <w:tc>
          <w:tcPr>
            <w:tcW w:w="0" w:type="dxa"/>
            <w:vAlign w:val="bottom"/>
          </w:tcPr>
          <w:p>
            <w:pPr>
              <w:spacing w:after="0"/>
              <w:rPr>
                <w:sz w:val="1"/>
                <w:szCs w:val="1"/>
                <w:color w:val="auto"/>
              </w:rPr>
            </w:pPr>
          </w:p>
        </w:tc>
      </w:tr>
      <w:tr>
        <w:trPr>
          <w:trHeight w:val="223"/>
        </w:trPr>
        <w:tc>
          <w:tcPr>
            <w:tcW w:w="1080" w:type="dxa"/>
            <w:vAlign w:val="bottom"/>
          </w:tcPr>
          <w:p>
            <w:pPr>
              <w:jc w:val="right"/>
              <w:ind w:right="94"/>
              <w:spacing w:after="0"/>
              <w:rPr>
                <w:sz w:val="20"/>
                <w:szCs w:val="20"/>
                <w:color w:val="auto"/>
              </w:rPr>
            </w:pPr>
            <w:r>
              <w:rPr>
                <w:rFonts w:ascii="Arial" w:cs="Arial" w:eastAsia="Arial" w:hAnsi="Arial"/>
                <w:sz w:val="18"/>
                <w:szCs w:val="18"/>
                <w:color w:val="auto"/>
              </w:rPr>
              <w:t>76,122</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51,124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127,297</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-2665095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-2373630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-2082165</wp:posOffset>
            </wp:positionV>
            <wp:extent cx="7132320" cy="334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-2965450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-916305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-624840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-333375</wp:posOffset>
            </wp:positionV>
            <wp:extent cx="7132320" cy="3340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-1216660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300"/>
            <w:col w:w="5500"/>
          </w:cols>
          <w:pgMar w:left="320" w:top="481" w:right="33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Mobile</w:t>
            </w:r>
          </w:p>
        </w:tc>
        <w:tc>
          <w:tcPr>
            <w:tcW w:w="260" w:type="dxa"/>
            <w:vAlign w:val="bottom"/>
          </w:tcPr>
          <w:p>
            <w:pPr>
              <w:spacing w:after="0"/>
              <w:rPr>
                <w:sz w:val="14"/>
                <w:szCs w:val="1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Power</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 2023</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and Puerto Rico</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93"/>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42,194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20,998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234,132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Arial" w:cs="Arial" w:eastAsia="Arial" w:hAnsi="Arial"/>
                <w:sz w:val="18"/>
                <w:szCs w:val="18"/>
                <w:color w:val="auto"/>
                <w:w w:val="93"/>
              </w:rPr>
              <w:t>(13)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 2022</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and Puerto Rico</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38,010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Mexico</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32,204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Poland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225,542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155,184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815"/>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380,726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specification plating, and surface finishing.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2023</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5" w:lineRule="exact"/>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560" w:type="dxa"/>
            <w:vAlign w:val="bottom"/>
            <w:tcBorders>
              <w:top w:val="single" w:sz="8" w:color="auto"/>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560" w:type="dxa"/>
            <w:vAlign w:val="bottom"/>
            <w:tcBorders>
              <w:top w:val="single" w:sz="8" w:color="auto"/>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34,297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 2023</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81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97,191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Arial" w:cs="Arial" w:eastAsia="Arial" w:hAnsi="Arial"/>
                <w:sz w:val="18"/>
                <w:szCs w:val="18"/>
                <w:color w:val="auto"/>
                <w:w w:val="93"/>
              </w:rPr>
              <w:t>(13)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3"/>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 2022</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81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109,609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7"/>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7"/>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36,674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center"/>
              <w:ind w:left="81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Deferred revenue relates to payments received in advance of performance under the contract and recognized as revenue as (or when) we perform under the contract. The balance of deferred revenue was $1.1 million and $0.7 million as of September 30, 2023 and December 31, 2022, respectively. Revenue recognized for performance obligations satisfied or partially satisfied during the nine months ended September 30, 2023 included $0.7 million that was included in deferred revenue as of December 31,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6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required to disclose the aggregate amount of transaction price that is allocated to performance obligations that have not yet been satisfied as of September 30, 2023, unless our contracts meet one of the practical expedients. Our contracts met the practical expedient for a performance obligation that is part of a contract that has an original expected duration of one year or less.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121" w:lineRule="exact"/>
        <w:rPr>
          <w:sz w:val="20"/>
          <w:szCs w:val="20"/>
          <w:color w:val="auto"/>
        </w:rPr>
      </w:pPr>
    </w:p>
    <w:p>
      <w:pPr>
        <w:ind w:right="700"/>
        <w:spacing w:after="0" w:line="318" w:lineRule="auto"/>
        <w:rPr>
          <w:sz w:val="20"/>
          <w:szCs w:val="20"/>
          <w:color w:val="auto"/>
        </w:rPr>
      </w:pPr>
      <w:r>
        <w:rPr>
          <w:rFonts w:ascii="Arial" w:cs="Arial" w:eastAsia="Arial" w:hAnsi="Arial"/>
          <w:sz w:val="17"/>
          <w:szCs w:val="17"/>
          <w:color w:val="auto"/>
        </w:rPr>
        <w:t>The following table lists the components of share-based compensation expense by type of award, which is recognized in the “Selling, general, and administrative expense” line in the Condensed Consolidated Statements of Operations and Comprehensive Income (Loss).</w:t>
      </w:r>
    </w:p>
    <w:tbl>
      <w:tblPr>
        <w:tblLayout w:type="fixed"/>
        <w:tblInd w:w="0" w:type="dxa"/>
        <w:tblCellMar>
          <w:top w:w="0" w:type="dxa"/>
          <w:left w:w="0" w:type="dxa"/>
          <w:bottom w:w="0" w:type="dxa"/>
          <w:right w:w="0" w:type="dxa"/>
        </w:tblCellMar>
      </w:tblPr>
      <w:tr>
        <w:trPr>
          <w:trHeight w:val="144"/>
        </w:trPr>
        <w:tc>
          <w:tcPr>
            <w:tcW w:w="4820" w:type="dxa"/>
            <w:vAlign w:val="bottom"/>
          </w:tcPr>
          <w:p>
            <w:pPr>
              <w:spacing w:after="0"/>
              <w:rPr>
                <w:sz w:val="12"/>
                <w:szCs w:val="12"/>
                <w:color w:val="auto"/>
              </w:rPr>
            </w:pPr>
          </w:p>
        </w:tc>
        <w:tc>
          <w:tcPr>
            <w:tcW w:w="2620" w:type="dxa"/>
            <w:vAlign w:val="bottom"/>
            <w:gridSpan w:val="4"/>
          </w:tcPr>
          <w:p>
            <w:pPr>
              <w:jc w:val="right"/>
              <w:ind w:right="336"/>
              <w:spacing w:after="0" w:line="145" w:lineRule="exact"/>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w w:val="94"/>
              </w:rPr>
              <w:t>Nine Months Ended</w:t>
            </w:r>
          </w:p>
        </w:tc>
        <w:tc>
          <w:tcPr>
            <w:tcW w:w="960" w:type="dxa"/>
            <w:vAlign w:val="bottom"/>
          </w:tcPr>
          <w:p>
            <w:pPr>
              <w:spacing w:after="0"/>
              <w:rPr>
                <w:sz w:val="12"/>
                <w:szCs w:val="12"/>
                <w:color w:val="auto"/>
              </w:rPr>
            </w:pPr>
          </w:p>
        </w:tc>
      </w:tr>
      <w:tr>
        <w:trPr>
          <w:trHeight w:val="196"/>
        </w:trPr>
        <w:tc>
          <w:tcPr>
            <w:tcW w:w="48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Performance share units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1,207</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3,862</w:t>
            </w:r>
          </w:p>
        </w:tc>
      </w:tr>
      <w:tr>
        <w:trPr>
          <w:trHeight w:val="20"/>
        </w:trPr>
        <w:tc>
          <w:tcPr>
            <w:tcW w:w="4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status of unvested restricted stock awards as of September 30, 2023 and changes during the nine months then ended.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r>
      <w:tr>
        <w:trPr>
          <w:trHeight w:val="144"/>
        </w:trPr>
        <w:tc>
          <w:tcPr>
            <w:tcW w:w="782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w w:val="96"/>
              </w:rPr>
              <w:t>Grant-Date</w:t>
            </w:r>
          </w:p>
        </w:tc>
      </w:tr>
      <w:tr>
        <w:trPr>
          <w:trHeight w:val="196"/>
        </w:trPr>
        <w:tc>
          <w:tcPr>
            <w:tcW w:w="78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Fair Value</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1,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1.51</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nine months ended September 30, 2023, we granted 1,881,000 shares of restricted stock to non-executive directors, officers and certain other employees under the NN, Inc. 2022 Omnibus Incentive Plan (“2022 Omnibus Plan”). The shares of restricted stock vest pro-rata generally over three years for employees and over one year for non-executive directors.</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nine months ended September 30, 2023, we granted 1,830,000 shares of restricted stock to new executive officers as inducement awards, which vest pro-rata over five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Total grant date fair value of restricted stock that vested in the nine months ended September 30, 2023, was $4.1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The following table presents the status of unvested PSUs as of September 30, 2023 and activity during the nine months then ended.</w:t>
      </w:r>
    </w:p>
    <w:tbl>
      <w:tblPr>
        <w:tblLayout w:type="fixed"/>
        <w:tblInd w:w="0" w:type="dxa"/>
        <w:tblCellMar>
          <w:top w:w="0" w:type="dxa"/>
          <w:left w:w="0" w:type="dxa"/>
          <w:bottom w:w="0" w:type="dxa"/>
          <w:right w:w="0" w:type="dxa"/>
        </w:tblCellMar>
      </w:tblPr>
      <w:tr>
        <w:trPr>
          <w:trHeight w:val="145"/>
        </w:trPr>
        <w:tc>
          <w:tcPr>
            <w:tcW w:w="7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5"/>
              </w:rPr>
              <w:t>Weighted Average Grant-</w:t>
            </w:r>
          </w:p>
        </w:tc>
        <w:tc>
          <w:tcPr>
            <w:tcW w:w="0" w:type="dxa"/>
            <w:vAlign w:val="bottom"/>
          </w:tcPr>
          <w:p>
            <w:pPr>
              <w:spacing w:after="0"/>
              <w:rPr>
                <w:sz w:val="1"/>
                <w:szCs w:val="1"/>
                <w:color w:val="auto"/>
              </w:rPr>
            </w:pPr>
          </w:p>
        </w:tc>
      </w:tr>
      <w:tr>
        <w:trPr>
          <w:trHeight w:val="139"/>
        </w:trPr>
        <w:tc>
          <w:tcPr>
            <w:tcW w:w="7840" w:type="dxa"/>
            <w:vAlign w:val="bottom"/>
          </w:tcPr>
          <w:p>
            <w:pPr>
              <w:spacing w:after="0"/>
              <w:rPr>
                <w:sz w:val="12"/>
                <w:szCs w:val="12"/>
                <w:color w:val="auto"/>
              </w:rPr>
            </w:pPr>
          </w:p>
        </w:tc>
        <w:tc>
          <w:tcPr>
            <w:tcW w:w="1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Nonvested PSU Awards</w:t>
            </w:r>
          </w:p>
        </w:tc>
        <w:tc>
          <w:tcPr>
            <w:tcW w:w="300" w:type="dxa"/>
            <w:vAlign w:val="bottom"/>
          </w:tcPr>
          <w:p>
            <w:pPr>
              <w:spacing w:after="0"/>
              <w:rPr>
                <w:sz w:val="12"/>
                <w:szCs w:val="12"/>
                <w:color w:val="auto"/>
              </w:rPr>
            </w:pPr>
          </w:p>
        </w:tc>
        <w:tc>
          <w:tcPr>
            <w:tcW w:w="1340" w:type="dxa"/>
            <w:vAlign w:val="bottom"/>
          </w:tcPr>
          <w:p>
            <w:pPr>
              <w:jc w:val="right"/>
              <w:ind w:right="595"/>
              <w:spacing w:after="0" w:line="139"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6"/>
        </w:trPr>
        <w:tc>
          <w:tcPr>
            <w:tcW w:w="784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
        </w:trPr>
        <w:tc>
          <w:tcPr>
            <w:tcW w:w="78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1, 2023</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3,621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nine months ended September 30, 2023, we granted 561,000 PSUs to certain executive officers. These units vest, if at all, upon our achieving a specified relative total shareholder return, which will be measured against the total shareholder return of a specified index during the three-year performance period that ends December 31, 2025.</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we granted 3,060,000 PSUs to new executive officers as inducement awards. These units cliff-vest after five years and are contingent on the Company’s stock price meeting specified thresholds.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We estimated the grant date fair value of the PSU awards using the Monte Carlo simulation model, as the total shareholder return metric and changes in stock price are considered market conditions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nine months ended September 30, 2023, 67,000 PSUs were subject to accelerated vesting upon a participant’s termination that was a qualifying event under the terms of the PSU award agreements. Total grant date fair value of PSUs that vested in the nine months ended September 30, 2023, was $0.3 million.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components of accumulated other comprehensive income (loss) (“AOCI”).</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Income taxes (1)</w:t>
            </w:r>
          </w:p>
        </w:tc>
        <w:tc>
          <w:tcPr>
            <w:tcW w:w="30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(38,801)</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(36,167)</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(6,865)</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Interest rate swap</w:t>
            </w:r>
          </w:p>
        </w:tc>
        <w:tc>
          <w:tcPr>
            <w:tcW w:w="120" w:type="dxa"/>
            <w:vAlign w:val="bottom"/>
          </w:tcPr>
          <w:p>
            <w:pPr>
              <w:spacing w:after="0"/>
              <w:rPr>
                <w:sz w:val="24"/>
                <w:szCs w:val="2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Income taxes (1)</w:t>
            </w:r>
          </w:p>
        </w:tc>
        <w:tc>
          <w:tcPr>
            <w:tcW w:w="300" w:type="dxa"/>
            <w:vAlign w:val="bottom"/>
          </w:tcPr>
          <w:p>
            <w:pPr>
              <w:spacing w:after="0"/>
              <w:rPr>
                <w:sz w:val="24"/>
                <w:szCs w:val="2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14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(37,120)</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(31,902)</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(11,079)</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(13,543)</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(11,130)</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17" w:lineRule="exact"/>
        <w:rPr>
          <w:sz w:val="20"/>
          <w:szCs w:val="20"/>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Income tax effect of changes in interest rate swap.</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(gain) loss recognized in interest expense on effective interest rate swap.</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Loss Per Common Share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loss per common share.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(29,609)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(14,084)</w:t>
            </w:r>
          </w:p>
        </w:tc>
      </w:tr>
      <w:tr>
        <w:trPr>
          <w:trHeight w:val="175"/>
        </w:trPr>
        <w:tc>
          <w:tcPr>
            <w:tcW w:w="56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 for preferred stock cumulative dividends and deemed</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dividends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Numerator for basic and diluted net loss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(8,404)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(39,203)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(22,063)</w:t>
            </w:r>
          </w:p>
        </w:tc>
      </w:tr>
      <w:tr>
        <w:trPr>
          <w:trHeight w:val="216"/>
        </w:trPr>
        <w:tc>
          <w:tcPr>
            <w:tcW w:w="5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43,695</w:t>
            </w:r>
          </w:p>
        </w:tc>
      </w:tr>
      <w:tr>
        <w:trPr>
          <w:trHeight w:val="230"/>
        </w:trPr>
        <w:tc>
          <w:tcPr>
            <w:tcW w:w="5660" w:type="dxa"/>
            <w:vAlign w:val="bottom"/>
          </w:tcPr>
          <w:p>
            <w:pPr>
              <w:ind w:left="180"/>
              <w:spacing w:after="0"/>
              <w:rPr>
                <w:sz w:val="20"/>
                <w:szCs w:val="20"/>
                <w:color w:val="auto"/>
              </w:rPr>
            </w:pPr>
            <w:r>
              <w:rPr>
                <w:rFonts w:ascii="Arial" w:cs="Arial" w:eastAsia="Arial" w:hAnsi="Arial"/>
                <w:sz w:val="18"/>
                <w:szCs w:val="18"/>
                <w:color w:val="auto"/>
              </w:rPr>
              <w:t>Adjustment for participating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29"/>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for warrants outstanding (1)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Shares used to calculate basic and diluted net loss per share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47,539</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44,670</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59" w:lineRule="exact"/>
        <w:rPr>
          <w:sz w:val="20"/>
          <w:szCs w:val="20"/>
          <w:color w:val="auto"/>
        </w:rPr>
      </w:pPr>
    </w:p>
    <w:p>
      <w:pPr>
        <w:ind w:left="980" w:right="160" w:hanging="324"/>
        <w:spacing w:after="0" w:line="277" w:lineRule="auto"/>
        <w:tabs>
          <w:tab w:leader="none" w:pos="10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Outstanding warrants that are exercisable at an exercise price of $0.01 per share, are included in shares outstanding for calculation of basic earnings per share (see Note 15).</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presents securities that could be potentially dilutive in the future that were excluded from the calculation of diluted net loss per common share because they had an anti-dilutive effect.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620" w:type="dxa"/>
            <w:vAlign w:val="bottom"/>
          </w:tcPr>
          <w:p>
            <w:pPr>
              <w:spacing w:after="0"/>
              <w:rPr>
                <w:sz w:val="16"/>
                <w:szCs w:val="16"/>
                <w:color w:val="auto"/>
              </w:rPr>
            </w:pPr>
          </w:p>
        </w:tc>
        <w:tc>
          <w:tcPr>
            <w:tcW w:w="186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2019 Warrants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r>
      <w:tr>
        <w:trPr>
          <w:trHeight w:val="248"/>
        </w:trPr>
        <w:tc>
          <w:tcPr>
            <w:tcW w:w="5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Stock options excluded from the calculations of diluted net loss per share had a per share exercise price ranging from $7.93 to $25.16 for the three and nine months ended September 30, 2023. The 2019 Warrants excluded from the calculation of diluted net loss per share had a per share exercise price of $11.03.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6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2022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6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In accordance with ASC 815-15, </w:t>
      </w:r>
      <w:r>
        <w:rPr>
          <w:rFonts w:ascii="Arial" w:cs="Arial" w:eastAsia="Arial" w:hAnsi="Arial"/>
          <w:sz w:val="18"/>
          <w:szCs w:val="18"/>
          <w:i w:val="1"/>
          <w:iCs w:val="1"/>
          <w:color w:val="auto"/>
        </w:rPr>
        <w:t>Derivatives and Hedging - Embedded Derivatives</w:t>
      </w:r>
      <w:r>
        <w:rPr>
          <w:rFonts w:ascii="Arial" w:cs="Arial" w:eastAsia="Arial" w:hAnsi="Arial"/>
          <w:sz w:val="18"/>
          <w:szCs w:val="18"/>
          <w:color w:val="auto"/>
        </w:rPr>
        <w:t>, certain features of our preferred stock and long term debt were bifurcated and accounted for as derivatives separately.</w:t>
      </w:r>
    </w:p>
    <w:p>
      <w:pPr>
        <w:spacing w:after="0" w:line="62"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In conjunction with the Term Loan Amendment, we issued warrants to purchase up to 2.0 million shares of our common stock at an exercise price of $0.01 per share (the “2023 Warrants”). The 2023 Warrants are exercisable, in full or in part, at any time up to ten years after issuance. The 2023 Warrants include anti-dilution adjustments in the event of certain future equity issuances, stock splits, stock dividends, combinations or similar events.</w:t>
      </w:r>
    </w:p>
    <w:p>
      <w:pPr>
        <w:spacing w:after="0" w:line="4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In conjunction with our placement of the Series D Preferred Stock, we issued the 2021 Warrants to purchase up to 1.9 million shares of our common stock. The 2021 Warrants are exercisable, in full or in part, at any time prior to March 22, 2027, at 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9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exercise price of $0.01 per share, subject to anti-dilution adjustments in the event of certain future equity issuances, stock splits, stock dividends, combinations or similar events.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Series D Preferred Stock includes a put feature that allows the holder to redeem the Series D Preferred Stock upon a change in control at the greater of</w:t>
      </w:r>
    </w:p>
    <w:p>
      <w:pPr>
        <w:spacing w:after="0" w:line="46" w:lineRule="exact"/>
        <w:rPr>
          <w:sz w:val="20"/>
          <w:szCs w:val="20"/>
          <w:color w:val="auto"/>
        </w:rPr>
      </w:pPr>
    </w:p>
    <w:p>
      <w:pPr>
        <w:ind w:firstLine="8"/>
        <w:spacing w:after="0" w:line="260" w:lineRule="auto"/>
        <w:tabs>
          <w:tab w:leader="none" w:pos="1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liquidation preference plus accrued dividends or 2) 140% of the liquidation preference. The put feature is considered a redemption right at a premium and is not clearly and closely related to the debt host.</w:t>
      </w:r>
    </w:p>
    <w:p>
      <w:pPr>
        <w:spacing w:after="0" w:line="7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conjunction with our placement of the Series B Preferred Stock, we issued detachable warrants to purchase up to 1.5 million shares of our common stock at an exercise price of $12.00 per share (the “2019 Warrants”). The 2019 Warrants, are exercisable, in full or in part, at any time prior to December 11, 2026 and are subject to anti-dilution adjustments in the event of future below market issuances, stock splits, stock dividends, combinations or similar events. Due to the dilutive impact of subsequent issuances of warrants, the exercise price of the 2019 Warrants has been adjusted to $11.03 per share.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change in the liability balance of the embedded derivatives during the nine months ended September 30, 2023.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Issuances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2,712</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(1)</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r>
      <w:tr>
        <w:trPr>
          <w:trHeight w:val="223"/>
        </w:trPr>
        <w:tc>
          <w:tcPr>
            <w:tcW w:w="9800" w:type="dxa"/>
            <w:vAlign w:val="bottom"/>
          </w:tcPr>
          <w:p>
            <w:pPr>
              <w:ind w:left="20"/>
              <w:spacing w:after="0"/>
              <w:rPr>
                <w:sz w:val="20"/>
                <w:szCs w:val="20"/>
                <w:color w:val="auto"/>
              </w:rPr>
            </w:pPr>
            <w:r>
              <w:rPr>
                <w:rFonts w:ascii="Arial" w:cs="Arial" w:eastAsia="Arial" w:hAnsi="Arial"/>
                <w:sz w:val="18"/>
                <w:szCs w:val="18"/>
                <w:color w:val="auto"/>
              </w:rPr>
              <w:t>Balance as of September 30, 2023</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7,313</w:t>
            </w:r>
          </w:p>
        </w:tc>
      </w:tr>
      <w:tr>
        <w:trPr>
          <w:trHeight w:val="21"/>
        </w:trPr>
        <w:tc>
          <w:tcPr>
            <w:tcW w:w="9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113" w:lineRule="exact"/>
        <w:rPr>
          <w:sz w:val="20"/>
          <w:szCs w:val="20"/>
          <w:color w:val="auto"/>
        </w:rPr>
      </w:pPr>
    </w:p>
    <w:p>
      <w:pPr>
        <w:ind w:left="660" w:right="160" w:hanging="328"/>
        <w:spacing w:after="0" w:line="277" w:lineRule="auto"/>
        <w:tabs>
          <w:tab w:leader="none" w:pos="7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fair value are recognized in the “Other expense (income), net” line in the Condensed Consolidated Statements of Operations and Comprehensive Income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fair values of the embedded derivatives within the fair value hierarchy.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14"/>
                <w:szCs w:val="14"/>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Significant 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320" w:type="dxa"/>
            <w:vAlign w:val="bottom"/>
          </w:tcPr>
          <w:p>
            <w:pPr>
              <w:jc w:val="center"/>
              <w:ind w:right="242"/>
              <w:spacing w:after="0" w:line="144"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(Level 2)</w:t>
            </w:r>
          </w:p>
        </w:tc>
        <w:tc>
          <w:tcPr>
            <w:tcW w:w="320" w:type="dxa"/>
            <w:vAlign w:val="bottom"/>
          </w:tcPr>
          <w:p>
            <w:pPr>
              <w:spacing w:after="0"/>
              <w:rPr>
                <w:sz w:val="12"/>
                <w:szCs w:val="12"/>
                <w:color w:val="auto"/>
              </w:rPr>
            </w:pPr>
          </w:p>
        </w:tc>
        <w:tc>
          <w:tcPr>
            <w:tcW w:w="1320" w:type="dxa"/>
            <w:vAlign w:val="bottom"/>
          </w:tcPr>
          <w:p>
            <w:pPr>
              <w:jc w:val="center"/>
              <w:ind w:right="262"/>
              <w:spacing w:after="0" w:line="12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liability - other non-current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24"/>
                <w:szCs w:val="24"/>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Significant Unobservable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132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(Level 2)</w:t>
            </w:r>
          </w:p>
        </w:tc>
        <w:tc>
          <w:tcPr>
            <w:tcW w:w="320" w:type="dxa"/>
            <w:vAlign w:val="bottom"/>
          </w:tcPr>
          <w:p>
            <w:pPr>
              <w:spacing w:after="0"/>
              <w:rPr>
                <w:sz w:val="12"/>
                <w:szCs w:val="12"/>
                <w:color w:val="auto"/>
              </w:rPr>
            </w:pPr>
          </w:p>
        </w:tc>
        <w:tc>
          <w:tcPr>
            <w:tcW w:w="132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liability - other non-current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fair value of the 2023 Warrants and 2021 Warrants is determined using the observable market price of a share of our common stock, less the $0.01 per share exercise price.</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fair value of the change-in-control put feature utilizes unobservable inputs based on the Company’s assessment of the probability of a change-in-control event occurring in a future period. The probability of a change-in-control event was 3% as of September 30, 2023 and ranged from 3% to 10% as of December 31, 2022.</w:t>
      </w:r>
    </w:p>
    <w:p>
      <w:pPr>
        <w:spacing w:after="0" w:line="76"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fair value of the 2019 Warrants is determined using a valuation model that utilizes unobservable inputs to determine the probability that the 2019 Warrants will remain outstanding for future periods. The probabilities resulted in a weighted average term of 2.9 years as of September 30, 2023 and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6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July 22, 2021, we entered into a fixed-rate interest rate swap agreement to change the LIBOR-based component of the interest rate on a portion of our variable rate debt to a fixed rate of 1.291% (the “2021 Swap”). The 2021 Swap had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fair value of the 2021 Swap. Since the 2021 Swap was an effective cash flow hedge and the forecasted interest payments remaining probable of occurring, the gain will be recognized as a reduction to interest expense through the original maturity date of July 31, 2024.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98"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color w:val="auto"/>
        </w:rPr>
        <w:t>The following table presents the effects of the interest rate swap on the Condensed Consolidated Statements of Operations and Comprehensive Income (Loss).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60" w:type="dxa"/>
            <w:vAlign w:val="bottom"/>
            <w:gridSpan w:val="6"/>
          </w:tcPr>
          <w:p>
            <w:pPr>
              <w:jc w:val="center"/>
              <w:ind w:right="24"/>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center"/>
              <w:ind w:right="444"/>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44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(benefit) (1)</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(64)</w:t>
            </w:r>
          </w:p>
        </w:tc>
        <w:tc>
          <w:tcPr>
            <w:tcW w:w="0" w:type="dxa"/>
            <w:vAlign w:val="bottom"/>
          </w:tcPr>
          <w:p>
            <w:pPr>
              <w:spacing w:after="0"/>
              <w:rPr>
                <w:sz w:val="1"/>
                <w:szCs w:val="1"/>
                <w:color w:val="auto"/>
              </w:rPr>
            </w:pPr>
          </w:p>
        </w:tc>
      </w:tr>
      <w:tr>
        <w:trPr>
          <w:trHeight w:val="258"/>
        </w:trPr>
        <w:tc>
          <w:tcPr>
            <w:tcW w:w="5620" w:type="dxa"/>
            <w:vAlign w:val="bottom"/>
            <w:gridSpan w:val="3"/>
          </w:tcPr>
          <w:p>
            <w:pPr>
              <w:spacing w:after="0"/>
              <w:rPr>
                <w:sz w:val="20"/>
                <w:szCs w:val="20"/>
                <w:color w:val="auto"/>
              </w:rPr>
            </w:pPr>
            <w:r>
              <w:rPr>
                <w:rFonts w:ascii="Arial" w:cs="Arial" w:eastAsia="Arial" w:hAnsi="Arial"/>
                <w:sz w:val="14"/>
                <w:szCs w:val="14"/>
                <w:color w:val="auto"/>
              </w:rPr>
              <w:t>_______________________________</w:t>
            </w: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000" w:type="dxa"/>
            <w:vAlign w:val="bottom"/>
            <w:gridSpan w:val="6"/>
          </w:tcPr>
          <w:p>
            <w:pPr>
              <w:ind w:left="320"/>
              <w:spacing w:after="0"/>
              <w:rPr>
                <w:sz w:val="20"/>
                <w:szCs w:val="20"/>
                <w:color w:val="auto"/>
              </w:rPr>
            </w:pPr>
            <w:r>
              <w:rPr>
                <w:rFonts w:ascii="Arial" w:cs="Arial" w:eastAsia="Arial" w:hAnsi="Arial"/>
                <w:sz w:val="18"/>
                <w:szCs w:val="18"/>
                <w:color w:val="auto"/>
                <w:w w:val="94"/>
              </w:rPr>
              <w:t>(1) Represents (gain) loss recognized in interest expense on effective interest rate swap.</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020" w:type="dxa"/>
            <w:vAlign w:val="bottom"/>
            <w:gridSpan w:val="7"/>
          </w:tcPr>
          <w:p>
            <w:pPr>
              <w:spacing w:after="0"/>
              <w:rPr>
                <w:sz w:val="20"/>
                <w:szCs w:val="20"/>
                <w:color w:val="auto"/>
              </w:rPr>
            </w:pPr>
            <w:r>
              <w:rPr>
                <w:rFonts w:ascii="Arial" w:cs="Arial" w:eastAsia="Arial" w:hAnsi="Arial"/>
                <w:sz w:val="18"/>
                <w:szCs w:val="18"/>
                <w:color w:val="auto"/>
                <w:w w:val="92"/>
              </w:rPr>
              <w:t>The following table shows the fair value of the interest rate swap within the fair value hierarchy.</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15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5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2022</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4"/>
          </w:tcPr>
          <w:p>
            <w:pPr>
              <w:jc w:val="center"/>
              <w:ind w:right="480"/>
              <w:spacing w:after="0" w:line="145" w:lineRule="exact"/>
              <w:rPr>
                <w:sz w:val="20"/>
                <w:szCs w:val="20"/>
                <w:color w:val="auto"/>
              </w:rPr>
            </w:pPr>
            <w:r>
              <w:rPr>
                <w:rFonts w:ascii="Arial" w:cs="Arial" w:eastAsia="Arial" w:hAnsi="Arial"/>
                <w:sz w:val="14"/>
                <w:szCs w:val="14"/>
                <w:b w:val="1"/>
                <w:bCs w:val="1"/>
                <w:color w:val="auto"/>
                <w:w w:val="82"/>
              </w:rPr>
              <w:t>Assets</w:t>
            </w:r>
          </w:p>
        </w:tc>
        <w:tc>
          <w:tcPr>
            <w:tcW w:w="158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3"/>
              </w:rPr>
              <w:t>Observable 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left="24"/>
              <w:spacing w:after="0" w:line="145" w:lineRule="exact"/>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gridSpan w:val="4"/>
          </w:tcPr>
          <w:p>
            <w:pPr>
              <w:jc w:val="center"/>
              <w:ind w:right="480"/>
              <w:spacing w:after="0" w:line="129" w:lineRule="exact"/>
              <w:rPr>
                <w:sz w:val="20"/>
                <w:szCs w:val="20"/>
                <w:color w:val="auto"/>
              </w:rPr>
            </w:pPr>
            <w:r>
              <w:rPr>
                <w:rFonts w:ascii="Arial" w:cs="Arial" w:eastAsia="Arial" w:hAnsi="Arial"/>
                <w:sz w:val="14"/>
                <w:szCs w:val="14"/>
                <w:b w:val="1"/>
                <w:bCs w:val="1"/>
                <w:color w:val="auto"/>
                <w:w w:val="94"/>
              </w:rPr>
              <w:t>(Level 1)</w:t>
            </w:r>
          </w:p>
        </w:tc>
        <w:tc>
          <w:tcPr>
            <w:tcW w:w="520" w:type="dxa"/>
            <w:vAlign w:val="bottom"/>
          </w:tcPr>
          <w:p>
            <w:pPr>
              <w:spacing w:after="0"/>
              <w:rPr>
                <w:sz w:val="12"/>
                <w:szCs w:val="12"/>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(Level 2)</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left="4"/>
              <w:spacing w:after="0" w:line="129" w:lineRule="exact"/>
              <w:rPr>
                <w:sz w:val="20"/>
                <w:szCs w:val="20"/>
                <w:color w:val="auto"/>
              </w:rPr>
            </w:pPr>
            <w:r>
              <w:rPr>
                <w:rFonts w:ascii="Arial" w:cs="Arial" w:eastAsia="Arial" w:hAnsi="Arial"/>
                <w:sz w:val="14"/>
                <w:szCs w:val="14"/>
                <w:b w:val="1"/>
                <w:bCs w:val="1"/>
                <w:color w:val="auto"/>
                <w:w w:val="94"/>
              </w:rPr>
              <w:t>(Level 3)</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asset - other current assets</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2,130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Derivative asset - other non-current assets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88"/>
              </w:rPr>
              <w:t>1,023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7"/>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3,153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fair value of the interest rate swap is calculated through standard pricing models which use inputs derived from or corroborated by observable market data such as interest rate yield curves, index forward curves, discount curves, and volatility surfaces. The counterparty to these derivative contracts is a highly rated financial institution which we believe carries only a minimal risk of nonperformance.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Disclosures</w:t>
      </w:r>
    </w:p>
    <w:p>
      <w:pPr>
        <w:spacing w:after="0" w:line="6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financial instruments that are subject to fair value disclosure consist of cash and cash equivalents, accounts receivable, accounts payable, and debt. As of September 30, 2023 and December 31, 2022, the carrying values of these financial instruments, except for debt, approximated fair value. The fair value of our debt was $167.2 million and $155.2 million, with a carrying amount of $152.6 million and $152.7 million, as of September 30, 2023 and December 31, 2022, respectively. The fair value of debt was calculated by discounting the future cash flows to its present value using prevailing market interest rates for debt with similar creditworthiness, terms and maturities and is considered a Level 3 fair value measurement.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is intended to help the reader understand the results of operations and financial condition of NN, Inc. and its consolidated subsidiaries for the three and nine months ended September 30, 2023. The financial information as of September 30, 2023, should be read in conjunction with the consolidated financial statements for the year ended December 31, 2022, contained in our Annual Report on Form 10-K for the year ended December 31, 2022, and the Condensed Consolidated Financial Statements included in this Quarterly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NN, Inc. is a global diversified industrial company that combines advanced engineering and production capabilities with in-depth materials science expertise to design and manufacture high-precision components and assemblies primarily for the electrical, automotive, general industrial, aerospace, defense, and medical markets. As used in this Quarterly Report, the terms “NN,” the “Company,” “we,” “our,” or “us” refer to NN, Inc. and its subsidiaries.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6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Quarterly Report contains forward-looking statements within the meaning of Section 27A of the Securities Act of 1933, as amended, and Section 21E of the Securities Exchange Act of 1934, as amended (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including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(including the Russia/Ukraine conflict, the conflict in Israel and surrounding areas, the possible expansion of such conflicts and the geopolitical and economic consequences associated therewith),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new laws and governmental regulations; the impact of climate change on our operations; and cyber liability or potential liability for breaches of our or our service providers’ information technology systems or business operations disruptions. Any forward-looking statement speaks only as of the date of this Quarterly Report,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additional information concerning such risk factors and cautionary statements, please see the sections titled “Item 1A. Risk Factors” in the 2022 Annual Report and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following paragraphs describe factors that have influenced results of operations for the nine months ended September 30, 2023, that management believes are important to provide an understanding of the business and results of operations or that may influence operations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Macroeconomic Conditions</w:t>
      </w:r>
    </w:p>
    <w:p>
      <w:pPr>
        <w:spacing w:after="0" w:line="6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continue to monitor the ongoing impacts of current macroeconomic and geopolitical events, including changing conditions from the COVID-19 pandemic, the ongoing global conflicts, inflationary cost pressures, rising interest rates, supply chain disruptions, and labor shortages and disruptions.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1" w:right="35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9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COVID-19 pandemic and governmental responses thereto, including COVID-19 lockdowns in China, has impacted our business operations and our customers' and suppliers' ability to operate at normal levels. Disruptions in normal operating levels created supply chain disruptions and inflationary cost pressures within our end-markets. As of the date of this filing, we cannot predict the extent to which our operations, or those of our customers or suppliers, will be impacted in the future, or the ways in which COVID-19 may impact our business, financial condition, results of operations and cash flow.</w:t>
      </w:r>
    </w:p>
    <w:p>
      <w:pPr>
        <w:spacing w:after="0" w:line="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ongoing global conflicts continue to create volatility in global financial and energy markets, creating energy and supply chain shortages, which has added to the inflationary pressures experienced by the global economy. We continue to actively work with our suppliers to minimize impacts of supply shortages on our manufacturing capabilities. Although our business has not been materially impacted by the ongoing global conflicts as of the date of this filing, we cannot reasonably predict the extent to which our operations, or those of our customers or suppliers, will be impacted in the future, or the ways in which the conflict may impact our business, financial condition, results of operations and cash flows.</w:t>
      </w:r>
    </w:p>
    <w:p>
      <w:pPr>
        <w:spacing w:after="0" w:line="6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U.S. economy is experiencing inflationary increases and rising interest rates, as well as supply issues in materials, services, and labor due to economic policy, the COVID-19 pandemic and global conflicts. These impacts are likely to persist into 2024. We cannot predict the impact on our end-markets or input costs nor our ability to recover cost increases through pricing.</w:t>
      </w:r>
    </w:p>
    <w:p>
      <w:pPr>
        <w:spacing w:after="0" w:line="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September 2023, the United Auto Workers (the “UAW”) initiated a strike at certain U.S. facilities of General Motors, Ford and Stellantis North America (the “Detroit Three Automakers”) following the expiration of the collective bargaining agreement between the UAW and the Detroit Three Automakers. Certain of our customers in the automotive end market are suppliers to the Detroit Three Automakers. While the duration and scope of the initial and any future UAW strikes against the Detroit Three Automakers, as well as the corresponding impact on the business of suppliers to the Detroit Three Automakers and the impact on our own business, financial position, results of operations and cash flow, are impossible to predict at this time, the prolonged idling of our customers’ production facilities in response to the strikes could have a material adverse impact on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Footprint Optimization</w:t>
      </w:r>
    </w:p>
    <w:p>
      <w:pPr>
        <w:spacing w:after="0" w:line="6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2022, we took specific steps to consolidate our footprint by identifying less profitable end markets and focusing our strategic growth initiatives in markets where we believe we will be able to maximize profitability. During the first half of 2023, we closed our Taunton and Irvine sites from the Power Solutions group and three underutilized Mobile Solutions sites to reduce operating costs. Additionally, we continue to evaluate our global footprint, which may result in further consolidation or expansion actions to further improve our overall cost structure.</w:t>
      </w:r>
    </w:p>
    <w:p>
      <w:pPr>
        <w:spacing w:after="0" w:line="117" w:lineRule="exact"/>
        <w:rPr>
          <w:sz w:val="20"/>
          <w:szCs w:val="20"/>
          <w:color w:val="auto"/>
        </w:rPr>
      </w:pPr>
    </w:p>
    <w:p>
      <w:pPr>
        <w:ind w:right="4020"/>
        <w:spacing w:after="0" w:line="331" w:lineRule="auto"/>
        <w:rPr>
          <w:sz w:val="20"/>
          <w:szCs w:val="20"/>
          <w:color w:val="auto"/>
        </w:rPr>
      </w:pPr>
      <w:r>
        <w:rPr>
          <w:rFonts w:ascii="Arial" w:cs="Arial" w:eastAsia="Arial" w:hAnsi="Arial"/>
          <w:sz w:val="18"/>
          <w:szCs w:val="18"/>
          <w:i w:val="1"/>
          <w:iCs w:val="1"/>
          <w:color w:val="auto"/>
        </w:rPr>
        <w:t xml:space="preserve">Three Months Ended September 30, 2023 compared to the Three Months Ended September 30, 2022 </w:t>
      </w:r>
      <w:r>
        <w:rPr>
          <w:rFonts w:ascii="Arial" w:cs="Arial" w:eastAsia="Arial" w:hAnsi="Arial"/>
          <w:sz w:val="18"/>
          <w:szCs w:val="18"/>
          <w:u w:val="single" w:color="auto"/>
          <w:color w:val="auto"/>
        </w:rPr>
        <w:t>Consolidated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tcPr>
          <w:p>
            <w:pPr>
              <w:spacing w:after="0"/>
              <w:rPr>
                <w:sz w:val="16"/>
                <w:szCs w:val="16"/>
                <w:color w:val="auto"/>
              </w:rPr>
            </w:pPr>
          </w:p>
        </w:tc>
      </w:tr>
      <w:tr>
        <w:trPr>
          <w:trHeight w:val="25"/>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88"/>
              </w:rPr>
              <w:t>$ Change</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108,033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(3,490)</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benefit for income taxes and share of net income from joint venture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net income from joint venture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decreased by $2.9 million, or 2.2%, during the three months ended September 30, 2023,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primarily due to reduced volume, partially offset by higher customer pricing and favorable foreign exchange effects of $0.8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closure of the Taunton and Irvine facilities contributed to the lower sales volume during the three months ended September 30, 2023.</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decreased by $3.5 million, or 3.2%, during the three months ended September 30, 2023,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primarily due to lower sales volume and lower costs associated with facility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closures in the third quarter. These decreases were partially offset by higher material and labor costs and unfavorable foreign exchange effects.</w:t>
      </w:r>
    </w:p>
    <w:p>
      <w:pPr>
        <w:spacing w:after="0" w:line="1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$1.5 million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compared to the three months ended September 30, 2022, primarily due to increased wages and higher stock compensation expense, partially offset by lower travel and professional fees.</w:t>
      </w:r>
    </w:p>
    <w:p>
      <w:pPr>
        <w:spacing w:after="0" w:line="7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Other Operating Income, Net. </w:t>
      </w:r>
      <w:r>
        <w:rPr>
          <w:rFonts w:ascii="Arial" w:cs="Arial" w:eastAsia="Arial" w:hAnsi="Arial"/>
          <w:sz w:val="16"/>
          <w:szCs w:val="16"/>
          <w:color w:val="auto"/>
        </w:rPr>
        <w:t>Other operating income, net increased by $0.6 million during the three months ended September 30, 2023,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2022, primarily due to sublease income related to the facilities that closed during the second quarter of 2023.</w:t>
      </w:r>
    </w:p>
    <w:p>
      <w:pPr>
        <w:spacing w:after="0" w:line="16"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by $2.0 million during the three months ended September 30, 2023,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primarily due to higher interest rates and the addition of a 2.00% PIK interest rate in connection with the Term Loan Amendment.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980" w:type="dxa"/>
            <w:vAlign w:val="bottom"/>
            <w:gridSpan w:val="5"/>
          </w:tcPr>
          <w:p>
            <w:pPr>
              <w:jc w:val="right"/>
              <w:ind w:right="293"/>
              <w:spacing w:after="0"/>
              <w:rPr>
                <w:sz w:val="20"/>
                <w:szCs w:val="20"/>
                <w:color w:val="auto"/>
              </w:rPr>
            </w:pPr>
            <w:r>
              <w:rPr>
                <w:rFonts w:ascii="Arial" w:cs="Arial" w:eastAsia="Arial" w:hAnsi="Arial"/>
                <w:sz w:val="14"/>
                <w:szCs w:val="14"/>
                <w:b w:val="1"/>
                <w:bCs w:val="1"/>
                <w:color w:val="auto"/>
              </w:rPr>
              <w:t>Three Months Ended September 30,</w:t>
            </w:r>
          </w:p>
        </w:tc>
      </w:tr>
      <w:tr>
        <w:trPr>
          <w:trHeight w:val="26"/>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Gain recognized on interest rate swap</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5,739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w:t>
            </w:r>
          </w:p>
        </w:tc>
      </w:tr>
      <w:tr>
        <w:trPr>
          <w:trHeight w:val="21"/>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Other income, net increased by $0.3 million during the three months ended September 30, 2023,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due to higher noncash derivative mark-to-market gains recognized during the current quarter compared to the third quarter of 2022.</w:t>
      </w:r>
    </w:p>
    <w:p>
      <w:pPr>
        <w:spacing w:after="0" w:line="1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Benefit (Provision) For Income Taxes</w:t>
      </w:r>
      <w:r>
        <w:rPr>
          <w:rFonts w:ascii="Arial" w:cs="Arial" w:eastAsia="Arial" w:hAnsi="Arial"/>
          <w:sz w:val="17"/>
          <w:szCs w:val="17"/>
          <w:color w:val="auto"/>
        </w:rPr>
        <w:t>. Our effective tax rate was 3.5% for the three months ended September 30, 2023, compared to 22.7%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2022. The rate for the three months ended September 30, 2023 and September 30, 2022 was unfavorably impacted due to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 In addition, the effective tax rate for the three months ended September 30, 2023, was favorably impacted by a net valuation allowance release based on management’s reassessment of the amount of its deferred tax assets that are more likely than not to be realized.</w:t>
      </w:r>
    </w:p>
    <w:p>
      <w:pPr>
        <w:spacing w:after="0" w:line="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Share of net income from the JV increased by $0.3 million during the three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2022, primarily due to higher sales partially offset by higher depreciation and interest expense in the current quarter. The JV, in which we own a 49% investment, recognized net sales of $30.3 million and $27.0 million for the three months ended September 30,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center"/>
              <w:ind w:left="579"/>
              <w:spacing w:after="0"/>
              <w:rPr>
                <w:sz w:val="20"/>
                <w:szCs w:val="20"/>
                <w:color w:val="auto"/>
              </w:rPr>
            </w:pPr>
            <w:r>
              <w:rPr>
                <w:rFonts w:ascii="Arial" w:cs="Arial" w:eastAsia="Arial" w:hAnsi="Arial"/>
                <w:sz w:val="14"/>
                <w:szCs w:val="14"/>
                <w:b w:val="1"/>
                <w:bCs w:val="1"/>
                <w:color w:val="auto"/>
                <w:w w:val="93"/>
              </w:rPr>
              <w:t>Three Months Ended September 30,</w:t>
            </w:r>
          </w:p>
        </w:tc>
        <w:tc>
          <w:tcPr>
            <w:tcW w:w="960" w:type="dxa"/>
            <w:vAlign w:val="bottom"/>
          </w:tcPr>
          <w:p>
            <w:pPr>
              <w:spacing w:after="0"/>
              <w:rPr>
                <w:sz w:val="16"/>
                <w:szCs w:val="16"/>
                <w:color w:val="auto"/>
              </w:rPr>
            </w:pPr>
          </w:p>
        </w:tc>
      </w:tr>
      <w:tr>
        <w:trPr>
          <w:trHeight w:val="25"/>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88"/>
              </w:rPr>
              <w:t>$ Change</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78,961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460"/>
              <w:spacing w:after="0"/>
              <w:rPr>
                <w:sz w:val="20"/>
                <w:szCs w:val="20"/>
                <w:color w:val="auto"/>
              </w:rPr>
            </w:pPr>
            <w:r>
              <w:rPr>
                <w:rFonts w:ascii="Arial" w:cs="Arial" w:eastAsia="Arial" w:hAnsi="Arial"/>
                <w:sz w:val="18"/>
                <w:szCs w:val="18"/>
                <w:color w:val="auto"/>
                <w:w w:val="94"/>
              </w:rPr>
              <w:t>(1,283)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(809)</w:t>
            </w:r>
          </w:p>
        </w:tc>
      </w:tr>
    </w:tbl>
    <w:p>
      <w:pPr>
        <w:spacing w:after="0" w:line="7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Net sales increased by $2.8 million, or 3.7%, during the three months ended September 30, 2023, compared to the three months ended September 30, 2022, primarily due to higher customer pricing, a customer settlement in the quarter, and favorable foreign exchange effects of $0.9 million, partially offset by lower volume.</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Loss from operations changed unfavorably by $0.8 million during the three months ended September 30, 2023, compared to the same period in the prior year, primarily due to lower volume, unfavorable foreign exchange effects on costs, and increased depreciation expense. These were partially offset by the impact of a customer settlement in the quarter.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tcPr>
          <w:p>
            <w:pPr>
              <w:spacing w:after="0"/>
              <w:rPr>
                <w:sz w:val="16"/>
                <w:szCs w:val="16"/>
                <w:color w:val="auto"/>
              </w:rPr>
            </w:pPr>
          </w:p>
        </w:tc>
      </w:tr>
      <w:tr>
        <w:trPr>
          <w:trHeight w:val="26"/>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Change</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1,354</w:t>
            </w:r>
          </w:p>
        </w:tc>
      </w:tr>
    </w:tbl>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Net sales decreased by $5.6 million, or 11.0%, during the three months ended September 30, 2023 compared to the three months ended September 30, 2022. The decrease in sales was primarily due to lower volume, partially offset by higher pricing. The closure of the Taunton and Irvine sites contributed to the lower sales volume during the three months ended September 30, 2023.</w:t>
      </w:r>
    </w:p>
    <w:p>
      <w:pPr>
        <w:spacing w:after="0" w:line="74"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Income from operations increased by $1.4 million during the three months ended September 30, 2023 compared to the same period in the prior year, primarily due to lower costs associated with the facilities that closed in the second quarter, higher pricing, and sublease income earned on the closed facilities, partially offset by the impact of lower sales volume.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compared to the Nine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Results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100" w:type="dxa"/>
            <w:vAlign w:val="bottom"/>
          </w:tcPr>
          <w:p>
            <w:pPr>
              <w:spacing w:after="0"/>
              <w:rPr>
                <w:sz w:val="16"/>
                <w:szCs w:val="16"/>
                <w:color w:val="auto"/>
              </w:rPr>
            </w:pPr>
          </w:p>
        </w:tc>
      </w:tr>
      <w:tr>
        <w:trPr>
          <w:trHeight w:val="26"/>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316,500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4,148</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(3,810)</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6,189</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 and share of net income from joint venture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net income from joint venture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decreased by $4.0 million, or 1.0%, during the nine months ended September 30, 2023,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primarily due to reduced volume, primarily from the closure of the Taunton and Irvine facilities, lower customer settlements and unfavorable foreign exchange effects of $1.5 million. These decreases were partially offset by higher customer pricing and premium pricing on a certain customer project.</w:t>
      </w:r>
    </w:p>
    <w:p>
      <w:pPr>
        <w:spacing w:after="0" w:line="7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$4.1 million, or 1.3%, during the nine months ended September 30, 2023,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primarily due to higher material and labor costs and lower favorable overhead absorption. These increases were partially offset by lower sales volume and lower labor costs associated with facility closures.</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decreased by $2.6 million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compared to the nine months ended September 30, 2022, primarily due to lower stock compensation expense and lower professional fees and travel costs.</w:t>
      </w:r>
    </w:p>
    <w:p>
      <w:pPr>
        <w:spacing w:after="0" w:line="7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i w:val="1"/>
          <w:iCs w:val="1"/>
          <w:color w:val="auto"/>
        </w:rPr>
        <w:t xml:space="preserve">Other Operating Expense (Income), Net. </w:t>
      </w:r>
      <w:r>
        <w:rPr>
          <w:rFonts w:ascii="Arial" w:cs="Arial" w:eastAsia="Arial" w:hAnsi="Arial"/>
          <w:sz w:val="16"/>
          <w:szCs w:val="16"/>
          <w:color w:val="auto"/>
        </w:rPr>
        <w:t>Other operating expense (income), net changed favorably by $2.4 million primarily due to a legal settlement</w:t>
      </w:r>
      <w:r>
        <w:rPr>
          <w:rFonts w:ascii="Arial" w:cs="Arial" w:eastAsia="Arial" w:hAnsi="Arial"/>
          <w:sz w:val="16"/>
          <w:szCs w:val="16"/>
          <w:i w:val="1"/>
          <w:iCs w:val="1"/>
          <w:color w:val="auto"/>
        </w:rPr>
        <w:t xml:space="preserve"> </w:t>
      </w:r>
      <w:r>
        <w:rPr>
          <w:rFonts w:ascii="Arial" w:cs="Arial" w:eastAsia="Arial" w:hAnsi="Arial"/>
          <w:sz w:val="16"/>
          <w:szCs w:val="16"/>
          <w:color w:val="auto"/>
        </w:rPr>
        <w:t>reached during the first quarter of 2022 and sublease income earned on closed facilities during the nine months ended September 30, 2023.</w:t>
      </w:r>
    </w:p>
    <w:p>
      <w:pPr>
        <w:spacing w:after="0" w:line="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$4.8 million during the nine months ended September 30, 2023,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primarily due to higher interest rates and the addition of a 2.00% PIK interest rate in connection with the Term Loan Amendment. These increases were partially offset by the recognition of gains from the interest rate swap and a higher amount of interest expense that was capitalized in the current quarter compared with the third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quarter of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980" w:type="dxa"/>
            <w:vAlign w:val="bottom"/>
            <w:gridSpan w:val="5"/>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Gain recognized on interest rate swap</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(1,060)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15,484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10,673</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Other expense (income), net changed unfavorably by $6.2 million during the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2022, primarily due to noncash derivative mark-to-market losses recognized during the first three quarters of 2023 compared to gains recognized during the first three quarters of 2022.</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Benefit (Provision) for Income Taxes. </w:t>
      </w:r>
      <w:r>
        <w:rPr>
          <w:rFonts w:ascii="Arial" w:cs="Arial" w:eastAsia="Arial" w:hAnsi="Arial"/>
          <w:sz w:val="17"/>
          <w:szCs w:val="17"/>
          <w:color w:val="auto"/>
        </w:rPr>
        <w:t>Our effective tax rate was (4.4)% for the nine months ended September 30, 2023, compared to (9.2)%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2022. The rate for the nine months ended September 30, 2023 and September 30, 2022 was unfavorably impacted by the accrual of tax on non-permanently reinvested unremitted earnings of foreign subsidiaries and by the limitation on the amount of tax benefit recorded for loss carryforwards in certain jurisdictions where we believe it is more likely than not that a portion of the future tax benefit may not be realized. In addition, the effective rate for the nine months ended September 30, 2023, was favorably impacted by a net valuation allowance release based on management’s reassessment of the amount of its deferred tax assets that are more likely than not to be realized.</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Share of net income from the JV decreased by $0.8 million during the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2022, primarily due to higher manufacturing costs and increased depreciation and interest expense. The JV, in which we own a 49% investment, recognized net sales of $75.9 million and $76.4 million for the nine months ended September 30,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100" w:type="dxa"/>
            <w:vAlign w:val="bottom"/>
          </w:tcPr>
          <w:p>
            <w:pPr>
              <w:spacing w:after="0"/>
              <w:rPr>
                <w:sz w:val="16"/>
                <w:szCs w:val="16"/>
                <w:color w:val="auto"/>
              </w:rPr>
            </w:pPr>
          </w:p>
        </w:tc>
      </w:tr>
      <w:tr>
        <w:trPr>
          <w:trHeight w:val="25"/>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(6,063)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(9,287)</w:t>
            </w:r>
          </w:p>
        </w:tc>
      </w:tr>
    </w:tbl>
    <w:p>
      <w:pPr>
        <w:spacing w:after="0" w:line="22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sales increased by $8.6 million, or 3.8%, during the nine months ended September 30, 2023, compared to the nine months ended September 30, 2022, primarily due to higher customer pricing, partially offset by lower volume, lower customer settlements and unfavorable foreign exchange effects of $1.3 million.</w:t>
      </w:r>
    </w:p>
    <w:p>
      <w:pPr>
        <w:spacing w:after="0" w:line="7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Income (loss) from operations changed unfavorably by $9.3 million during the nine months ended September 30, 2023 compared to the same period in the prior year, primarily due to higher material and labor costs, lower sales volume, lower customer settlement and unfavorable foreign exchange effects. In addition, costs increased due to production challenges in two facilities associated with new business launches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Nine Months Ended September 30,</w:t>
            </w:r>
          </w:p>
        </w:tc>
        <w:tc>
          <w:tcPr>
            <w:tcW w:w="1020" w:type="dxa"/>
            <w:vAlign w:val="bottom"/>
          </w:tcPr>
          <w:p>
            <w:pPr>
              <w:spacing w:after="0"/>
              <w:rPr>
                <w:sz w:val="16"/>
                <w:szCs w:val="16"/>
                <w:color w:val="auto"/>
              </w:rPr>
            </w:pPr>
          </w:p>
        </w:tc>
      </w:tr>
      <w:tr>
        <w:trPr>
          <w:trHeight w:val="25"/>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68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(12,566)</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3,890</w:t>
            </w:r>
          </w:p>
        </w:tc>
      </w:tr>
    </w:tbl>
    <w:p>
      <w:pPr>
        <w:spacing w:after="0" w:line="24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sales decreased by $12.6 million, or 8.1%, during the nine months ended September 30, 2023, compared to the nine months ended September 30, 2022, due to lower volumes, primarily from the closure of the Taunton and Irvine facilities. These decreases were partially offset by higher customer pricing and premium pricing on a certain customer project.</w:t>
      </w:r>
    </w:p>
    <w:p>
      <w:pPr>
        <w:spacing w:after="0" w:line="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Income from operations increased by $3.9 million during the nine months ended September 30, 2023 compared to the same period in the prior year, primarily due to lower costs associated with the facilities that closed in the second quarter of 2023, premium pricing on a certain customer project in the first quarter of 2023, a legal settlement reached during the first quarter of 2022, and sublease income earned on closed facilities. These increases were partially offset by lower sales volume.</w:t>
      </w:r>
    </w:p>
    <w:p>
      <w:pPr>
        <w:sectPr>
          <w:pgSz w:w="11900" w:h="16838" w:orient="portrait"/>
          <w:cols w:equalWidth="0" w:num="1">
            <w:col w:w="11240"/>
          </w:cols>
          <w:pgMar w:left="320" w:top="48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right="5100"/>
        <w:spacing w:after="0" w:line="346" w:lineRule="auto"/>
        <w:rPr>
          <w:sz w:val="20"/>
          <w:szCs w:val="20"/>
          <w:color w:val="auto"/>
        </w:rPr>
      </w:pPr>
      <w:r>
        <w:rPr>
          <w:rFonts w:ascii="Arial" w:cs="Arial" w:eastAsia="Arial" w:hAnsi="Arial"/>
          <w:sz w:val="18"/>
          <w:szCs w:val="18"/>
          <w:b w:val="1"/>
          <w:bCs w:val="1"/>
          <w:color w:val="auto"/>
        </w:rPr>
        <w:t xml:space="preserve">Changes in Financial Condition from December 31, 2022 to September 30, 2023 </w:t>
      </w:r>
      <w:r>
        <w:rPr>
          <w:rFonts w:ascii="Arial" w:cs="Arial" w:eastAsia="Arial" w:hAnsi="Arial"/>
          <w:sz w:val="18"/>
          <w:szCs w:val="18"/>
          <w:i w:val="1"/>
          <w:iCs w:val="1"/>
          <w:color w:val="auto"/>
        </w:rPr>
        <w:t>Overview</w:t>
      </w:r>
    </w:p>
    <w:p>
      <w:pPr>
        <w:spacing w:after="0" w:line="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From December 31, 2022 to September 30, 2023, total assets decreased by $25.4 million primarily due to decreases in inventory, property, plant and equipment and intangible assets. The closure of two Power Solutions facilities contributed to the decrease in inventory and property, plant and equipment, and the decline in intangible assets is due to amortization.</w:t>
      </w:r>
    </w:p>
    <w:p>
      <w:pPr>
        <w:spacing w:after="0" w:line="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December 31, 2022 to September 30, 2023, total liabilities increased by $7.5 million, primarily due to increases in accounts payable and other non-current liabilities, partially offset by a decrease in long-term debt. The increase in other non-current liabilities is primarily due to warrants issued in the first two quarters of 2023.</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Working capital, which consists of current assets less current liabilities, was $104.7 million as of September 30, 2023, compared to $112.9 million as of December 31, 2022. The decrease in working capital was primarily due to a decrease in inventory and increases in accounts payable and current maturities of long-term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6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provided by operations was $23.9 million for the nine months ended September 30, 2023, compared with cash used by operations of $2.7 million for the nine months ended September 30, 2022. The difference was primarily due to decreases in accounts receivable and inventory during the nine months ended 2023 compared to increases in these balance during the corresponding period of 2022.</w:t>
      </w:r>
    </w:p>
    <w:p>
      <w:pPr>
        <w:spacing w:after="0" w:line="7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Cash used in investing activities increased by $0.1 million primarily due to higher expenditures for property, plant and equipment during the nine months ended September 30, 2023, partially offset by the proceeds from the sale of equipment at the Taunton and Irvine facilities in the first half of 2023.</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used in financing activities was $1.2 million for the nine months ended September 30, 2023, compared with cash provided by financing activities of $1.4 million for the nine months ended September 30, 2022. The difference was primarily due to lower borrowings on the ABL Facility during the nine months ended September 30, 2023 compared to the prior year. This was partially offset by proceeds from new international loans for working capital needs during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63"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The principal amount outstanding under our Term Loan Facility as of September 30, 2023, was $147.7 million, without regard to unamortized debt issuance costs and discount. As of September 30, 2023, we had $28.7 million available for future borrowings under the ABL Facility. This amount of borrowing capacity is net of $10.9 million of outstanding letters of credit at September 30, 2023, which are considered as usage of the ABL Facility.</w:t>
      </w:r>
    </w:p>
    <w:p>
      <w:pPr>
        <w:spacing w:after="0" w:line="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Term Loan Facility requires quarterly principal payments of $0.4 million with the remaining unpaid principal amount due on the final maturity date of September 22, 2026. Effective March 31, 2023, outstanding borrowings under the Term Loan Facility bear interest at either 1) one-month, three-month, or six-month Adjusted SOFR, subject to a 1.000% floor, plus an applicable margin of 6.875% or 2) the greater of various benchmark rates plus an applicable margin of 5.875%. Beginning with the second quarter of 2023, interest is increased on a paid-in-kind basis at a rate between 1.00% and 2.00%, dependent on the Company’s leverage ratio. Based on the interest rate in effect at September 30, 2023, annual cash interest payments would be approximately $18.2 million.</w:t>
      </w:r>
    </w:p>
    <w:p>
      <w:pPr>
        <w:spacing w:after="0" w:line="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ABL Facility bears interest on a variable borrowing rate based on either 1) Adjusted SOFR plus an applicable margin of 1.75% or 2.00%, depending on availability, or 2) the greater of the federal funds rate or prime, plus an applicable margin of 0.75% or 1.00%, depending on availability. We pay a commitment fee of 0.375% for unused capacity under the ABL Facility.</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were in compliance with all requirements under our Term Loan Facility and ABL Facility as of September 30, 2023. Both credit facilities allow for optional expansion of available borrowings, subject to certain terms and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Sales Programs</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1" w:right="37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Business</w:t>
      </w:r>
    </w:p>
    <w:p>
      <w:pPr>
        <w:spacing w:after="0" w:line="6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are in the process of making final determinations in the matter of the sale of our Life Sciences business in October 2020 to American Securities LLC and its associated earnout provision. It has been represented that no earnout is due and we are verifying this matter per the terms of the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2021, we filed a refund claim with the IRS as a result of the Coronavirus Aid, Relief, and Economic Security Act. Including interest accrued on the initial refund amount, we have a $11.4 million tax refund receivable at September 30, 2023, which is in the process of IRS review and approval. The timing of the receipt of the refund remains uncertain.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67"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2022 Annual Report, including those policies as discussed in Note 1 to the Notes to Consolidated Financial Statements included in the 2022 Annual Report. There have been no material changes to these policies during the nine months ended September 30, 2023.</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6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6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7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July 22, 2021, we entered into a fixed-rate interest rate swap agreement to change the LIBOR-based component of the interest rate on $60.0 million of our variable rate debt to a fixed rate of 1.291% (the “2021 Swap”). During the first quarter of 2023, we terminated the interest rate swap and received cash proceeds of $2.5 million which was equal to its fair value. Refer to Note 15 in the Notes to Condensed Consolidated Financial Statements included in this Quarterly Report for further discussion about the interest rate swap.</w:t>
      </w:r>
    </w:p>
    <w:p>
      <w:pPr>
        <w:spacing w:after="0" w:line="7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At September 30, 2023, we had $147.7 million of principal outstanding under the Term Loan Facility without regard to capitalized debt issuance costs. A one-percent increase in one-month SOFR would have resulted in a net increase in interest expense of $1.5 million on an annualized basis.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2023, using Adjusted SOFR plus a 2.00% spread, any borrowings under the ABL Facility would have been at a 7.429% interest rate.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September 30, 2023.</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Exchange Act). Based upon that evaluation, our Chief Executive Officer and Chief Financial Officer concluded that our disclosure controls and procedures were effective as of September 30, 2023, to ensure that information required to be disclosed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6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fiscal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81" w:right="41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disclosed in Note 9 in the Notes to Condensed Consolidated Financial Statements included in this Quarterly Report, we are engaged in certain legal proceedings, and the disclosure set forth in Note 9 relating to legal proceedings is incorporated herein by reference.</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Except as noted below, there have been no material changes to the risk factors disclosed in the 2022 Annual Report under Item 1A, “Risk Factors.”</w:t>
      </w:r>
    </w:p>
    <w:p>
      <w:pPr>
        <w:spacing w:after="0" w:line="1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UAW strikes against the Detroit Three Automakers could have material adverse effects on our business, financial position, results of operations and cash flows.</w:t>
      </w:r>
    </w:p>
    <w:p>
      <w:pPr>
        <w:spacing w:after="0" w:line="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Certain of our customers in the automotive end market are suppliers to the Detroit Three Automakers. While the duration and scope of the initial and any future UAW strikes against the Detroit Three Automakers, as well as the corresponding impact on the business of suppliers to the Detroit Three Automakers and the impact on our own business, financial position, results of operations and cash flow, are impossible to predict at this time, the prolonged idling of customers’ production facilities in response to the strikes could have a material adverse impact on us. The extent to which the UAW strikes will impact us will depend on future developments, which cannot be predicted and are highly uncertain. The ultimate impact on our business, financial position, results of operations and cash flows will depend on factors beyond our control including the duration and scope of the strikes.</w:t>
      </w:r>
    </w:p>
    <w:p>
      <w:pPr>
        <w:spacing w:after="0" w:line="56" w:lineRule="exact"/>
        <w:rPr>
          <w:sz w:val="20"/>
          <w:szCs w:val="20"/>
          <w:color w:val="auto"/>
        </w:rPr>
      </w:pPr>
    </w:p>
    <w:p>
      <w:pPr>
        <w:ind w:right="240"/>
        <w:spacing w:after="0" w:line="316" w:lineRule="auto"/>
        <w:rPr>
          <w:sz w:val="20"/>
          <w:szCs w:val="20"/>
          <w:color w:val="auto"/>
        </w:rPr>
      </w:pPr>
      <w:r>
        <w:rPr>
          <w:rFonts w:ascii="Arial" w:cs="Arial" w:eastAsia="Arial" w:hAnsi="Arial"/>
          <w:sz w:val="16"/>
          <w:szCs w:val="16"/>
          <w:b w:val="1"/>
          <w:bCs w:val="1"/>
          <w:i w:val="1"/>
          <w:iCs w:val="1"/>
          <w:color w:val="auto"/>
        </w:rPr>
        <w:t>We currently, and may in the future, have assets held at financial institutions that may exceed the insurance coverage offered by the Federal Deposit Insurance Corporation (“FDIC”), and the loss of such assets could have a severe negative affect on our operations and liquidity.</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10, 2023, Silicon Valley Bank (“SVB”) was closed by the California Department of Financial Protection and Innovation, which appointed the FDIC as receiver. Similarly, on March 12, 2023, Signature Bank and Silvergate Capital Corp. were each swept into receivership. A statement by the Department of the Treasury, the Federal Reserve and the FDIC stated that all depositors of SVB would have access to all of their money after only one business day of closure, including funds held in uninsured deposit accounts. Although we do not have any funds deposited with SVB or Signature Bank, we currently have our cash and cash equivalents held in deposit in accounts at certain FDIC-insured financial institutions, some of which include amounts in excess of the insurance coverage offered by the FDIC. In the future, we may maintain our cash and cash equivalents at financial institutions in the United States in amounts that may be in excess of the FDIC insurance limit of $250,000. In the event of a failure of any of these financial institutions where we maintain our deposits or other assets, we may incur a loss to the extent such loss exceeds the FDIC insurance limitation, which could have a material adverse effect upon our liquidity, financial condition and our results of operations.</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40" w:type="dxa"/>
            <w:vAlign w:val="bottom"/>
            <w:gridSpan w:val="13"/>
            <w:vMerge w:val="restart"/>
          </w:tcPr>
          <w:p>
            <w:pPr>
              <w:ind w:left="36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14"/>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Executive Employment Agreement, effective as of August 10, 2023, by and between NN Canada, Inc. and Tim French (Filed as Exhibit</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w:t>
              </w:r>
              <w:r>
                <w:rPr>
                  <w:rFonts w:ascii="Arial" w:cs="Arial" w:eastAsia="Arial" w:hAnsi="Arial"/>
                  <w:sz w:val="18"/>
                  <w:szCs w:val="18"/>
                  <w:color w:val="0000FF"/>
                  <w:w w:val="90"/>
                </w:rPr>
                <w:t xml:space="preserve"> to the Registrant’s Current Report on Form 8-K filed on August 10, 2023 and incorporated herein by reference).</w:t>
              </w:r>
            </w:hyperlink>
          </w:p>
        </w:tc>
        <w:tc>
          <w:tcPr>
            <w:tcW w:w="13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4"/>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Form of Restricted Share Award Agreement, by and between NN, Inc. and Tim French (Filed as Exhibit 10.2 to the Registrant’s Current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Report on Form 8-K filed on August 10, 2023 and incorporated herein by reference).</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4"/>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Form of Performance Share Unit Award Agreement, by and between NN, Inc. and Tim French (Filed as Exhibit 10.3 to the Registrant’s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Current Report on Form 8-K filed on August 10, 2023 and incorporated herein by reference).</w:t>
              </w:r>
            </w:hyperlink>
          </w:p>
        </w:tc>
        <w:tc>
          <w:tcPr>
            <w:tcW w:w="3060" w:type="dxa"/>
            <w:vAlign w:val="bottom"/>
            <w:tcBorders>
              <w:top w:val="single" w:sz="8" w:color="0000FF"/>
            </w:tcBorders>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4"/>
          </w:tcPr>
          <w:p>
            <w:pPr>
              <w:spacing w:after="0"/>
              <w:rPr>
                <w:rFonts w:ascii="Arial" w:cs="Arial" w:eastAsia="Arial" w:hAnsi="Arial"/>
                <w:sz w:val="18"/>
                <w:szCs w:val="18"/>
                <w:color w:val="0000FF"/>
                <w:w w:val="95"/>
              </w:rPr>
            </w:pPr>
            <w:hyperlink r:id="rId63">
              <w:r>
                <w:rPr>
                  <w:rFonts w:ascii="Arial" w:cs="Arial" w:eastAsia="Arial" w:hAnsi="Arial"/>
                  <w:sz w:val="18"/>
                  <w:szCs w:val="18"/>
                  <w:color w:val="0000FF"/>
                  <w:w w:val="95"/>
                </w:rPr>
                <w:t>Form of Separation Agreement, by and between NN Canada, Inc. and Tim French (Filed as Exhibit 10.4 to the Registrant’s Current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Report on Form 8-K filed on August 10, 2023 and incorporated herein by reference).</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4"/>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Form of Indemnification Agreement, by and between NN Canada, Inc. and Tim French (Filed as Exhibit 10.5 to the Registrant’s Current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Report on Form 8-K filed on August 10, 2023 and incorporated herein by reference).</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0000FF"/>
                <w:w w:val="93"/>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amended.</w:t>
            </w:r>
          </w:p>
        </w:tc>
        <w:tc>
          <w:tcPr>
            <w:tcW w:w="3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0000FF"/>
                <w:w w:val="94"/>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amended.</w:t>
            </w:r>
          </w:p>
        </w:tc>
        <w:tc>
          <w:tcPr>
            <w:tcW w:w="3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of Principal Financial Officer pursuant to Section 906 of the Sarbanes-Oxley Act of 2002.</w:t>
            </w:r>
          </w:p>
        </w:tc>
        <w:tc>
          <w:tcPr>
            <w:tcW w:w="40" w:type="dxa"/>
            <w:vAlign w:val="bottom"/>
            <w:tcBorders>
              <w:top w:val="single" w:sz="8" w:color="0000FF"/>
            </w:tcBorders>
          </w:tcPr>
          <w:p>
            <w:pPr>
              <w:spacing w:after="0"/>
              <w:rPr>
                <w:sz w:val="18"/>
                <w:szCs w:val="18"/>
                <w:color w:val="auto"/>
              </w:rPr>
            </w:pPr>
          </w:p>
        </w:tc>
        <w:tc>
          <w:tcPr>
            <w:tcW w:w="24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7"/>
                <w:szCs w:val="17"/>
                <w:color w:val="auto"/>
              </w:rPr>
            </w:pPr>
          </w:p>
        </w:tc>
        <w:tc>
          <w:tcPr>
            <w:tcW w:w="9920" w:type="dxa"/>
            <w:vAlign w:val="bottom"/>
            <w:gridSpan w:val="14"/>
          </w:tcPr>
          <w:p>
            <w:pPr>
              <w:spacing w:after="0" w:line="196" w:lineRule="exact"/>
              <w:rPr>
                <w:sz w:val="20"/>
                <w:szCs w:val="20"/>
                <w:color w:val="auto"/>
              </w:rPr>
            </w:pPr>
            <w:r>
              <w:rPr>
                <w:rFonts w:ascii="Arial" w:cs="Arial" w:eastAsia="Arial" w:hAnsi="Arial"/>
                <w:sz w:val="18"/>
                <w:szCs w:val="18"/>
                <w:color w:val="auto"/>
                <w:w w:val="93"/>
              </w:rPr>
              <w:t>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41"/>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0"/>
                <w:szCs w:val="20"/>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0"/>
                <w:szCs w:val="20"/>
                <w:color w:val="auto"/>
              </w:rPr>
            </w:pPr>
          </w:p>
        </w:tc>
        <w:tc>
          <w:tcPr>
            <w:tcW w:w="992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ind w:left="1140" w:hanging="111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81" w:right="51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9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left="1020" w:right="39"/>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4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Date: November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Date: November 7, 2023</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146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14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Harold C. Bevis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jc w:val="center"/>
        <w:ind w:right="2579"/>
        <w:spacing w:after="0"/>
        <w:rPr>
          <w:sz w:val="20"/>
          <w:szCs w:val="20"/>
          <w:color w:val="auto"/>
        </w:rPr>
      </w:pPr>
      <w:r>
        <w:rPr>
          <w:rFonts w:ascii="Arial" w:cs="Arial" w:eastAsia="Arial" w:hAnsi="Arial"/>
          <w:sz w:val="17"/>
          <w:szCs w:val="17"/>
          <w:color w:val="auto"/>
        </w:rPr>
        <w:t>(Duly Authorized Officer)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146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Michael C. Felcher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 Chief Financial Officer</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and Accounting Officer)</w:t>
      </w:r>
    </w:p>
    <w:p>
      <w:pPr>
        <w:spacing w:after="0" w:line="88" w:lineRule="exact"/>
        <w:rPr>
          <w:sz w:val="20"/>
          <w:szCs w:val="20"/>
          <w:color w:val="auto"/>
        </w:rPr>
      </w:pPr>
    </w:p>
    <w:p>
      <w:pPr>
        <w:jc w:val="center"/>
        <w:ind w:right="2579"/>
        <w:spacing w:after="0"/>
        <w:rPr>
          <w:sz w:val="20"/>
          <w:szCs w:val="20"/>
          <w:color w:val="auto"/>
        </w:rPr>
      </w:pPr>
      <w:r>
        <w:rPr>
          <w:rFonts w:ascii="Arial" w:cs="Arial" w:eastAsia="Arial" w:hAnsi="Arial"/>
          <w:sz w:val="17"/>
          <w:szCs w:val="17"/>
          <w:color w:val="auto"/>
        </w:rPr>
        <w:t>(Duly Authorized Officer)</w:t>
      </w:r>
    </w:p>
    <w:p>
      <w:pPr>
        <w:spacing w:after="0" w:line="200" w:lineRule="exact"/>
        <w:rPr>
          <w:sz w:val="20"/>
          <w:szCs w:val="20"/>
          <w:color w:val="auto"/>
        </w:rPr>
      </w:pPr>
    </w:p>
    <w:p>
      <w:pPr>
        <w:sectPr>
          <w:pgSz w:w="11900" w:h="16838" w:orient="portrait"/>
          <w:cols w:equalWidth="0" w:num="2">
            <w:col w:w="4940" w:space="720"/>
            <w:col w:w="4479"/>
          </w:cols>
          <w:pgMar w:left="320" w:top="4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139"/>
          </w:cols>
          <w:pgMar w:left="320" w:top="481" w:right="1440"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Harold C. Bevis, certify that:</w:t>
      </w:r>
    </w:p>
    <w:p>
      <w:pPr>
        <w:spacing w:after="0" w:line="17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7,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Harold C. Bevis</w:t>
            </w:r>
          </w:p>
        </w:tc>
      </w:tr>
      <w:tr>
        <w:trPr>
          <w:trHeight w:val="222"/>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Harold C. Bevis</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C. Felcher, certify that:</w:t>
      </w:r>
    </w:p>
    <w:p>
      <w:pPr>
        <w:spacing w:after="0" w:line="17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17" w:lineRule="exact"/>
        <w:rPr>
          <w:rFonts w:ascii="Arial" w:cs="Arial" w:eastAsia="Arial" w:hAnsi="Arial"/>
          <w:sz w:val="18"/>
          <w:szCs w:val="18"/>
          <w:color w:val="auto"/>
        </w:rPr>
      </w:pPr>
    </w:p>
    <w:p>
      <w:pPr>
        <w:jc w:val="both"/>
        <w:ind w:left="340" w:right="460" w:hanging="332"/>
        <w:spacing w:after="0" w:line="263"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right="420" w:hanging="332"/>
        <w:spacing w:after="0" w:line="308"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 w:hanging="332"/>
        <w:spacing w:after="0" w:line="263"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6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November 7, 2023</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Felcher</w:t>
            </w:r>
          </w:p>
        </w:tc>
      </w:tr>
      <w:tr>
        <w:trPr>
          <w:trHeight w:val="222"/>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Michael C. Felcher</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September 30, 2023,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November 7,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Harold C. Bevis</w:t>
            </w:r>
          </w:p>
        </w:tc>
      </w:tr>
      <w:tr>
        <w:trPr>
          <w:trHeight w:val="222"/>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Harold C. Bevis</w:t>
            </w:r>
          </w:p>
        </w:tc>
      </w:tr>
      <w:tr>
        <w:trPr>
          <w:trHeight w:val="229"/>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connection with the Quarterly Report of NN, Inc. (the “Company”) on Form 10-Q for the quarterly period ended September 30, 2023,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November 7, 2023</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Felcher</w:t>
            </w:r>
          </w:p>
        </w:tc>
      </w:tr>
      <w:tr>
        <w:trPr>
          <w:trHeight w:val="222"/>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Michael C. Felcher</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Senior Vice President – Chief Financial Officer</w:t>
            </w:r>
          </w:p>
        </w:tc>
      </w:tr>
      <w:tr>
        <w:trPr>
          <w:trHeight w:val="230"/>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3" Type="http://schemas.openxmlformats.org/officeDocument/2006/relationships/hyperlink" Target="http://www.sec.gov/Archives/edgar/data/918541/000091854123000126/exhibit101executive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2023-11-07T11:05:06Z</dcterms:created>
  <dcterms:modified xsi:type="dcterms:W3CDTF">2023-11-07T11:05:06Z</dcterms:modified>
</cp:coreProperties>
</file>