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3, 2017 (November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20" w:firstLine="913"/>
        <w:spacing w:after="0" w:line="308" w:lineRule="auto"/>
        <w:rPr>
          <w:sz w:val="20"/>
          <w:szCs w:val="20"/>
          <w:color w:val="auto"/>
        </w:rPr>
      </w:pPr>
      <w:r>
        <w:rPr>
          <w:rFonts w:ascii="Arial" w:cs="Arial" w:eastAsia="Arial" w:hAnsi="Arial"/>
          <w:sz w:val="17"/>
          <w:szCs w:val="17"/>
          <w:color w:val="auto"/>
        </w:rPr>
        <w:t>On November 1, 2017, NN, Inc. (the “Company”) issued a press release announcing the Company’s financial results for the quarter September 30, 2017. The full text of the press release is furnished as Exhibit 99.1 and is incorporated herein by reference.</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NN, Inc., dated November 1, 2017</w:t>
        </w:r>
      </w:hyperlink>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0" w:right="4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3, 2017</w:t>
      </w:r>
      <w:r>
        <w:rPr>
          <w:sz w:val="20"/>
          <w:szCs w:val="20"/>
          <w:color w:val="auto"/>
        </w:rPr>
        <w:tab/>
      </w:r>
      <w:r>
        <w:rPr>
          <w:rFonts w:ascii="Arial" w:cs="Arial" w:eastAsia="Arial" w:hAnsi="Arial"/>
          <w:sz w:val="17"/>
          <w:szCs w:val="17"/>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S. Heiter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1200"/>
          </w:cols>
          <w:pgMar w:left="240" w:top="27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625465" cy="926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546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Strategy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0" w:lineRule="exact"/>
        <w:rPr>
          <w:sz w:val="20"/>
          <w:szCs w:val="20"/>
          <w:color w:val="auto"/>
        </w:rPr>
      </w:pPr>
    </w:p>
    <w:p>
      <w:pPr>
        <w:sectPr>
          <w:pgSz w:w="11900" w:h="16838" w:orient="portrait"/>
          <w:cols w:equalWidth="0" w:num="2">
            <w:col w:w="4780" w:space="720"/>
            <w:col w:w="592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1, 2017</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THIRD QUARTER 2017 RESULTS</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Johnson City, TN, November 1, 2017 –</w:t>
      </w:r>
      <w:r>
        <w:rPr>
          <w:rFonts w:ascii="Arial" w:cs="Arial" w:eastAsia="Arial" w:hAnsi="Arial"/>
          <w:sz w:val="18"/>
          <w:szCs w:val="18"/>
          <w:color w:val="auto"/>
        </w:rPr>
        <w:t>NN, Inc., (NASDAQ: NNBR), a diversified industrial company, today reported its financial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sales for the third quarter of 2017 increased $1.5 million, or 1.0%, to $148.2 million, compared to $146.7 million for the third quarter of 2016. Growth in the medical, aerospace and automotive end markets accounted for the increase.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 GAAP basis, income from operations for the third quarter of 2017 was $6.3 million, compared to $13.0 million for the same period in 2016. Income (loss) from continuing operations on a GAAP basis for third quarter of 2017 was ($3.4 million). This compares to income (loss) from continuing operations of $0.3 million in the third quarter of 2016.</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 GAAP basis, income from operations for third quarter 2017 in the Autocam Precision Components Group was $6.8 million compared to $8.5 million for the same period in 2016.</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 GAAP basis, income from operations for third quarter 2017 in the Precision Engineered Products Group was $7.9 million compared to $9.9 million for the same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Adjusted income from operations for the third quarter of 2017 was $15.4 million, compared to $19.9 million for the same period in 2016.</w:t>
      </w:r>
    </w:p>
    <w:p>
      <w:pPr>
        <w:spacing w:after="0" w:line="22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Richard Holder, President and Chief Executive Officer, commented, “Overall operating performance in the quarter was negatively impacted by severe weather events that occurred during the period. These impacts created mix issues which had a negative impact on margins. We expect these to return to normal in the fourth quarter.”</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Group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for the third quarter of 2017 were $81.7 million, compared to $80.5 million in the third quarter of 2016, an increase of 1.5% or $1.2 million. Growth related to our Corporate Average Fuel Economy (CAFE) automotive business accounted for the increase. Adjusted income from operations for the quarter decreased $1.4 million to $9.7 million, compared to $11.1 million in the third quarter of 2016.</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Mr. Holder commented, “Autocam continues to take share and outgrow its CAFE end market. During the quarter we had several program wins that required immediate investments due to the short project launch requirements. These investments had a small near term impact on their profitability.”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sales for the third quarter of 2017 were $66.5 million, compared to $66.2 million in the third quarter of 2016, an increase of $0.3 million. Adjusted income from operations for the quarter was $13.3 million, compared to $15.2 million in 2016.</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Mr. Holder commented, “The impacts of the hurricanes during the third quarter had a negative effect on our profitability as we were unable to ship to several of our customers. We expect this to resolve in the fourth quarter.”</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Mr. Holder concluded, “The third quarter was another transformative period for the organization as we divested our PBC business. Additionally, our performance this quarter was negatively impacted by weather delays within the business. We expect these anomalies to our performance to normalize in the fourth quarter.”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full set of financial guidance for the fourth quarter and full year 2017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280" w:firstLine="8"/>
        <w:spacing w:after="0" w:line="312"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1-877-718-5107 or 1-719-325-4878 Conference ID: 8709327. For those who are unavailable to listen to the live broadcast, a replay will be available shortly after the call for 90 days.</w:t>
      </w:r>
    </w:p>
    <w:p>
      <w:pPr>
        <w:spacing w:after="0" w:line="147" w:lineRule="exact"/>
        <w:rPr>
          <w:sz w:val="20"/>
          <w:szCs w:val="20"/>
          <w:color w:val="auto"/>
        </w:rPr>
      </w:pPr>
    </w:p>
    <w:p>
      <w:pPr>
        <w:ind w:right="300" w:firstLine="8"/>
        <w:spacing w:after="0" w:line="286"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discloses in this press release the non-GAAP financial measures of adjusted income from operations and adjusted income (loss) from continuing operations. Each of adjusted income from operations and adjusted income (loss) from continuing operations provide supplementary information about the impacts of acquisition related expenses, foreign-exchange and other non-operating impacts on our business.</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financial tables found later in this press release include a reconciliation of adjusted income from operations, adjusted income (loss) from continuing operations to the U.S. GAAP financial measures of income from operations, and income (loss) from continuing operations.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36 manufacturing plants in North America, Western Europe, Eastern Europe, South America and China.</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w:t>
      </w:r>
    </w:p>
    <w:p>
      <w:pPr>
        <w:sectPr>
          <w:pgSz w:w="11900" w:h="16838" w:orient="portrait"/>
          <w:cols w:equalWidth="0" w:num="1">
            <w:col w:w="11400"/>
          </w:cols>
          <w:pgMar w:left="240" w:top="270" w:right="259" w:bottom="1440" w:gutter="0" w:footer="0" w:header="0"/>
        </w:sectPr>
      </w:pPr>
    </w:p>
    <w:bookmarkStart w:id="5" w:name="page6"/>
    <w:bookmarkEnd w:id="5"/>
    <w:p>
      <w:pPr>
        <w:ind w:right="4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2016. Except as required by law, we undertake no obligation to update or revise any forward-looking statements we make in our press releases, whether as a result of new information, future events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Financial Tables Follow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$148,156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110,836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16,985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619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13,075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9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12,739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9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1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(848)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benefit for income taxes and share of net income from joint venture</w:t>
            </w:r>
          </w:p>
        </w:tc>
        <w:tc>
          <w:tcPr>
            <w:tcW w:w="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(1,011)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9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0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347,380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21,090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12,751</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obligations under capital leases</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2,905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3,332</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793,999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785,713</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1,723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w:t>
            </w: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S000s</w:t>
            </w:r>
          </w:p>
        </w:tc>
        <w:tc>
          <w:tcPr>
            <w:tcW w:w="120" w:type="dxa"/>
            <w:vAlign w:val="bottom"/>
          </w:tcPr>
          <w:p>
            <w:pPr>
              <w:spacing w:after="0"/>
              <w:rPr>
                <w:sz w:val="12"/>
                <w:szCs w:val="12"/>
                <w:color w:val="auto"/>
              </w:rPr>
            </w:pPr>
          </w:p>
        </w:tc>
        <w:tc>
          <w:tcPr>
            <w:tcW w:w="208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S000s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6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NN, Inc. Consolidated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Precision Engineered Products</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2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5,865</w:t>
            </w:r>
          </w:p>
        </w:tc>
        <w:tc>
          <w:tcPr>
            <w:tcW w:w="34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Non-GAAP adjusted income from</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19,893</w:t>
            </w:r>
          </w:p>
        </w:tc>
        <w:tc>
          <w:tcPr>
            <w:tcW w:w="340" w:type="dxa"/>
            <w:vAlign w:val="bottom"/>
          </w:tcPr>
          <w:p>
            <w:pPr>
              <w:spacing w:after="0"/>
              <w:rPr>
                <w:sz w:val="20"/>
                <w:szCs w:val="20"/>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13,288</w:t>
            </w: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15,213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Arial" w:cs="Arial" w:eastAsia="Arial" w:hAnsi="Arial"/>
                <w:sz w:val="18"/>
                <w:szCs w:val="18"/>
                <w:color w:val="auto"/>
              </w:rPr>
              <w:t>Non-GAAP adjusted operating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vMerge w:val="restart"/>
          </w:tcPr>
          <w:p>
            <w:pPr>
              <w:spacing w:after="0"/>
              <w:rPr>
                <w:sz w:val="20"/>
                <w:szCs w:val="20"/>
                <w:color w:val="auto"/>
              </w:rPr>
            </w:pPr>
            <w:r>
              <w:rPr>
                <w:rFonts w:ascii="Arial" w:cs="Arial" w:eastAsia="Arial" w:hAnsi="Arial"/>
                <w:sz w:val="18"/>
                <w:szCs w:val="18"/>
                <w:color w:val="auto"/>
              </w:rPr>
              <w:t>Non-GAAP adjusted operating margin (1)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66,492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66,222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sales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148,156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146,714</w:t>
            </w:r>
          </w:p>
        </w:tc>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S000s</w:t>
            </w:r>
          </w:p>
        </w:tc>
        <w:tc>
          <w:tcPr>
            <w:tcW w:w="16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5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Autocam Precision Components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874</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Arial" w:cs="Arial" w:eastAsia="Arial" w:hAnsi="Arial"/>
                <w:sz w:val="18"/>
                <w:szCs w:val="18"/>
                <w:color w:val="auto"/>
              </w:rPr>
              <w:t>Non-GAAP adjusted income from</w:t>
            </w: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operations (a)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9,720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11,062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adjusted operating margin</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GAAP net sales</w:t>
            </w:r>
          </w:p>
        </w:tc>
        <w:tc>
          <w:tcPr>
            <w:tcW w:w="16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81,664</w:t>
            </w: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80,492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71" w:right="180" w:hanging="371"/>
        <w:spacing w:after="0" w:line="277" w:lineRule="auto"/>
        <w:tabs>
          <w:tab w:leader="none" w:pos="37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 GAAP net sales</w:t>
      </w:r>
    </w:p>
    <w:p>
      <w:pPr>
        <w:spacing w:after="0" w:line="2640" w:lineRule="exact"/>
        <w:rPr>
          <w:sz w:val="20"/>
          <w:szCs w:val="20"/>
          <w:color w:val="auto"/>
        </w:rPr>
      </w:pPr>
    </w:p>
    <w:p>
      <w:pPr>
        <w:sectPr>
          <w:pgSz w:w="11900" w:h="16838" w:orient="portrait"/>
          <w:cols w:equalWidth="0" w:num="2">
            <w:col w:w="5480" w:space="349"/>
            <w:col w:w="5591"/>
          </w:cols>
          <w:pgMar w:left="240" w:top="270" w:right="239" w:bottom="1440" w:gutter="0" w:footer="0" w:header="0"/>
          <w:type w:val="continuous"/>
        </w:sectPr>
      </w:pPr>
    </w:p>
    <w:p>
      <w:pPr>
        <w:spacing w:after="0" w:line="16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from operations and Non-GAAP adjusted operating margin. Each of these non-GAAP financial measures provide supplementary information about the impacts of acquisition, divestiture and integration related expenses, foreign-exchange impacts on inter-company loans reorganizational and impairment charges. Over the past four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such as, the write-off of our interest rate swap, are excluded as the charges on not indicative of our ongoing operating cost. We believe the presentation of adjusted income from operations and adjusted operating margin provide useful information in assessing our underlying business trends and facilitates comparison of our long-term performance over given periods.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right="60" w:firstLine="8"/>
        <w:spacing w:after="0" w:line="293"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Non-GAAP Adjusted income from operations, represents GAAP income from operations, adjusted to exclude the effects of restructuring and integration expense, non-operational charges related to acquisition, divestiture and restructuring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40"/>
    </w:lvl>
  </w:abstractNum>
  <w:abstractNum w:abstractNumId="2">
    <w:nsid w:val="625558EC"/>
    <w:multiLevelType w:val="hybridMultilevel"/>
    <w:lvl w:ilvl="0">
      <w:lvlJc w:val="left"/>
      <w:lvlText w:val="%1"/>
      <w:numFmt w:val="upperLetter"/>
      <w:start w:val="40"/>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2019-12-29T03:28:47Z</dcterms:created>
  <dcterms:modified xsi:type="dcterms:W3CDTF">2019-12-29T03:28:47Z</dcterms:modified>
</cp:coreProperties>
</file>