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425450</wp:posOffset>
            </wp:positionV>
            <wp:extent cx="68580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4120" w:type="dxa"/>
            <w:vAlign w:val="bottom"/>
          </w:tcPr>
          <w:p>
            <w:pPr>
              <w:jc w:val="center"/>
              <w:ind w:right="2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0-23486</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149"/>
        </w:trPr>
        <w:tc>
          <w:tcPr>
            <w:tcW w:w="4120" w:type="dxa"/>
            <w:vAlign w:val="bottom"/>
          </w:tcPr>
          <w:p>
            <w:pPr>
              <w:jc w:val="center"/>
              <w:ind w:right="23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4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540" w:type="dxa"/>
            <w:vAlign w:val="bottom"/>
            <w:gridSpan w:val="2"/>
          </w:tcPr>
          <w:p>
            <w:pPr>
              <w:jc w:val="center"/>
              <w:ind w:right="982"/>
              <w:spacing w:after="0"/>
              <w:rPr>
                <w:sz w:val="20"/>
                <w:szCs w:val="20"/>
                <w:color w:val="auto"/>
              </w:rPr>
            </w:pPr>
            <w:r>
              <w:rPr>
                <w:rFonts w:ascii="Times New Roman" w:cs="Times New Roman" w:eastAsia="Times New Roman" w:hAnsi="Times New Roman"/>
                <w:sz w:val="18"/>
                <w:szCs w:val="18"/>
                <w:b w:val="1"/>
                <w:bCs w:val="1"/>
                <w:color w:val="auto"/>
                <w:w w:val="99"/>
              </w:rPr>
              <w:t>207 Mockingbird Lane, Johnson City, Tennessee</w:t>
            </w: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37604</w:t>
            </w:r>
          </w:p>
        </w:tc>
      </w:tr>
      <w:tr>
        <w:trPr>
          <w:trHeight w:val="190"/>
        </w:trPr>
        <w:tc>
          <w:tcPr>
            <w:tcW w:w="4120" w:type="dxa"/>
            <w:vAlign w:val="bottom"/>
          </w:tcPr>
          <w:p>
            <w:pPr>
              <w:jc w:val="center"/>
              <w:ind w:left="12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(423) 743-9151</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March 10, 2015, NN, Inc. (the “Company”) issued a press release announcing the Company’s results of operations and financial condition for the fourth quarter and twelve months ended December 31, 2014. The full text of the press release is furnished as Exhibit 99.1 and is incorporated herein by reference.</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43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Press Release of NN, Inc. dated March 10, 2015.</w:t>
            </w:r>
          </w:p>
        </w:tc>
      </w:tr>
    </w:tbl>
    <w:p>
      <w:pPr>
        <w:sectPr>
          <w:pgSz w:w="11900" w:h="16838" w:orient="portrait"/>
          <w:cols w:equalWidth="0" w:num="1">
            <w:col w:w="11200"/>
          </w:cols>
          <w:pgMar w:left="240" w:top="266" w:right="4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March 10, 2015</w:t>
      </w:r>
      <w:r>
        <w:rPr>
          <w:sz w:val="20"/>
          <w:szCs w:val="20"/>
          <w:color w:val="auto"/>
        </w:rPr>
        <w:tab/>
      </w: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William C. Kelly, Jr.</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Vice President and Chief Administrative Officer</w:t>
      </w:r>
    </w:p>
    <w:p>
      <w:pPr>
        <w:sectPr>
          <w:pgSz w:w="11900" w:h="16838" w:orient="portrait"/>
          <w:cols w:equalWidth="0" w:num="1">
            <w:col w:w="11220"/>
          </w:cols>
          <w:pgMar w:left="240" w:top="266" w:right="43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43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Press Release of NN, Inc. dated March 10, 2015.</w:t>
            </w:r>
          </w:p>
        </w:tc>
      </w:tr>
    </w:tbl>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174625</wp:posOffset>
            </wp:positionV>
            <wp:extent cx="178371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715"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860425</wp:posOffset>
            </wp:positionV>
            <wp:extent cx="133794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ectPr>
          <w:pgSz w:w="11900" w:h="16838" w:orient="portrait"/>
          <w:cols w:equalWidth="0" w:num="1">
            <w:col w:w="11420"/>
          </w:cols>
          <w:pgMar w:left="240" w:top="117"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Robbie Atkinson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Treasurer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434-8300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FINANCIAL RELATIONS BOARD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17"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2015</w:t>
      </w:r>
    </w:p>
    <w:p>
      <w:pPr>
        <w:sectPr>
          <w:pgSz w:w="11900" w:h="16838" w:orient="portrait"/>
          <w:cols w:equalWidth="0" w:num="1">
            <w:col w:w="11420"/>
          </w:cols>
          <w:pgMar w:left="240" w:top="117" w:right="239" w:bottom="1440" w:gutter="0" w:footer="0" w:header="0"/>
          <w:type w:val="continuous"/>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 REPORTS FOURTH QUARTER AND FULL YEAR 2014 RESULTS</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full year net sales including acquisitions of $488.6 million, an increase of $115.4 million or 31% compared to 2013</w:t>
      </w:r>
    </w:p>
    <w:p>
      <w:pPr>
        <w:spacing w:after="0" w:line="130" w:lineRule="exact"/>
        <w:rPr>
          <w:rFonts w:ascii="Times New Roman" w:cs="Times New Roman" w:eastAsia="Times New Roman" w:hAnsi="Times New Roman"/>
          <w:sz w:val="18"/>
          <w:szCs w:val="18"/>
          <w:b w:val="1"/>
          <w:bCs w:val="1"/>
          <w:color w:val="auto"/>
        </w:rPr>
      </w:pPr>
    </w:p>
    <w:p>
      <w:pPr>
        <w:ind w:left="900" w:right="740" w:hanging="325"/>
        <w:spacing w:after="0" w:line="286"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annual adjusted income from operations of $39.9 million before acquisition and integration charges, an increase of 40% compared to the prior year</w:t>
      </w:r>
    </w:p>
    <w:p>
      <w:pPr>
        <w:spacing w:after="0" w:line="60"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adjusted net income for 2014 of $23.5 million or $1.29 per diluted share</w:t>
      </w:r>
    </w:p>
    <w:p>
      <w:pPr>
        <w:spacing w:after="0" w:line="130"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2015 foreign currency adjusted revenue forecast of $670 to $690 million</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Johnson City, Tenn, March 10, 2015 –</w:t>
      </w:r>
      <w:r>
        <w:rPr>
          <w:rFonts w:ascii="Times New Roman" w:cs="Times New Roman" w:eastAsia="Times New Roman" w:hAnsi="Times New Roman"/>
          <w:sz w:val="18"/>
          <w:szCs w:val="18"/>
          <w:color w:val="auto"/>
        </w:rPr>
        <w:t>NN, Inc., (NASDAQ: NNBR) a diversified industrial company, today reported its financial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and twelve months ended December 31, 2014.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2014 Results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sales for the fourth quarter increased $63.7 million, or 71% to $153.8 million, as compared to $90.1 million for the fourth quarter of 2013. This included approximately $65.9 million in net sales from the four acquisitions. The impact of foreign exchange translation during the quarter was $2.0 million in sales resulting in an after tax impact of $0.2 million or $0.01 per diluted share for the quarter.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income from operations which excludes acquisition and other related expenses for the fourth quarter was $10.9 million, an increase of 68%, compared to $6.5 million for the same period in 2013. Adjusted net income which excludes acquisition and other related expenses increased to $5.7 million or $0.30 per diluted share, compared to $4.5 million or $0.25 per diluted share for the same period in 2013. These increases can be attributed to the four acquisitions, as well as improved operating performance within our legacy business.</w:t>
      </w:r>
    </w:p>
    <w:p>
      <w:pPr>
        <w:sectPr>
          <w:pgSz w:w="11900" w:h="16838" w:orient="portrait"/>
          <w:cols w:equalWidth="0" w:num="1">
            <w:col w:w="11420"/>
          </w:cols>
          <w:pgMar w:left="240" w:top="117" w:right="239" w:bottom="1440" w:gutter="0" w:footer="0" w:header="0"/>
          <w:type w:val="continuous"/>
        </w:sectPr>
      </w:pPr>
    </w:p>
    <w:bookmarkStart w:id="5" w:name="page6"/>
    <w:bookmarkEnd w:id="5"/>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Reported income from operations for the fourth quarter was $8.6 million which included $2.3 million in acquisition, integration and impairment charges, compared to $6.5 million for the same period in 2013. Reported net income for the fourth quarter was $1.6 million or $0.08 per diluted share including acquisition, impairment and other non-recurring charges, compared to $4.5 million or $0.25 per diluted share for the fourth quarter 2013.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2014 Results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for full year 2014 increased $115.4 million, or 31% to $488.6 million, compared to net sales of $373.2 million for full year 2013. This included approximately $101.0 million in net sales from the four acquisitions made during 2014. Adjusted income from operations for the twelve months ended December 31, 2014 increased $11.5 million or 40% to $39.9 million, compared to $28.4 million for the same period in 2013. Adjusted net income for the year 2014 was $23.5 million, or $1.29 per diluted share, compared to adjusted net income of $17.7 million, or $1.03 per diluted share for the year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drivers behind these results were the four acquisitions, organic and adjacent market growth coupled with improved operating performance.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Reported income from operations for the year 2014 was $27.7 million including $12.2 million in charges related to the four acquisitions made during the year, compared to $27.8 million for the year 2013. Reported net income for full year 2014 was $8.2 million or $0.45 per diluted share which included $15.3 million in acquisition, integration, impairment expenses and foreign exchange losses on intercompany loans. This compares to $17.2 million or $1.00 per diluted share for the year 2013.</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Richard Holder, President and Chief Executive Officer, commented, “2014 was a transformative year for NN. We emerged a new and revitalized company with a larger, more diverse portfolio which opens up new end markets and opportunities for growth into the future. During the fourth quarter, we witnessed the first full quarter of sales and operating results from the four businesses we acquired during 2014.</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global economy in 2015 will again present a mixed bag. While we are optimistic the global economy will see improvement as the year progresses, our businesses are built to expand margins in the current environment. As some of the weaker markets begin to show improvement in 2015 and beyond, we are in position to bring strong incremental profits to the bottom line. We will continue to closely monitor the impact of foreign exchange on all our businesses. We expect foreign exchange to have a negative impact on 2015 sales of 3% to 5%. With this backdrop we expect 2015 to be another solid year of growth for us. Our businesses will be growing at 8% while our margins continue to expand as we continue to make progress on the strategic initiatives we have in place. We are forecasting our 2015 foreign currency adjusted revenue to be $670 million to $690 million.”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Holder concluded, “I am very proud of our accomplishments during the fourth quarter and over the past year. My sincere thanks to our entire team. The results of the fourth quarter and full year 2014 continue to provide evidence that we are committed to do what we said we would do. We are extremely excited about 2015 and remain well positioned to deliver increased shareholder value, while continuing to execute our strategic plan to build a diversified industrial company that is a consistent earner through the cycle.”</w:t>
      </w:r>
    </w:p>
    <w:p>
      <w:pPr>
        <w:sectPr>
          <w:pgSz w:w="11900" w:h="16838" w:orient="portrait"/>
          <w:cols w:equalWidth="0" w:num="1">
            <w:col w:w="11400"/>
          </w:cols>
          <w:pgMar w:left="240" w:top="270" w:right="259" w:bottom="1440" w:gutter="0" w:footer="0" w:header="0"/>
        </w:sectPr>
      </w:pPr>
    </w:p>
    <w:bookmarkStart w:id="6" w:name="page7"/>
    <w:bookmarkEnd w:id="6"/>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attached financial tables include a reconciliation of adjusted income from operations and adjusted net income to the U.S. GAAP financial measures of income from operations and net income.</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9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ectPr>
          <w:pgSz w:w="11900" w:h="16838" w:orient="portrait"/>
          <w:cols w:equalWidth="0" w:num="1">
            <w:col w:w="11400"/>
          </w:cols>
          <w:pgMar w:left="240" w:top="270"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153,761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90,081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488,601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373,206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shown separately below)</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119,879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71,848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384,889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1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(loss) from joint venture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32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37,317</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32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714,842</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71,094</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32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714,842</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9" w:name="page10"/>
    <w:bookmarkEnd w:id="9"/>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5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7"/>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After-tax acquisition and integration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foreign exchange loss on inter-company loans</w:t>
            </w: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After-tax impairment charges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tcBorders>
              <w:lef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740" w:type="dxa"/>
            <w:vAlign w:val="bottom"/>
            <w:tcBorders>
              <w:lef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6"/>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5"/>
                <w:szCs w:val="15"/>
                <w:color w:val="auto"/>
              </w:rPr>
            </w:pPr>
          </w:p>
        </w:tc>
        <w:tc>
          <w:tcPr>
            <w:tcW w:w="800" w:type="dxa"/>
            <w:vAlign w:val="bottom"/>
            <w:gridSpan w:val="2"/>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62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20" w:type="dxa"/>
            <w:vAlign w:val="bottom"/>
            <w:tcBorders>
              <w:left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28,395</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7"/>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Earnings Per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$ 17,178</w:t>
            </w: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After-tax acquisition and integration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foreign exchange loss on inter-company loans</w:t>
            </w: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After-tax impairment charges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$ 23,544</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$ 17,745</w:t>
            </w:r>
          </w:p>
        </w:tc>
        <w:tc>
          <w:tcPr>
            <w:tcW w:w="740" w:type="dxa"/>
            <w:vAlign w:val="bottom"/>
            <w:tcBorders>
              <w:lef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240" w:top="266" w:right="115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2019-12-06T10:22:11Z</dcterms:created>
  <dcterms:modified xsi:type="dcterms:W3CDTF">2019-12-06T10:22:11Z</dcterms:modified>
</cp:coreProperties>
</file>