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Washington, DC 20549</w:t>
      </w:r>
    </w:p>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0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7" w:lineRule="exact"/>
        <w:rPr>
          <w:sz w:val="24"/>
          <w:szCs w:val="24"/>
          <w:color w:val="auto"/>
        </w:rPr>
      </w:pPr>
    </w:p>
    <w:p>
      <w:pPr>
        <w:ind w:left="140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93" w:lineRule="exact"/>
        <w:rPr>
          <w:sz w:val="24"/>
          <w:szCs w:val="24"/>
          <w:color w:val="auto"/>
        </w:rPr>
      </w:pPr>
    </w:p>
    <w:p>
      <w:pPr>
        <w:spacing w:after="0"/>
        <w:rPr>
          <w:sz w:val="20"/>
          <w:szCs w:val="20"/>
          <w:color w:val="auto"/>
        </w:rPr>
      </w:pPr>
      <w:r>
        <w:rPr>
          <w:rFonts w:ascii="Arial" w:cs="Arial" w:eastAsia="Arial" w:hAnsi="Arial"/>
          <w:sz w:val="22"/>
          <w:szCs w:val="22"/>
          <w:color w:val="auto"/>
        </w:rPr>
        <w:t>Date of Report (Date of earliest event reported): December 16, 2005</w:t>
      </w:r>
    </w:p>
    <w:p>
      <w:pPr>
        <w:spacing w:after="0" w:line="200" w:lineRule="exact"/>
        <w:rPr>
          <w:sz w:val="24"/>
          <w:szCs w:val="24"/>
          <w:color w:val="auto"/>
        </w:rPr>
      </w:pPr>
    </w:p>
    <w:p>
      <w:pPr>
        <w:spacing w:after="0" w:line="345" w:lineRule="exact"/>
        <w:rPr>
          <w:sz w:val="24"/>
          <w:szCs w:val="24"/>
          <w:color w:val="auto"/>
        </w:rPr>
      </w:pPr>
    </w:p>
    <w:p>
      <w:pPr>
        <w:jc w:val="center"/>
        <w:ind w:right="80"/>
        <w:spacing w:after="0"/>
        <w:rPr>
          <w:sz w:val="20"/>
          <w:szCs w:val="20"/>
          <w:color w:val="auto"/>
        </w:rPr>
      </w:pPr>
      <w:r>
        <w:rPr>
          <w:rFonts w:ascii="Arial" w:cs="Arial" w:eastAsia="Arial" w:hAnsi="Arial"/>
          <w:sz w:val="40"/>
          <w:szCs w:val="40"/>
          <w:b w:val="1"/>
          <w:bCs w:val="1"/>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tbl>
      <w:tblPr>
        <w:tblLayout w:type="fixed"/>
        <w:tblInd w:w="60" w:type="dxa"/>
        <w:tblCellMar>
          <w:top w:w="0" w:type="dxa"/>
          <w:left w:w="0" w:type="dxa"/>
          <w:bottom w:w="0" w:type="dxa"/>
          <w:right w:w="0" w:type="dxa"/>
        </w:tblCellMar>
      </w:tblPr>
      <w:tr>
        <w:trPr>
          <w:trHeight w:val="256"/>
        </w:trPr>
        <w:tc>
          <w:tcPr>
            <w:tcW w:w="3760" w:type="dxa"/>
            <w:vAlign w:val="bottom"/>
          </w:tcPr>
          <w:p>
            <w:pPr>
              <w:spacing w:after="0"/>
              <w:rPr>
                <w:sz w:val="20"/>
                <w:szCs w:val="20"/>
                <w:color w:val="auto"/>
              </w:rPr>
            </w:pPr>
            <w:r>
              <w:rPr>
                <w:rFonts w:ascii="Arial" w:cs="Arial" w:eastAsia="Arial" w:hAnsi="Arial"/>
                <w:sz w:val="22"/>
                <w:szCs w:val="22"/>
                <w:b w:val="1"/>
                <w:bCs w:val="1"/>
                <w:color w:val="auto"/>
              </w:rPr>
              <w:t>Delaware</w:t>
            </w:r>
          </w:p>
        </w:tc>
        <w:tc>
          <w:tcPr>
            <w:tcW w:w="3520" w:type="dxa"/>
            <w:vAlign w:val="bottom"/>
          </w:tcPr>
          <w:p>
            <w:pPr>
              <w:ind w:left="1880"/>
              <w:spacing w:after="0"/>
              <w:rPr>
                <w:sz w:val="20"/>
                <w:szCs w:val="20"/>
                <w:color w:val="auto"/>
              </w:rPr>
            </w:pPr>
            <w:r>
              <w:rPr>
                <w:rFonts w:ascii="Arial" w:cs="Arial" w:eastAsia="Arial" w:hAnsi="Arial"/>
                <w:sz w:val="22"/>
                <w:szCs w:val="22"/>
                <w:b w:val="1"/>
                <w:bCs w:val="1"/>
                <w:color w:val="auto"/>
              </w:rPr>
              <w:t>0-23486</w:t>
            </w:r>
          </w:p>
        </w:tc>
        <w:tc>
          <w:tcPr>
            <w:tcW w:w="1700" w:type="dxa"/>
            <w:vAlign w:val="bottom"/>
          </w:tcPr>
          <w:p>
            <w:pPr>
              <w:jc w:val="right"/>
              <w:ind w:right="144"/>
              <w:spacing w:after="0"/>
              <w:rPr>
                <w:sz w:val="20"/>
                <w:szCs w:val="20"/>
                <w:color w:val="auto"/>
              </w:rPr>
            </w:pPr>
            <w:r>
              <w:rPr>
                <w:rFonts w:ascii="Arial" w:cs="Arial" w:eastAsia="Arial" w:hAnsi="Arial"/>
                <w:sz w:val="22"/>
                <w:szCs w:val="22"/>
                <w:b w:val="1"/>
                <w:bCs w:val="1"/>
                <w:color w:val="auto"/>
              </w:rPr>
              <w:t>62-1096725</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(State or other jurisdiction</w:t>
            </w:r>
          </w:p>
        </w:tc>
        <w:tc>
          <w:tcPr>
            <w:tcW w:w="3520" w:type="dxa"/>
            <w:vAlign w:val="bottom"/>
          </w:tcPr>
          <w:p>
            <w:pPr>
              <w:ind w:left="1860"/>
              <w:spacing w:after="0"/>
              <w:rPr>
                <w:sz w:val="20"/>
                <w:szCs w:val="20"/>
                <w:color w:val="auto"/>
              </w:rPr>
            </w:pPr>
            <w:r>
              <w:rPr>
                <w:rFonts w:ascii="Arial" w:cs="Arial" w:eastAsia="Arial" w:hAnsi="Arial"/>
                <w:sz w:val="18"/>
                <w:szCs w:val="18"/>
                <w:color w:val="auto"/>
              </w:rPr>
              <w:t>(Commission File</w:t>
            </w:r>
          </w:p>
        </w:tc>
        <w:tc>
          <w:tcPr>
            <w:tcW w:w="1700" w:type="dxa"/>
            <w:vAlign w:val="bottom"/>
          </w:tcPr>
          <w:p>
            <w:pPr>
              <w:ind w:left="360"/>
              <w:spacing w:after="0"/>
              <w:rPr>
                <w:sz w:val="20"/>
                <w:szCs w:val="20"/>
                <w:color w:val="auto"/>
              </w:rPr>
            </w:pPr>
            <w:r>
              <w:rPr>
                <w:rFonts w:ascii="Arial" w:cs="Arial" w:eastAsia="Arial" w:hAnsi="Arial"/>
                <w:sz w:val="18"/>
                <w:szCs w:val="18"/>
                <w:color w:val="auto"/>
              </w:rPr>
              <w:t>(IRS Employer</w:t>
            </w:r>
          </w:p>
        </w:tc>
      </w:tr>
      <w:tr>
        <w:trPr>
          <w:trHeight w:val="230"/>
        </w:trPr>
        <w:tc>
          <w:tcPr>
            <w:tcW w:w="3760" w:type="dxa"/>
            <w:vAlign w:val="bottom"/>
          </w:tcPr>
          <w:p>
            <w:pPr>
              <w:ind w:left="40"/>
              <w:spacing w:after="0"/>
              <w:rPr>
                <w:sz w:val="20"/>
                <w:szCs w:val="20"/>
                <w:color w:val="auto"/>
              </w:rPr>
            </w:pPr>
            <w:r>
              <w:rPr>
                <w:rFonts w:ascii="Arial" w:cs="Arial" w:eastAsia="Arial" w:hAnsi="Arial"/>
                <w:sz w:val="18"/>
                <w:szCs w:val="18"/>
                <w:color w:val="auto"/>
              </w:rPr>
              <w:t>of incorporation</w:t>
            </w:r>
          </w:p>
        </w:tc>
        <w:tc>
          <w:tcPr>
            <w:tcW w:w="3520" w:type="dxa"/>
            <w:vAlign w:val="bottom"/>
          </w:tcPr>
          <w:p>
            <w:pPr>
              <w:ind w:left="1900"/>
              <w:spacing w:after="0"/>
              <w:rPr>
                <w:sz w:val="20"/>
                <w:szCs w:val="20"/>
                <w:color w:val="auto"/>
              </w:rPr>
            </w:pPr>
            <w:r>
              <w:rPr>
                <w:rFonts w:ascii="Arial" w:cs="Arial" w:eastAsia="Arial" w:hAnsi="Arial"/>
                <w:sz w:val="18"/>
                <w:szCs w:val="18"/>
                <w:color w:val="auto"/>
              </w:rPr>
              <w:t>Number)</w:t>
            </w:r>
          </w:p>
        </w:tc>
        <w:tc>
          <w:tcPr>
            <w:tcW w:w="1700" w:type="dxa"/>
            <w:vAlign w:val="bottom"/>
          </w:tcPr>
          <w:p>
            <w:pPr>
              <w:ind w:left="360"/>
              <w:spacing w:after="0"/>
              <w:rPr>
                <w:sz w:val="20"/>
                <w:szCs w:val="20"/>
                <w:color w:val="auto"/>
              </w:rPr>
            </w:pPr>
            <w:r>
              <w:rPr>
                <w:rFonts w:ascii="Arial" w:cs="Arial" w:eastAsia="Arial" w:hAnsi="Arial"/>
                <w:sz w:val="18"/>
                <w:szCs w:val="18"/>
                <w:color w:val="auto"/>
                <w:w w:val="94"/>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3780" w:type="dxa"/>
            <w:vAlign w:val="bottom"/>
          </w:tcPr>
          <w:p>
            <w:pPr>
              <w:ind w:left="60"/>
              <w:spacing w:after="0"/>
              <w:rPr>
                <w:sz w:val="20"/>
                <w:szCs w:val="20"/>
                <w:color w:val="auto"/>
              </w:rPr>
            </w:pPr>
            <w:r>
              <w:rPr>
                <w:rFonts w:ascii="Arial" w:cs="Arial" w:eastAsia="Arial" w:hAnsi="Arial"/>
                <w:sz w:val="22"/>
                <w:szCs w:val="22"/>
                <w:b w:val="1"/>
                <w:bCs w:val="1"/>
                <w:color w:val="auto"/>
              </w:rPr>
              <w:t>2000 Waters Edge Drive</w:t>
            </w:r>
          </w:p>
        </w:tc>
        <w:tc>
          <w:tcPr>
            <w:tcW w:w="1680" w:type="dxa"/>
            <w:vAlign w:val="bottom"/>
            <w:vMerge w:val="restart"/>
          </w:tcPr>
          <w:p>
            <w:pPr>
              <w:ind w:left="900"/>
              <w:spacing w:after="0"/>
              <w:rPr>
                <w:sz w:val="20"/>
                <w:szCs w:val="20"/>
                <w:color w:val="auto"/>
              </w:rPr>
            </w:pPr>
            <w:r>
              <w:rPr>
                <w:rFonts w:ascii="Arial" w:cs="Arial" w:eastAsia="Arial" w:hAnsi="Arial"/>
                <w:sz w:val="22"/>
                <w:szCs w:val="22"/>
                <w:b w:val="1"/>
                <w:bCs w:val="1"/>
                <w:color w:val="auto"/>
              </w:rPr>
              <w:t>37604</w:t>
            </w:r>
          </w:p>
        </w:tc>
        <w:tc>
          <w:tcPr>
            <w:tcW w:w="0" w:type="dxa"/>
            <w:vAlign w:val="bottom"/>
          </w:tcPr>
          <w:p>
            <w:pPr>
              <w:spacing w:after="0"/>
              <w:rPr>
                <w:sz w:val="1"/>
                <w:szCs w:val="1"/>
                <w:color w:val="auto"/>
              </w:rPr>
            </w:pPr>
          </w:p>
        </w:tc>
      </w:tr>
      <w:tr>
        <w:trPr>
          <w:trHeight w:val="159"/>
        </w:trPr>
        <w:tc>
          <w:tcPr>
            <w:tcW w:w="3780" w:type="dxa"/>
            <w:vAlign w:val="bottom"/>
            <w:vMerge w:val="restart"/>
          </w:tcPr>
          <w:p>
            <w:pPr>
              <w:spacing w:after="0"/>
              <w:rPr>
                <w:sz w:val="20"/>
                <w:szCs w:val="20"/>
                <w:color w:val="auto"/>
              </w:rPr>
            </w:pPr>
            <w:r>
              <w:rPr>
                <w:rFonts w:ascii="Arial" w:cs="Arial" w:eastAsia="Arial" w:hAnsi="Arial"/>
                <w:sz w:val="22"/>
                <w:szCs w:val="22"/>
                <w:b w:val="1"/>
                <w:bCs w:val="1"/>
                <w:color w:val="auto"/>
              </w:rPr>
              <w:t>Johnson City, Tennessee</w:t>
            </w:r>
          </w:p>
        </w:tc>
        <w:tc>
          <w:tcPr>
            <w:tcW w:w="1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3780" w:type="dxa"/>
            <w:vAlign w:val="bottom"/>
            <w:vMerge w:val="continue"/>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60"/>
              <w:spacing w:after="0"/>
              <w:rPr>
                <w:sz w:val="20"/>
                <w:szCs w:val="20"/>
                <w:color w:val="auto"/>
              </w:rPr>
            </w:pPr>
            <w:r>
              <w:rPr>
                <w:rFonts w:ascii="Arial" w:cs="Arial" w:eastAsia="Arial" w:hAnsi="Arial"/>
                <w:sz w:val="18"/>
                <w:szCs w:val="18"/>
                <w:color w:val="auto"/>
              </w:rPr>
              <w:t>(Address of principal executive offices)</w:t>
            </w:r>
          </w:p>
        </w:tc>
        <w:tc>
          <w:tcPr>
            <w:tcW w:w="1680" w:type="dxa"/>
            <w:vAlign w:val="bottom"/>
          </w:tcPr>
          <w:p>
            <w:pPr>
              <w:ind w:left="88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26"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Registrant's telephone number, including area code: </w:t>
      </w:r>
      <w:r>
        <w:rPr>
          <w:rFonts w:ascii="Arial" w:cs="Arial" w:eastAsia="Arial" w:hAnsi="Arial"/>
          <w:sz w:val="22"/>
          <w:szCs w:val="22"/>
          <w:b w:val="1"/>
          <w:bCs w:val="1"/>
          <w:color w:val="auto"/>
        </w:rPr>
        <w:t>(423)743-9151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spacing w:after="0" w:line="276"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28" w:lineRule="exact"/>
        <w:rPr>
          <w:sz w:val="24"/>
          <w:szCs w:val="24"/>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 Written communications pursuant to Rule 425 under the Securities Act (17 CFR 230.425)</w:t>
      </w:r>
    </w:p>
    <w:p>
      <w:pPr>
        <w:spacing w:after="0" w:line="287" w:lineRule="exact"/>
        <w:rPr>
          <w:rFonts w:ascii="Arial" w:cs="Arial" w:eastAsia="Arial" w:hAnsi="Arial"/>
          <w:sz w:val="22"/>
          <w:szCs w:val="22"/>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 Soliciting material pursuant to Rule 14a-12 under the Exchange Act (17 CFR 240.14a-12)</w:t>
      </w:r>
    </w:p>
    <w:p>
      <w:pPr>
        <w:spacing w:after="0" w:line="287" w:lineRule="exact"/>
        <w:rPr>
          <w:rFonts w:ascii="Arial" w:cs="Arial" w:eastAsia="Arial" w:hAnsi="Arial"/>
          <w:sz w:val="22"/>
          <w:szCs w:val="22"/>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 Pre-commencement communications pursuant to Rule 14d-2(b) under the Exchange Act (17 CFR 240.14d-2(b))</w:t>
      </w:r>
    </w:p>
    <w:p>
      <w:pPr>
        <w:spacing w:after="0" w:line="287" w:lineRule="exact"/>
        <w:rPr>
          <w:rFonts w:ascii="Arial" w:cs="Arial" w:eastAsia="Arial" w:hAnsi="Arial"/>
          <w:sz w:val="22"/>
          <w:szCs w:val="22"/>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451485</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794385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8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December 16, 2005, our Board of Directors voted to accelerate the vesting of certain “out-of-the-money” stock options previously awarded to the directors, executive officers and other employees under our 1994 NN Ball &amp; Roller, Inc. Stock Incentive Plan, as amended, and the NN, Inc. 2005 Stock Incentive Plan. Options to purchase approximately 442,000 shares of common stock (of which approximately 228,000 shares are subject to options held by non-employee directors and executive officers) are subject to this acceleration and had exercise prices greater than $9.95 per share, the closing price of our stock on the effective date of the acceleration of vesting.</w:t>
      </w:r>
    </w:p>
    <w:p>
      <w:pPr>
        <w:spacing w:after="0" w:line="24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decision to accelerate the vesting of these options was made primarily to reduce the compensation expense that would be recorded in future periods following our adoption of Financial Accounting Standards Board Statement No. 123R “Share-Based Payment”. This standard will require us to recognize compensation expense for share based payment transactions, including unvested stock options, in the financial statements effective with the quarter ending March 31,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202" w:right="4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5" w:lineRule="exact"/>
        <w:rPr>
          <w:sz w:val="20"/>
          <w:szCs w:val="20"/>
          <w:color w:val="auto"/>
        </w:rPr>
      </w:pPr>
    </w:p>
    <w:p>
      <w:pPr>
        <w:ind w:left="5540"/>
        <w:spacing w:after="0"/>
        <w:rPr>
          <w:sz w:val="20"/>
          <w:szCs w:val="20"/>
          <w:color w:val="auto"/>
        </w:rPr>
      </w:pPr>
      <w:r>
        <w:rPr>
          <w:rFonts w:ascii="Arial" w:cs="Arial" w:eastAsia="Arial" w:hAnsi="Arial"/>
          <w:sz w:val="22"/>
          <w:szCs w:val="22"/>
          <w:b w:val="1"/>
          <w:bCs w:val="1"/>
          <w:color w:val="auto"/>
        </w:rPr>
        <w:t>NN, INC.</w:t>
      </w:r>
    </w:p>
    <w:p>
      <w:pPr>
        <w:spacing w:after="0" w:line="200" w:lineRule="exact"/>
        <w:rPr>
          <w:sz w:val="20"/>
          <w:szCs w:val="20"/>
          <w:color w:val="auto"/>
        </w:rPr>
      </w:pPr>
    </w:p>
    <w:p>
      <w:pPr>
        <w:spacing w:after="0" w:line="228" w:lineRule="exact"/>
        <w:rPr>
          <w:sz w:val="20"/>
          <w:szCs w:val="20"/>
          <w:color w:val="auto"/>
        </w:rPr>
      </w:pPr>
    </w:p>
    <w:p>
      <w:pPr>
        <w:spacing w:after="0"/>
        <w:tabs>
          <w:tab w:leader="none" w:pos="5520" w:val="left"/>
          <w:tab w:leader="none" w:pos="5960" w:val="left"/>
        </w:tabs>
        <w:rPr>
          <w:sz w:val="20"/>
          <w:szCs w:val="20"/>
          <w:color w:val="auto"/>
        </w:rPr>
      </w:pPr>
      <w:r>
        <w:rPr>
          <w:rFonts w:ascii="Arial" w:cs="Arial" w:eastAsia="Arial" w:hAnsi="Arial"/>
          <w:sz w:val="22"/>
          <w:szCs w:val="22"/>
          <w:color w:val="auto"/>
        </w:rPr>
        <w:t>Date: December 22, 2005</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73660</wp:posOffset>
            </wp:positionV>
            <wp:extent cx="278257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82570" cy="215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Title: Secretary, Treasurer and</w:t>
      </w:r>
    </w:p>
    <w:p>
      <w:pPr>
        <w:spacing w:after="0" w:line="8" w:lineRule="exact"/>
        <w:rPr>
          <w:sz w:val="20"/>
          <w:szCs w:val="20"/>
          <w:color w:val="auto"/>
        </w:rPr>
      </w:pPr>
    </w:p>
    <w:p>
      <w:pPr>
        <w:ind w:left="6460"/>
        <w:spacing w:after="0"/>
        <w:rPr>
          <w:sz w:val="20"/>
          <w:szCs w:val="20"/>
          <w:color w:val="auto"/>
        </w:rPr>
      </w:pPr>
      <w:r>
        <w:rPr>
          <w:rFonts w:ascii="Arial" w:cs="Arial" w:eastAsia="Arial" w:hAnsi="Arial"/>
          <w:sz w:val="22"/>
          <w:szCs w:val="22"/>
          <w:color w:val="auto"/>
        </w:rPr>
        <w:t>Chief Administrative Officer</w:t>
      </w:r>
    </w:p>
    <w:p>
      <w:pPr>
        <w:sectPr>
          <w:pgSz w:w="11900" w:h="16838" w:orient="portrait"/>
          <w:cols w:equalWidth="0" w:num="1">
            <w:col w:w="11400"/>
          </w:cols>
          <w:pgMar w:left="240" w:top="666" w:right="259" w:bottom="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666" w:right="259" w:bottom="71"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2019-12-14T03:09:40Z</dcterms:created>
  <dcterms:modified xsi:type="dcterms:W3CDTF">2019-12-14T03:09:40Z</dcterms:modified>
</cp:coreProperties>
</file>