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3,733,515.00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3,733,515.00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3,733,515.00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406,049.00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406,049.00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406,049.00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Special Opportunities, L.P. XI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858,283.00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858,283.00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858,283.00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4,997,847.00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4,997,847.00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4,997,847.00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4,997,847.00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4,997,847.00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4,997,847.00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4,998,147.00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4,998,147.00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4,998,147.00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4,998,147.00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4,998,147.00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4,998,147.00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4,998,147.00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4,998,147.00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4,998,147.00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997"/>
        <w:gridCol w:w="9208"/>
      </w:tblGrid>
      <w:tr>
        <w:trPr/>
        <w:tc>
          <w:tcPr>
            <w:tcW w:w="997" w:type="dxa"/>
            <w:tcBorders/>
            <w:vAlign w:val="center"/>
          </w:tcPr>
          <w:p>
            <w:pPr>
              <w:pStyle w:val="TableContents"/>
              <w:bidi w:val="0"/>
              <w:spacing w:before="0" w:after="283"/>
              <w:jc w:val="left"/>
              <w:rPr/>
            </w:pPr>
            <w:r>
              <w:rPr/>
              <w:t>Item 1.</w:t>
            </w:r>
          </w:p>
        </w:tc>
        <w:tc>
          <w:tcPr>
            <w:tcW w:w="9208" w:type="dxa"/>
            <w:tcBorders/>
            <w:vAlign w:val="center"/>
          </w:tcPr>
          <w:p>
            <w:pPr>
              <w:pStyle w:val="TableContents"/>
              <w:bidi w:val="0"/>
              <w:spacing w:before="0" w:after="283"/>
              <w:jc w:val="left"/>
              <w:rPr/>
            </w:pPr>
            <w:r>
              <w:rPr/>
              <w:t>Security and Issuer</w:t>
            </w:r>
          </w:p>
        </w:tc>
      </w:tr>
      <w:tr>
        <w:trPr/>
        <w:tc>
          <w:tcPr>
            <w:tcW w:w="997" w:type="dxa"/>
            <w:tcBorders/>
            <w:vAlign w:val="center"/>
          </w:tcPr>
          <w:p>
            <w:pPr>
              <w:pStyle w:val="TableContents"/>
              <w:bidi w:val="0"/>
              <w:spacing w:before="0" w:after="283"/>
              <w:jc w:val="left"/>
              <w:rPr/>
            </w:pPr>
            <w:r>
              <w:rPr/>
              <w:t>(a)</w:t>
            </w:r>
          </w:p>
        </w:tc>
        <w:tc>
          <w:tcPr>
            <w:tcW w:w="92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997" w:type="dxa"/>
            <w:tcBorders/>
            <w:vAlign w:val="center"/>
          </w:tcPr>
          <w:p>
            <w:pPr>
              <w:pStyle w:val="TableContents"/>
              <w:bidi w:val="0"/>
              <w:spacing w:before="0" w:after="283"/>
              <w:jc w:val="left"/>
              <w:rPr/>
            </w:pPr>
            <w:r>
              <w:rPr/>
              <w:t>(b)</w:t>
            </w:r>
          </w:p>
        </w:tc>
        <w:tc>
          <w:tcPr>
            <w:tcW w:w="9208"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r>
      <w:tr>
        <w:trPr/>
        <w:tc>
          <w:tcPr>
            <w:tcW w:w="997" w:type="dxa"/>
            <w:tcBorders/>
            <w:vAlign w:val="center"/>
          </w:tcPr>
          <w:p>
            <w:pPr>
              <w:pStyle w:val="TableContents"/>
              <w:bidi w:val="0"/>
              <w:spacing w:before="0" w:after="283"/>
              <w:jc w:val="left"/>
              <w:rPr/>
            </w:pPr>
            <w:r>
              <w:rPr/>
              <w:t>(c)</w:t>
            </w:r>
          </w:p>
        </w:tc>
        <w:tc>
          <w:tcPr>
            <w:tcW w:w="92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 28277.</w:t>
            </w:r>
          </w:p>
        </w:tc>
      </w:tr>
      <w:tr>
        <w:trPr/>
        <w:tc>
          <w:tcPr>
            <w:tcW w:w="997" w:type="dxa"/>
            <w:tcBorders/>
            <w:vAlign w:val="center"/>
          </w:tcPr>
          <w:p>
            <w:pPr>
              <w:pStyle w:val="TableContents"/>
              <w:bidi w:val="0"/>
              <w:spacing w:before="0" w:after="283"/>
              <w:jc w:val="left"/>
              <w:rPr/>
            </w:pPr>
            <w:r>
              <w:rPr/>
              <w:t>Item 4.</w:t>
            </w:r>
          </w:p>
        </w:tc>
        <w:tc>
          <w:tcPr>
            <w:tcW w:w="9208" w:type="dxa"/>
            <w:tcBorders/>
            <w:vAlign w:val="center"/>
          </w:tcPr>
          <w:p>
            <w:pPr>
              <w:pStyle w:val="TableContents"/>
              <w:bidi w:val="0"/>
              <w:spacing w:before="0" w:after="283"/>
              <w:jc w:val="left"/>
              <w:rPr/>
            </w:pPr>
            <w:r>
              <w:rPr/>
              <w:t>Purpose of Transaction</w:t>
            </w:r>
          </w:p>
        </w:tc>
      </w:tr>
      <w:tr>
        <w:trPr/>
        <w:tc>
          <w:tcPr>
            <w:tcW w:w="997" w:type="dxa"/>
            <w:tcBorders/>
            <w:vAlign w:val="center"/>
          </w:tcPr>
          <w:p>
            <w:pPr>
              <w:pStyle w:val="TableContents"/>
              <w:bidi w:val="0"/>
              <w:spacing w:before="0" w:after="283"/>
              <w:jc w:val="left"/>
              <w:rPr/>
            </w:pPr>
            <w:r>
              <w:rPr/>
              <w:t> </w:t>
            </w:r>
          </w:p>
        </w:tc>
        <w:tc>
          <w:tcPr>
            <w:tcW w:w="9208" w:type="dxa"/>
            <w:tcBorders/>
            <w:vAlign w:val="center"/>
          </w:tcPr>
          <w:p>
            <w:pPr>
              <w:pStyle w:val="TableContents"/>
              <w:bidi w:val="0"/>
              <w:spacing w:before="0" w:after="0"/>
              <w:jc w:val="left"/>
              <w:rPr/>
            </w:pPr>
            <w:r>
              <w:rPr/>
              <w:t>Item 4 is hereby amended to add the following: On July 20, 2026, Raymond T. White resigned as a member of the board of directors of the Issuer, effective immediately.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Legion Partners Special Opportunities, L.P. XI</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1550</Words>
  <Characters>8101</Characters>
  <CharactersWithSpaces>9469</CharactersWithSpaces>
  <Paragraphs>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