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6257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6257290"/>
                    </a:xfrm>
                    <a:prstGeom prst="rect">
                      <a:avLst/>
                    </a:prstGeom>
                    <a:noFill/>
                  </pic:spPr>
                </pic:pic>
              </a:graphicData>
            </a:graphic>
          </wp:anchor>
        </w:drawing>
      </w:r>
    </w:p>
    <w:p>
      <w:pPr>
        <w:sectPr>
          <w:pgSz w:w="11900" w:h="16838" w:orient="portrait"/>
          <w:cols w:equalWidth="0" w:num="1">
            <w:col w:w="10940"/>
          </w:cols>
          <w:pgMar w:left="480" w:top="230" w:right="479" w:bottom="565"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Esch Robert James</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820" w:type="dxa"/>
            <w:vAlign w:val="bottom"/>
            <w:tcBorders>
              <w:top w:val="single" w:sz="8" w:color="0000EE"/>
              <w:bottom w:val="single" w:sz="8" w:color="9A9A9A"/>
            </w:tcBorders>
          </w:tcPr>
          <w:p>
            <w:pPr>
              <w:spacing w:after="0"/>
              <w:rPr>
                <w:sz w:val="17"/>
                <w:szCs w:val="17"/>
                <w:color w:val="auto"/>
              </w:rPr>
            </w:pPr>
          </w:p>
        </w:tc>
        <w:tc>
          <w:tcPr>
            <w:tcW w:w="124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06/08/2026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ind w:left="3"/>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ind w:left="403" w:hanging="403"/>
        <w:spacing w:after="0"/>
        <w:tabs>
          <w:tab w:leader="none" w:pos="403" w:val="left"/>
        </w:tabs>
        <w:numPr>
          <w:ilvl w:val="0"/>
          <w:numId w:val="1"/>
        </w:numPr>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NNBR</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88" w:lineRule="exact"/>
        <w:rPr>
          <w:sz w:val="24"/>
          <w:szCs w:val="24"/>
          <w:color w:val="auto"/>
        </w:rPr>
      </w:pPr>
    </w:p>
    <w:p>
      <w:pPr>
        <w:sectPr>
          <w:pgSz w:w="11900" w:h="16838" w:orient="portrait"/>
          <w:cols w:equalWidth="0" w:num="2">
            <w:col w:w="4720" w:space="277"/>
            <w:col w:w="5943"/>
          </w:cols>
          <w:pgMar w:left="480" w:top="230" w:right="479" w:bottom="565" w:gutter="0" w:footer="0" w:header="0"/>
          <w:type w:val="continuous"/>
        </w:sectPr>
      </w:pPr>
    </w:p>
    <w:p>
      <w:pPr>
        <w:spacing w:after="0" w:line="4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C/O NN, INC.</w:t>
      </w:r>
    </w:p>
    <w:p>
      <w:pPr>
        <w:spacing w:after="0" w:line="70"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6210 ARDREY KELL ROAD,</w:t>
      </w:r>
    </w:p>
    <w:p>
      <w:pPr>
        <w:spacing w:after="0" w:line="24"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SUITE 120</w:t>
      </w:r>
    </w:p>
    <w:p>
      <w:pPr>
        <w:spacing w:after="0" w:line="313"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860" w:type="dxa"/>
            <w:vAlign w:val="bottom"/>
          </w:tcPr>
          <w:p>
            <w:pPr>
              <w:spacing w:after="0"/>
              <w:rPr>
                <w:sz w:val="20"/>
                <w:szCs w:val="20"/>
                <w:color w:val="auto"/>
              </w:rPr>
            </w:pPr>
            <w:r>
              <w:rPr>
                <w:rFonts w:ascii="Arial" w:cs="Arial" w:eastAsia="Arial" w:hAnsi="Arial"/>
                <w:sz w:val="15"/>
                <w:szCs w:val="15"/>
                <w:color w:val="auto"/>
              </w:rPr>
              <w:t>(Street)</w:t>
            </w:r>
          </w:p>
        </w:tc>
        <w:tc>
          <w:tcPr>
            <w:tcW w:w="800" w:type="dxa"/>
            <w:vAlign w:val="bottom"/>
          </w:tcPr>
          <w:p>
            <w:pPr>
              <w:spacing w:after="0"/>
              <w:rPr>
                <w:sz w:val="17"/>
                <w:szCs w:val="17"/>
                <w:color w:val="auto"/>
              </w:rPr>
            </w:pPr>
          </w:p>
        </w:tc>
      </w:tr>
      <w:tr>
        <w:trPr>
          <w:trHeight w:val="265"/>
        </w:trPr>
        <w:tc>
          <w:tcPr>
            <w:tcW w:w="186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CHARLOTTE NC</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28277</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2"/>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5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243"/>
        <w:spacing w:after="0"/>
        <w:rPr>
          <w:sz w:val="20"/>
          <w:szCs w:val="20"/>
          <w:color w:val="auto"/>
        </w:rPr>
      </w:pPr>
      <w:r>
        <w:rPr>
          <w:rFonts w:ascii="Times New Roman" w:cs="Times New Roman" w:eastAsia="Times New Roman" w:hAnsi="Times New Roman"/>
          <w:sz w:val="20"/>
          <w:szCs w:val="20"/>
          <w:color w:val="0000FF"/>
        </w:rPr>
        <w:t>Pres. &amp; CTO, Machined Products</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3"/>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1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3"/>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23" w:lineRule="exact"/>
        <w:rPr>
          <w:sz w:val="24"/>
          <w:szCs w:val="24"/>
          <w:color w:val="auto"/>
        </w:rPr>
      </w:pPr>
    </w:p>
    <w:p>
      <w:pPr>
        <w:sectPr>
          <w:pgSz w:w="11900" w:h="16838" w:orient="portrait"/>
          <w:cols w:equalWidth="0" w:num="3">
            <w:col w:w="4277" w:space="720"/>
            <w:col w:w="3003" w:space="269"/>
            <w:col w:w="2671"/>
          </w:cols>
          <w:pgMar w:left="480" w:top="230" w:right="479" w:bottom="565" w:gutter="0" w:footer="0" w:header="0"/>
          <w:type w:val="continuous"/>
        </w:sectPr>
      </w:pPr>
    </w:p>
    <w:p>
      <w:pPr>
        <w:spacing w:after="0" w:line="14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371"/>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32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tcPr>
          <w:p>
            <w:pPr>
              <w:ind w:left="560"/>
              <w:spacing w:after="0"/>
              <w:rPr>
                <w:sz w:val="20"/>
                <w:szCs w:val="20"/>
                <w:color w:val="auto"/>
              </w:rPr>
            </w:pPr>
            <w:r>
              <w:rPr>
                <w:rFonts w:ascii="Times New Roman" w:cs="Times New Roman" w:eastAsia="Times New Roman" w:hAnsi="Times New Roman"/>
                <w:sz w:val="20"/>
                <w:szCs w:val="20"/>
                <w:color w:val="0000FF"/>
              </w:rPr>
              <w:t>67,978</w:t>
            </w:r>
            <w:r>
              <w:rPr>
                <w:rFonts w:ascii="Times New Roman" w:cs="Times New Roman" w:eastAsia="Times New Roman" w:hAnsi="Times New Roman"/>
                <w:sz w:val="25"/>
                <w:szCs w:val="25"/>
                <w:color w:val="008000"/>
                <w:vertAlign w:val="superscript"/>
              </w:rPr>
              <w:t>(1)</w:t>
            </w:r>
          </w:p>
        </w:tc>
        <w:tc>
          <w:tcPr>
            <w:tcW w:w="880" w:type="dxa"/>
            <w:vAlign w:val="bottom"/>
            <w:tcBorders>
              <w:bottom w:val="single" w:sz="8" w:color="2C2C2C"/>
            </w:tcBorders>
            <w:gridSpan w:val="2"/>
          </w:tcPr>
          <w:p>
            <w:pPr>
              <w:ind w:left="720"/>
              <w:spacing w:after="0"/>
              <w:rPr>
                <w:sz w:val="20"/>
                <w:szCs w:val="20"/>
                <w:color w:val="auto"/>
              </w:rPr>
            </w:pPr>
            <w:r>
              <w:rPr>
                <w:rFonts w:ascii="Times New Roman" w:cs="Times New Roman" w:eastAsia="Times New Roman" w:hAnsi="Times New Roman"/>
                <w:sz w:val="20"/>
                <w:szCs w:val="20"/>
                <w:color w:val="0000FF"/>
                <w:w w:val="96"/>
              </w:rPr>
              <w:t>D</w:t>
            </w:r>
          </w:p>
        </w:tc>
        <w:tc>
          <w:tcPr>
            <w:tcW w:w="9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5420" w:type="dxa"/>
            <w:vAlign w:val="bottom"/>
            <w:tcBorders>
              <w:top w:val="single" w:sz="8" w:color="2C2C2C"/>
            </w:tcBorders>
            <w:gridSpan w:val="6"/>
          </w:tcPr>
          <w:p>
            <w:pPr>
              <w:ind w:left="8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4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258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20" w:type="dxa"/>
            <w:vAlign w:val="bottom"/>
          </w:tcPr>
          <w:p>
            <w:pPr>
              <w:spacing w:after="0"/>
              <w:rPr>
                <w:sz w:val="18"/>
                <w:szCs w:val="18"/>
                <w:color w:val="auto"/>
              </w:rPr>
            </w:pPr>
          </w:p>
        </w:tc>
        <w:tc>
          <w:tcPr>
            <w:tcW w:w="1860" w:type="dxa"/>
            <w:vAlign w:val="bottom"/>
            <w:gridSpan w:val="2"/>
          </w:tcPr>
          <w:p>
            <w:pPr>
              <w:ind w:left="60"/>
              <w:spacing w:after="0"/>
              <w:rPr>
                <w:sz w:val="20"/>
                <w:szCs w:val="20"/>
                <w:color w:val="auto"/>
              </w:rPr>
            </w:pPr>
            <w:r>
              <w:rPr>
                <w:rFonts w:ascii="Arial" w:cs="Arial" w:eastAsia="Arial" w:hAnsi="Arial"/>
                <w:sz w:val="15"/>
                <w:szCs w:val="15"/>
                <w:b w:val="1"/>
                <w:bCs w:val="1"/>
                <w:color w:val="auto"/>
              </w:rPr>
              <w:t>2. Date Exercisable and</w:t>
            </w:r>
          </w:p>
        </w:tc>
        <w:tc>
          <w:tcPr>
            <w:tcW w:w="2620" w:type="dxa"/>
            <w:vAlign w:val="bottom"/>
            <w:gridSpan w:val="3"/>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94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6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Expiration Date</w:t>
            </w:r>
          </w:p>
        </w:tc>
        <w:tc>
          <w:tcPr>
            <w:tcW w:w="262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(Month/Day/Year)</w:t>
            </w:r>
          </w:p>
        </w:tc>
        <w:tc>
          <w:tcPr>
            <w:tcW w:w="17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2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94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20" w:type="dxa"/>
            <w:vAlign w:val="bottom"/>
          </w:tcPr>
          <w:p>
            <w:pPr>
              <w:spacing w:after="0"/>
              <w:rPr>
                <w:sz w:val="5"/>
                <w:szCs w:val="5"/>
                <w:color w:val="auto"/>
              </w:rPr>
            </w:pPr>
          </w:p>
        </w:tc>
        <w:tc>
          <w:tcPr>
            <w:tcW w:w="9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740" w:type="dxa"/>
            <w:vAlign w:val="bottom"/>
          </w:tcPr>
          <w:p>
            <w:pPr>
              <w:spacing w:after="0"/>
              <w:rPr>
                <w:sz w:val="5"/>
                <w:szCs w:val="5"/>
                <w:color w:val="auto"/>
              </w:rPr>
            </w:pPr>
          </w:p>
        </w:tc>
        <w:tc>
          <w:tcPr>
            <w:tcW w:w="880" w:type="dxa"/>
            <w:vAlign w:val="bottom"/>
            <w:gridSpan w:val="2"/>
            <w:vMerge w:val="restart"/>
          </w:tcPr>
          <w:p>
            <w:pPr>
              <w:ind w:left="180"/>
              <w:spacing w:after="0"/>
              <w:rPr>
                <w:sz w:val="20"/>
                <w:szCs w:val="20"/>
                <w:color w:val="auto"/>
              </w:rPr>
            </w:pPr>
            <w:r>
              <w:rPr>
                <w:rFonts w:ascii="Arial" w:cs="Arial" w:eastAsia="Arial" w:hAnsi="Arial"/>
                <w:sz w:val="15"/>
                <w:szCs w:val="15"/>
                <w:b w:val="1"/>
                <w:bCs w:val="1"/>
                <w:color w:val="auto"/>
              </w:rPr>
              <w:t>Amount</w:t>
            </w:r>
          </w:p>
        </w:tc>
        <w:tc>
          <w:tcPr>
            <w:tcW w:w="94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940" w:type="dxa"/>
            <w:vAlign w:val="bottom"/>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8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or</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8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Number</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jc w:val="center"/>
              <w:spacing w:after="0" w:line="165" w:lineRule="exact"/>
              <w:rPr>
                <w:sz w:val="20"/>
                <w:szCs w:val="20"/>
                <w:color w:val="auto"/>
              </w:rPr>
            </w:pPr>
            <w:r>
              <w:rPr>
                <w:rFonts w:ascii="Arial" w:cs="Arial" w:eastAsia="Arial" w:hAnsi="Arial"/>
                <w:sz w:val="15"/>
                <w:szCs w:val="15"/>
                <w:b w:val="1"/>
                <w:bCs w:val="1"/>
                <w:color w:val="auto"/>
              </w:rPr>
              <w:t>Expiration</w:t>
            </w:r>
          </w:p>
        </w:tc>
        <w:tc>
          <w:tcPr>
            <w:tcW w:w="1740" w:type="dxa"/>
            <w:vAlign w:val="bottom"/>
          </w:tcPr>
          <w:p>
            <w:pPr>
              <w:spacing w:after="0"/>
              <w:rPr>
                <w:sz w:val="14"/>
                <w:szCs w:val="14"/>
                <w:color w:val="auto"/>
              </w:rPr>
            </w:pPr>
          </w:p>
        </w:tc>
        <w:tc>
          <w:tcPr>
            <w:tcW w:w="88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of</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40" w:type="dxa"/>
            <w:vAlign w:val="bottom"/>
          </w:tcPr>
          <w:p>
            <w:pPr>
              <w:ind w:left="80"/>
              <w:spacing w:after="0"/>
              <w:rPr>
                <w:sz w:val="20"/>
                <w:szCs w:val="20"/>
                <w:color w:val="auto"/>
              </w:rPr>
            </w:pPr>
            <w:r>
              <w:rPr>
                <w:rFonts w:ascii="Arial" w:cs="Arial" w:eastAsia="Arial" w:hAnsi="Arial"/>
                <w:sz w:val="15"/>
                <w:szCs w:val="15"/>
                <w:b w:val="1"/>
                <w:bCs w:val="1"/>
                <w:color w:val="auto"/>
              </w:rPr>
              <w:t>Title</w:t>
            </w:r>
          </w:p>
        </w:tc>
        <w:tc>
          <w:tcPr>
            <w:tcW w:w="880" w:type="dxa"/>
            <w:vAlign w:val="bottom"/>
            <w:gridSpan w:val="2"/>
          </w:tcPr>
          <w:p>
            <w:pPr>
              <w:ind w:left="180"/>
              <w:spacing w:after="0"/>
              <w:rPr>
                <w:sz w:val="20"/>
                <w:szCs w:val="20"/>
                <w:color w:val="auto"/>
              </w:rPr>
            </w:pPr>
            <w:r>
              <w:rPr>
                <w:rFonts w:ascii="Arial" w:cs="Arial" w:eastAsia="Arial" w:hAnsi="Arial"/>
                <w:sz w:val="15"/>
                <w:szCs w:val="15"/>
                <w:b w:val="1"/>
                <w:bCs w:val="1"/>
                <w:color w:val="auto"/>
              </w:rPr>
              <w:t>Shares</w:t>
            </w: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Employee Stock Option (right to</w:t>
            </w:r>
          </w:p>
        </w:tc>
        <w:tc>
          <w:tcPr>
            <w:tcW w:w="1300" w:type="dxa"/>
            <w:vAlign w:val="bottom"/>
            <w:gridSpan w:val="2"/>
            <w:vMerge w:val="restart"/>
          </w:tcPr>
          <w:p>
            <w:pPr>
              <w:jc w:val="right"/>
              <w:ind w:right="341"/>
              <w:spacing w:after="0"/>
              <w:rPr>
                <w:sz w:val="20"/>
                <w:szCs w:val="20"/>
                <w:color w:val="auto"/>
              </w:rPr>
            </w:pPr>
            <w:r>
              <w:rPr>
                <w:rFonts w:ascii="Times New Roman" w:cs="Times New Roman" w:eastAsia="Times New Roman" w:hAnsi="Times New Roman"/>
                <w:sz w:val="13"/>
                <w:szCs w:val="13"/>
                <w:color w:val="008000"/>
              </w:rPr>
              <w:t>(2)</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03/17/2027</w:t>
            </w:r>
          </w:p>
        </w:tc>
        <w:tc>
          <w:tcPr>
            <w:tcW w:w="1740" w:type="dxa"/>
            <w:vAlign w:val="bottom"/>
            <w:vMerge w:val="restart"/>
          </w:tcPr>
          <w:p>
            <w:pPr>
              <w:ind w:left="320"/>
              <w:spacing w:after="0"/>
              <w:rPr>
                <w:sz w:val="20"/>
                <w:szCs w:val="20"/>
                <w:color w:val="auto"/>
              </w:rPr>
            </w:pPr>
            <w:r>
              <w:rPr>
                <w:rFonts w:ascii="Times New Roman" w:cs="Times New Roman" w:eastAsia="Times New Roman" w:hAnsi="Times New Roman"/>
                <w:sz w:val="20"/>
                <w:szCs w:val="20"/>
                <w:color w:val="0000FF"/>
              </w:rPr>
              <w:t>Common Stock</w:t>
            </w:r>
          </w:p>
        </w:tc>
        <w:tc>
          <w:tcPr>
            <w:tcW w:w="840" w:type="dxa"/>
            <w:vAlign w:val="bottom"/>
            <w:vMerge w:val="restart"/>
          </w:tcPr>
          <w:p>
            <w:pPr>
              <w:ind w:left="260"/>
              <w:spacing w:after="0"/>
              <w:rPr>
                <w:sz w:val="20"/>
                <w:szCs w:val="20"/>
                <w:color w:val="auto"/>
              </w:rPr>
            </w:pPr>
            <w:r>
              <w:rPr>
                <w:rFonts w:ascii="Times New Roman" w:cs="Times New Roman" w:eastAsia="Times New Roman" w:hAnsi="Times New Roman"/>
                <w:sz w:val="20"/>
                <w:szCs w:val="20"/>
                <w:color w:val="0000FF"/>
              </w:rPr>
              <w:t>1,000</w:t>
            </w:r>
          </w:p>
        </w:tc>
        <w:tc>
          <w:tcPr>
            <w:tcW w:w="40" w:type="dxa"/>
            <w:vAlign w:val="bottom"/>
          </w:tcPr>
          <w:p>
            <w:pPr>
              <w:spacing w:after="0"/>
              <w:rPr>
                <w:sz w:val="24"/>
                <w:szCs w:val="24"/>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24.2</w:t>
            </w:r>
          </w:p>
        </w:tc>
        <w:tc>
          <w:tcPr>
            <w:tcW w:w="94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buy)</w:t>
            </w:r>
          </w:p>
        </w:tc>
        <w:tc>
          <w:tcPr>
            <w:tcW w:w="1300" w:type="dxa"/>
            <w:vAlign w:val="bottom"/>
            <w:gridSpan w:val="2"/>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740" w:type="dxa"/>
            <w:vAlign w:val="bottom"/>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Employee Stock Option (right to</w:t>
            </w:r>
          </w:p>
        </w:tc>
        <w:tc>
          <w:tcPr>
            <w:tcW w:w="1300" w:type="dxa"/>
            <w:vAlign w:val="bottom"/>
            <w:gridSpan w:val="2"/>
            <w:vMerge w:val="restart"/>
          </w:tcPr>
          <w:p>
            <w:pPr>
              <w:jc w:val="right"/>
              <w:ind w:right="341"/>
              <w:spacing w:after="0"/>
              <w:rPr>
                <w:sz w:val="20"/>
                <w:szCs w:val="20"/>
                <w:color w:val="auto"/>
              </w:rPr>
            </w:pPr>
            <w:r>
              <w:rPr>
                <w:rFonts w:ascii="Times New Roman" w:cs="Times New Roman" w:eastAsia="Times New Roman" w:hAnsi="Times New Roman"/>
                <w:sz w:val="13"/>
                <w:szCs w:val="13"/>
                <w:color w:val="008000"/>
              </w:rPr>
              <w:t>(2)</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03/14/2028</w:t>
            </w:r>
          </w:p>
        </w:tc>
        <w:tc>
          <w:tcPr>
            <w:tcW w:w="1740" w:type="dxa"/>
            <w:vAlign w:val="bottom"/>
            <w:vMerge w:val="restart"/>
          </w:tcPr>
          <w:p>
            <w:pPr>
              <w:ind w:left="320"/>
              <w:spacing w:after="0"/>
              <w:rPr>
                <w:sz w:val="20"/>
                <w:szCs w:val="20"/>
                <w:color w:val="auto"/>
              </w:rPr>
            </w:pPr>
            <w:r>
              <w:rPr>
                <w:rFonts w:ascii="Times New Roman" w:cs="Times New Roman" w:eastAsia="Times New Roman" w:hAnsi="Times New Roman"/>
                <w:sz w:val="20"/>
                <w:szCs w:val="20"/>
                <w:color w:val="0000FF"/>
              </w:rPr>
              <w:t>Common Stock</w:t>
            </w:r>
          </w:p>
        </w:tc>
        <w:tc>
          <w:tcPr>
            <w:tcW w:w="840" w:type="dxa"/>
            <w:vAlign w:val="bottom"/>
            <w:vMerge w:val="restart"/>
          </w:tcPr>
          <w:p>
            <w:pPr>
              <w:ind w:left="260"/>
              <w:spacing w:after="0"/>
              <w:rPr>
                <w:sz w:val="20"/>
                <w:szCs w:val="20"/>
                <w:color w:val="auto"/>
              </w:rPr>
            </w:pPr>
            <w:r>
              <w:rPr>
                <w:rFonts w:ascii="Times New Roman" w:cs="Times New Roman" w:eastAsia="Times New Roman" w:hAnsi="Times New Roman"/>
                <w:sz w:val="20"/>
                <w:szCs w:val="20"/>
                <w:color w:val="0000FF"/>
              </w:rPr>
              <w:t>1,200</w:t>
            </w:r>
          </w:p>
        </w:tc>
        <w:tc>
          <w:tcPr>
            <w:tcW w:w="40" w:type="dxa"/>
            <w:vAlign w:val="bottom"/>
          </w:tcPr>
          <w:p>
            <w:pPr>
              <w:spacing w:after="0"/>
              <w:rPr>
                <w:sz w:val="24"/>
                <w:szCs w:val="24"/>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24.55</w:t>
            </w:r>
          </w:p>
        </w:tc>
        <w:tc>
          <w:tcPr>
            <w:tcW w:w="94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buy)</w:t>
            </w:r>
          </w:p>
        </w:tc>
        <w:tc>
          <w:tcPr>
            <w:tcW w:w="1300" w:type="dxa"/>
            <w:vAlign w:val="bottom"/>
            <w:gridSpan w:val="2"/>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740" w:type="dxa"/>
            <w:vAlign w:val="bottom"/>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Employee Stock Option (right to</w:t>
            </w:r>
          </w:p>
        </w:tc>
        <w:tc>
          <w:tcPr>
            <w:tcW w:w="1300" w:type="dxa"/>
            <w:vAlign w:val="bottom"/>
            <w:gridSpan w:val="2"/>
            <w:vMerge w:val="restart"/>
          </w:tcPr>
          <w:p>
            <w:pPr>
              <w:jc w:val="right"/>
              <w:ind w:right="341"/>
              <w:spacing w:after="0"/>
              <w:rPr>
                <w:sz w:val="20"/>
                <w:szCs w:val="20"/>
                <w:color w:val="auto"/>
              </w:rPr>
            </w:pPr>
            <w:r>
              <w:rPr>
                <w:rFonts w:ascii="Times New Roman" w:cs="Times New Roman" w:eastAsia="Times New Roman" w:hAnsi="Times New Roman"/>
                <w:sz w:val="13"/>
                <w:szCs w:val="13"/>
                <w:color w:val="008000"/>
              </w:rPr>
              <w:t>(2)</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03/14/2029</w:t>
            </w:r>
          </w:p>
        </w:tc>
        <w:tc>
          <w:tcPr>
            <w:tcW w:w="1740" w:type="dxa"/>
            <w:vAlign w:val="bottom"/>
            <w:vMerge w:val="restart"/>
          </w:tcPr>
          <w:p>
            <w:pPr>
              <w:ind w:left="320"/>
              <w:spacing w:after="0"/>
              <w:rPr>
                <w:sz w:val="20"/>
                <w:szCs w:val="20"/>
                <w:color w:val="auto"/>
              </w:rPr>
            </w:pPr>
            <w:r>
              <w:rPr>
                <w:rFonts w:ascii="Times New Roman" w:cs="Times New Roman" w:eastAsia="Times New Roman" w:hAnsi="Times New Roman"/>
                <w:sz w:val="20"/>
                <w:szCs w:val="20"/>
                <w:color w:val="0000FF"/>
              </w:rPr>
              <w:t>Common Stock</w:t>
            </w:r>
          </w:p>
        </w:tc>
        <w:tc>
          <w:tcPr>
            <w:tcW w:w="840" w:type="dxa"/>
            <w:vAlign w:val="bottom"/>
            <w:vMerge w:val="restart"/>
          </w:tcPr>
          <w:p>
            <w:pPr>
              <w:ind w:left="260"/>
              <w:spacing w:after="0"/>
              <w:rPr>
                <w:sz w:val="20"/>
                <w:szCs w:val="20"/>
                <w:color w:val="auto"/>
              </w:rPr>
            </w:pPr>
            <w:r>
              <w:rPr>
                <w:rFonts w:ascii="Times New Roman" w:cs="Times New Roman" w:eastAsia="Times New Roman" w:hAnsi="Times New Roman"/>
                <w:sz w:val="20"/>
                <w:szCs w:val="20"/>
                <w:color w:val="0000FF"/>
              </w:rPr>
              <w:t>3,800</w:t>
            </w:r>
          </w:p>
        </w:tc>
        <w:tc>
          <w:tcPr>
            <w:tcW w:w="40" w:type="dxa"/>
            <w:vAlign w:val="bottom"/>
          </w:tcPr>
          <w:p>
            <w:pPr>
              <w:spacing w:after="0"/>
              <w:rPr>
                <w:sz w:val="24"/>
                <w:szCs w:val="24"/>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7.93</w:t>
            </w:r>
          </w:p>
        </w:tc>
        <w:tc>
          <w:tcPr>
            <w:tcW w:w="94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buy)</w:t>
            </w:r>
          </w:p>
        </w:tc>
        <w:tc>
          <w:tcPr>
            <w:tcW w:w="1300" w:type="dxa"/>
            <w:vAlign w:val="bottom"/>
            <w:gridSpan w:val="2"/>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740" w:type="dxa"/>
            <w:vAlign w:val="bottom"/>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Employee Stock Option (right to</w:t>
            </w:r>
          </w:p>
        </w:tc>
        <w:tc>
          <w:tcPr>
            <w:tcW w:w="1300" w:type="dxa"/>
            <w:vAlign w:val="bottom"/>
            <w:gridSpan w:val="2"/>
            <w:vMerge w:val="restart"/>
          </w:tcPr>
          <w:p>
            <w:pPr>
              <w:jc w:val="right"/>
              <w:ind w:right="341"/>
              <w:spacing w:after="0"/>
              <w:rPr>
                <w:sz w:val="20"/>
                <w:szCs w:val="20"/>
                <w:color w:val="auto"/>
              </w:rPr>
            </w:pPr>
            <w:r>
              <w:rPr>
                <w:rFonts w:ascii="Times New Roman" w:cs="Times New Roman" w:eastAsia="Times New Roman" w:hAnsi="Times New Roman"/>
                <w:sz w:val="13"/>
                <w:szCs w:val="13"/>
                <w:color w:val="008000"/>
              </w:rPr>
              <w:t>(2)</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02/18/2030</w:t>
            </w:r>
          </w:p>
        </w:tc>
        <w:tc>
          <w:tcPr>
            <w:tcW w:w="1740" w:type="dxa"/>
            <w:vAlign w:val="bottom"/>
            <w:vMerge w:val="restart"/>
          </w:tcPr>
          <w:p>
            <w:pPr>
              <w:ind w:left="320"/>
              <w:spacing w:after="0"/>
              <w:rPr>
                <w:sz w:val="20"/>
                <w:szCs w:val="20"/>
                <w:color w:val="auto"/>
              </w:rPr>
            </w:pPr>
            <w:r>
              <w:rPr>
                <w:rFonts w:ascii="Times New Roman" w:cs="Times New Roman" w:eastAsia="Times New Roman" w:hAnsi="Times New Roman"/>
                <w:sz w:val="20"/>
                <w:szCs w:val="20"/>
                <w:color w:val="0000FF"/>
              </w:rPr>
              <w:t>Common Stock</w:t>
            </w:r>
          </w:p>
        </w:tc>
        <w:tc>
          <w:tcPr>
            <w:tcW w:w="840" w:type="dxa"/>
            <w:vAlign w:val="bottom"/>
            <w:vMerge w:val="restart"/>
          </w:tcPr>
          <w:p>
            <w:pPr>
              <w:ind w:left="260"/>
              <w:spacing w:after="0"/>
              <w:rPr>
                <w:sz w:val="20"/>
                <w:szCs w:val="20"/>
                <w:color w:val="auto"/>
              </w:rPr>
            </w:pPr>
            <w:r>
              <w:rPr>
                <w:rFonts w:ascii="Times New Roman" w:cs="Times New Roman" w:eastAsia="Times New Roman" w:hAnsi="Times New Roman"/>
                <w:sz w:val="20"/>
                <w:szCs w:val="20"/>
                <w:color w:val="0000FF"/>
              </w:rPr>
              <w:t>3,800</w:t>
            </w:r>
          </w:p>
        </w:tc>
        <w:tc>
          <w:tcPr>
            <w:tcW w:w="40" w:type="dxa"/>
            <w:vAlign w:val="bottom"/>
          </w:tcPr>
          <w:p>
            <w:pPr>
              <w:spacing w:after="0"/>
              <w:rPr>
                <w:sz w:val="24"/>
                <w:szCs w:val="24"/>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9.44</w:t>
            </w:r>
          </w:p>
        </w:tc>
        <w:tc>
          <w:tcPr>
            <w:tcW w:w="94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buy)</w:t>
            </w:r>
          </w:p>
        </w:tc>
        <w:tc>
          <w:tcPr>
            <w:tcW w:w="1300" w:type="dxa"/>
            <w:vAlign w:val="bottom"/>
            <w:gridSpan w:val="2"/>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740" w:type="dxa"/>
            <w:vAlign w:val="bottom"/>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2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40" w:right="180" w:firstLine="5"/>
        <w:spacing w:after="0" w:line="259"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Includes 40,042 restricted stock units ("RSUs"). 2,390 RSUs will vest on March 19, 2027, 7,842 RSUs will vest in two equal annual installments beginning on March 18, 2027, and 29,810 RSUs will vest in three equal annual installments beginning on March 18, 2027</w:t>
      </w:r>
    </w:p>
    <w:p>
      <w:pPr>
        <w:spacing w:after="0" w:line="17"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Fully vested.</w:t>
      </w:r>
    </w:p>
    <w:p>
      <w:pPr>
        <w:spacing w:after="0" w:line="42" w:lineRule="exact"/>
        <w:rPr>
          <w:sz w:val="24"/>
          <w:szCs w:val="24"/>
          <w:color w:val="auto"/>
        </w:rPr>
      </w:pPr>
    </w:p>
    <w:tbl>
      <w:tblPr>
        <w:tblLayout w:type="fixed"/>
        <w:tblInd w:w="40" w:type="dxa"/>
        <w:tblCellMar>
          <w:top w:w="0" w:type="dxa"/>
          <w:left w:w="0" w:type="dxa"/>
          <w:bottom w:w="0" w:type="dxa"/>
          <w:right w:w="0" w:type="dxa"/>
        </w:tblCellMar>
      </w:tblPr>
      <w:tr>
        <w:trPr>
          <w:trHeight w:val="250"/>
        </w:trPr>
        <w:tc>
          <w:tcPr>
            <w:tcW w:w="6540" w:type="dxa"/>
            <w:vAlign w:val="bottom"/>
          </w:tcPr>
          <w:p>
            <w:pPr>
              <w:spacing w:after="0"/>
              <w:rPr>
                <w:sz w:val="21"/>
                <w:szCs w:val="21"/>
                <w:color w:val="auto"/>
              </w:rPr>
            </w:pPr>
          </w:p>
        </w:tc>
        <w:tc>
          <w:tcPr>
            <w:tcW w:w="21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6"/>
              </w:rPr>
              <w:t>/s/ Stacy Naessens, Power-</w:t>
            </w:r>
          </w:p>
        </w:tc>
        <w:tc>
          <w:tcPr>
            <w:tcW w:w="80" w:type="dxa"/>
            <w:vAlign w:val="bottom"/>
          </w:tcPr>
          <w:p>
            <w:pPr>
              <w:spacing w:after="0"/>
              <w:rPr>
                <w:sz w:val="21"/>
                <w:szCs w:val="21"/>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06/10/2026</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920" w:type="dxa"/>
            <w:vAlign w:val="bottom"/>
            <w:vMerge w:val="restart"/>
          </w:tcPr>
          <w:p>
            <w:pPr>
              <w:spacing w:after="0" w:line="220" w:lineRule="exact"/>
              <w:rPr>
                <w:sz w:val="20"/>
                <w:szCs w:val="20"/>
                <w:color w:val="auto"/>
              </w:rPr>
            </w:pPr>
            <w:r>
              <w:rPr>
                <w:rFonts w:ascii="Times New Roman" w:cs="Times New Roman" w:eastAsia="Times New Roman" w:hAnsi="Times New Roman"/>
                <w:sz w:val="20"/>
                <w:szCs w:val="20"/>
                <w:color w:val="0000FF"/>
                <w:w w:val="95"/>
              </w:rPr>
              <w:t>of-Attorney</w:t>
            </w:r>
          </w:p>
        </w:tc>
        <w:tc>
          <w:tcPr>
            <w:tcW w:w="1260" w:type="dxa"/>
            <w:vAlign w:val="bottom"/>
            <w:gridSpan w:val="2"/>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920" w:type="dxa"/>
            <w:vAlign w:val="bottom"/>
            <w:tcBorders>
              <w:bottom w:val="single" w:sz="8" w:color="auto"/>
            </w:tcBorders>
            <w:vMerge w:val="continue"/>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565" w:gutter="0" w:footer="0" w:header="0"/>
          <w:type w:val="continuous"/>
        </w:sectPr>
      </w:pPr>
    </w:p>
    <w:bookmarkStart w:id="1" w:name="page2"/>
    <w:bookmarkEnd w:id="1"/>
    <w:p>
      <w:pPr>
        <w:ind w:left="9620"/>
        <w:spacing w:after="0"/>
        <w:rPr>
          <w:sz w:val="20"/>
          <w:szCs w:val="20"/>
          <w:color w:val="auto"/>
        </w:rPr>
      </w:pPr>
      <w:r>
        <w:rPr>
          <w:rFonts w:ascii="Times New Roman" w:cs="Times New Roman" w:eastAsia="Times New Roman" w:hAnsi="Times New Roman"/>
          <w:sz w:val="23"/>
          <w:szCs w:val="23"/>
          <w:b w:val="1"/>
          <w:bCs w:val="1"/>
          <w:color w:val="auto"/>
        </w:rPr>
        <w:t>EXHIBIT 24</w:t>
      </w: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POWER OF ATTORNEY</w:t>
      </w:r>
    </w:p>
    <w:p>
      <w:pPr>
        <w:spacing w:after="0" w:line="270" w:lineRule="exact"/>
        <w:rPr>
          <w:sz w:val="20"/>
          <w:szCs w:val="20"/>
          <w:color w:val="auto"/>
        </w:rPr>
      </w:pPr>
    </w:p>
    <w:p>
      <w:pPr>
        <w:jc w:val="both"/>
        <w:ind w:right="20" w:firstLine="916"/>
        <w:spacing w:after="0" w:line="250" w:lineRule="auto"/>
        <w:rPr>
          <w:sz w:val="20"/>
          <w:szCs w:val="20"/>
          <w:color w:val="auto"/>
        </w:rPr>
      </w:pPr>
      <w:r>
        <w:rPr>
          <w:rFonts w:ascii="Times New Roman" w:cs="Times New Roman" w:eastAsia="Times New Roman" w:hAnsi="Times New Roman"/>
          <w:sz w:val="24"/>
          <w:szCs w:val="24"/>
          <w:color w:val="auto"/>
        </w:rPr>
        <w:t>Know all by these presents that the undersigned hereby constitutes and appoints each of D. Gail Nixon, Christopher Bohnert, Jami Statham and Stacy Naessens, signing individually, the undersigned's true and lawful attorneys-in-fact and agents to:</w:t>
      </w:r>
    </w:p>
    <w:p>
      <w:pPr>
        <w:spacing w:after="0" w:line="200" w:lineRule="exact"/>
        <w:rPr>
          <w:sz w:val="20"/>
          <w:szCs w:val="20"/>
          <w:color w:val="auto"/>
        </w:rPr>
      </w:pPr>
    </w:p>
    <w:p>
      <w:pPr>
        <w:spacing w:after="0" w:line="288" w:lineRule="exact"/>
        <w:rPr>
          <w:sz w:val="20"/>
          <w:szCs w:val="20"/>
          <w:color w:val="auto"/>
        </w:rPr>
      </w:pPr>
    </w:p>
    <w:p>
      <w:pPr>
        <w:jc w:val="both"/>
        <w:ind w:left="720" w:hanging="360"/>
        <w:spacing w:after="0" w:line="242" w:lineRule="auto"/>
        <w:tabs>
          <w:tab w:leader="none" w:pos="690" w:val="left"/>
        </w:tabs>
        <w:numPr>
          <w:ilvl w:val="0"/>
          <w:numId w:val="6"/>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prepare, execute in the undersigned's name and on the undersigned's behalf, and submit to the U.S. Securities and Exchange Commission (the "SEC") Forms 3, 4 and 5 (including any amendments thereto) in accordance with Section 16(a) of the Securities Exchange Act of 1934, as amended (the “Exchange Act”), and the rules thereunder in the undersigned’s capacity as an officer, director or beneficial owner of more than 10% of a registered class of securities of the Company;</w:t>
      </w:r>
    </w:p>
    <w:p>
      <w:pPr>
        <w:spacing w:after="0" w:line="200" w:lineRule="exact"/>
        <w:rPr>
          <w:rFonts w:ascii="Times New Roman" w:cs="Times New Roman" w:eastAsia="Times New Roman" w:hAnsi="Times New Roman"/>
          <w:sz w:val="24"/>
          <w:szCs w:val="24"/>
          <w:color w:val="auto"/>
        </w:rPr>
      </w:pPr>
    </w:p>
    <w:p>
      <w:pPr>
        <w:spacing w:after="0" w:line="299" w:lineRule="exact"/>
        <w:rPr>
          <w:rFonts w:ascii="Times New Roman" w:cs="Times New Roman" w:eastAsia="Times New Roman" w:hAnsi="Times New Roman"/>
          <w:sz w:val="24"/>
          <w:szCs w:val="24"/>
          <w:color w:val="auto"/>
        </w:rPr>
      </w:pPr>
    </w:p>
    <w:p>
      <w:pPr>
        <w:jc w:val="both"/>
        <w:ind w:left="720" w:hanging="360"/>
        <w:spacing w:after="0" w:line="250" w:lineRule="auto"/>
        <w:tabs>
          <w:tab w:leader="none" w:pos="690" w:val="left"/>
        </w:tabs>
        <w:numPr>
          <w:ilvl w:val="0"/>
          <w:numId w:val="6"/>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do and perform any and all acts for and on behalf of the undersigned that may be necessary or desirable to complete and execute such Forms 3, 4 or 5 (including amendments thereto) and timely file such forms with the SEC and any stock exchange or similar authority; and</w:t>
      </w:r>
    </w:p>
    <w:p>
      <w:pPr>
        <w:spacing w:after="0" w:line="200" w:lineRule="exact"/>
        <w:rPr>
          <w:rFonts w:ascii="Times New Roman" w:cs="Times New Roman" w:eastAsia="Times New Roman" w:hAnsi="Times New Roman"/>
          <w:sz w:val="24"/>
          <w:szCs w:val="24"/>
          <w:color w:val="auto"/>
        </w:rPr>
      </w:pPr>
    </w:p>
    <w:p>
      <w:pPr>
        <w:spacing w:after="0" w:line="288" w:lineRule="exact"/>
        <w:rPr>
          <w:rFonts w:ascii="Times New Roman" w:cs="Times New Roman" w:eastAsia="Times New Roman" w:hAnsi="Times New Roman"/>
          <w:sz w:val="24"/>
          <w:szCs w:val="24"/>
          <w:color w:val="auto"/>
        </w:rPr>
      </w:pPr>
    </w:p>
    <w:p>
      <w:pPr>
        <w:jc w:val="both"/>
        <w:ind w:left="720" w:hanging="360"/>
        <w:spacing w:after="0" w:line="242" w:lineRule="auto"/>
        <w:tabs>
          <w:tab w:leader="none" w:pos="690" w:val="left"/>
        </w:tabs>
        <w:numPr>
          <w:ilvl w:val="0"/>
          <w:numId w:val="6"/>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take any other action of any type whatsoever in connection with the foregoing that, in the opinion of such attorney-in-fact, may be of benefit to, in the best interest of, or legally required of, the undersigned, it being understood that the documents executed by such attorney-in-fact on behalf of the undersigned pursuant to this Power of Attorney shall be in such form and shall contain such terms and conditions as such attorney-in-fact may approve in the attorney-in-fact's discretion.</w:t>
      </w:r>
    </w:p>
    <w:p>
      <w:pPr>
        <w:spacing w:after="0" w:line="229" w:lineRule="exact"/>
        <w:rPr>
          <w:sz w:val="20"/>
          <w:szCs w:val="20"/>
          <w:color w:val="auto"/>
        </w:rPr>
      </w:pPr>
    </w:p>
    <w:p>
      <w:pPr>
        <w:jc w:val="both"/>
        <w:ind w:firstLine="916"/>
        <w:spacing w:after="0" w:line="239" w:lineRule="auto"/>
        <w:rPr>
          <w:sz w:val="20"/>
          <w:szCs w:val="20"/>
          <w:color w:val="auto"/>
        </w:rPr>
      </w:pPr>
      <w:r>
        <w:rPr>
          <w:rFonts w:ascii="Times New Roman" w:cs="Times New Roman" w:eastAsia="Times New Roman" w:hAnsi="Times New Roman"/>
          <w:sz w:val="24"/>
          <w:szCs w:val="24"/>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spacing w:after="0" w:line="232" w:lineRule="exact"/>
        <w:rPr>
          <w:sz w:val="20"/>
          <w:szCs w:val="20"/>
          <w:color w:val="auto"/>
        </w:rPr>
      </w:pPr>
    </w:p>
    <w:p>
      <w:pPr>
        <w:jc w:val="both"/>
        <w:ind w:firstLine="916"/>
        <w:spacing w:after="0" w:line="242" w:lineRule="auto"/>
        <w:rPr>
          <w:sz w:val="20"/>
          <w:szCs w:val="20"/>
          <w:color w:val="auto"/>
        </w:rPr>
      </w:pPr>
      <w:r>
        <w:rPr>
          <w:rFonts w:ascii="Times New Roman" w:cs="Times New Roman" w:eastAsia="Times New Roman" w:hAnsi="Times New Roman"/>
          <w:sz w:val="24"/>
          <w:szCs w:val="24"/>
          <w:color w:val="auto"/>
        </w:rPr>
        <w:t>This Power of Attorney shall remain in full force and effect until the earliest to occur of (a) the undersigned is no longer required to file Forms 3, 4 and 5 with respect to the undersigned's holdings of and transactions in securities issued by the Company, (b) revocation by the undersigned in a signed writing delivered to the foregoing attorneys-in-fact or (c) as to any attorney-in-fact individually, until such attorney-in-fact is no longer employed by the Company.</w:t>
      </w:r>
    </w:p>
    <w:p>
      <w:pPr>
        <w:spacing w:after="0" w:line="200" w:lineRule="exact"/>
        <w:rPr>
          <w:sz w:val="20"/>
          <w:szCs w:val="20"/>
          <w:color w:val="auto"/>
        </w:rPr>
      </w:pPr>
    </w:p>
    <w:p>
      <w:pPr>
        <w:spacing w:after="0" w:line="299" w:lineRule="exact"/>
        <w:rPr>
          <w:sz w:val="20"/>
          <w:szCs w:val="20"/>
          <w:color w:val="auto"/>
        </w:rPr>
      </w:pPr>
    </w:p>
    <w:p>
      <w:pPr>
        <w:jc w:val="both"/>
        <w:ind w:firstLine="916"/>
        <w:spacing w:after="0" w:line="266" w:lineRule="auto"/>
        <w:rPr>
          <w:sz w:val="20"/>
          <w:szCs w:val="20"/>
          <w:color w:val="auto"/>
        </w:rPr>
      </w:pPr>
      <w:r>
        <w:rPr>
          <w:rFonts w:ascii="Times New Roman" w:cs="Times New Roman" w:eastAsia="Times New Roman" w:hAnsi="Times New Roman"/>
          <w:sz w:val="24"/>
          <w:szCs w:val="24"/>
          <w:color w:val="auto"/>
        </w:rPr>
        <w:t>IN WITNESS WHEREOF, the undersigned has caused this Power of Attorney to be executed as of the date written below.</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3400" w:type="dxa"/>
            <w:vAlign w:val="bottom"/>
            <w:gridSpan w:val="3"/>
          </w:tcPr>
          <w:p>
            <w:pPr>
              <w:spacing w:after="0"/>
              <w:rPr>
                <w:sz w:val="20"/>
                <w:szCs w:val="20"/>
                <w:color w:val="auto"/>
              </w:rPr>
            </w:pPr>
            <w:r>
              <w:rPr>
                <w:rFonts w:ascii="Times New Roman" w:cs="Times New Roman" w:eastAsia="Times New Roman" w:hAnsi="Times New Roman"/>
                <w:sz w:val="24"/>
                <w:szCs w:val="24"/>
                <w:color w:val="auto"/>
              </w:rPr>
              <w:t>Date: 18 – May - 2026</w:t>
            </w:r>
          </w:p>
        </w:tc>
        <w:tc>
          <w:tcPr>
            <w:tcW w:w="3620" w:type="dxa"/>
            <w:vAlign w:val="bottom"/>
            <w:gridSpan w:val="3"/>
          </w:tcPr>
          <w:p>
            <w:pPr>
              <w:ind w:left="1160"/>
              <w:spacing w:after="0"/>
              <w:rPr>
                <w:sz w:val="20"/>
                <w:szCs w:val="20"/>
                <w:color w:val="auto"/>
              </w:rPr>
            </w:pPr>
            <w:r>
              <w:rPr>
                <w:rFonts w:ascii="Times New Roman" w:cs="Times New Roman" w:eastAsia="Times New Roman" w:hAnsi="Times New Roman"/>
                <w:sz w:val="24"/>
                <w:szCs w:val="24"/>
                <w:color w:val="auto"/>
              </w:rPr>
              <w:t>/s/ Robert Jame Esch</w:t>
            </w:r>
          </w:p>
        </w:tc>
      </w:tr>
      <w:tr>
        <w:trPr>
          <w:trHeight w:val="20"/>
        </w:trPr>
        <w:tc>
          <w:tcPr>
            <w:tcW w:w="64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307"/>
        </w:trPr>
        <w:tc>
          <w:tcPr>
            <w:tcW w:w="6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60" w:type="dxa"/>
            <w:vAlign w:val="bottom"/>
            <w:gridSpan w:val="2"/>
          </w:tcPr>
          <w:p>
            <w:pPr>
              <w:ind w:left="20"/>
              <w:spacing w:after="0"/>
              <w:rPr>
                <w:sz w:val="20"/>
                <w:szCs w:val="20"/>
                <w:color w:val="auto"/>
              </w:rPr>
            </w:pPr>
            <w:r>
              <w:rPr>
                <w:rFonts w:ascii="Times New Roman" w:cs="Times New Roman" w:eastAsia="Times New Roman" w:hAnsi="Times New Roman"/>
                <w:sz w:val="24"/>
                <w:szCs w:val="24"/>
                <w:color w:val="auto"/>
                <w:w w:val="99"/>
              </w:rPr>
              <w:t>Name: Robert Jame Esch</w:t>
            </w:r>
          </w:p>
        </w:tc>
      </w:tr>
    </w:tbl>
    <w:p>
      <w:pPr>
        <w:spacing w:after="0" w:line="1" w:lineRule="exact"/>
        <w:rPr>
          <w:sz w:val="20"/>
          <w:szCs w:val="20"/>
          <w:color w:val="auto"/>
        </w:rPr>
      </w:pPr>
    </w:p>
    <w:sectPr>
      <w:pgSz w:w="11900" w:h="16838" w:orient="portrait"/>
      <w:cols w:equalWidth="0" w:num="1">
        <w:col w:w="10940"/>
      </w:cols>
      <w:pgMar w:left="480" w:top="104"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upperLetter"/>
      <w:start w:val="40"/>
    </w:lvl>
  </w:abstractNum>
  <w:abstractNum w:abstractNumId="1">
    <w:nsid w:val="625558EC"/>
    <w:multiLevelType w:val="hybridMultilevel"/>
    <w:lvl w:ilvl="0">
      <w:lvlJc w:val="left"/>
      <w:lvlText w:val="%1."/>
      <w:numFmt w:val="decimal"/>
      <w:start w:val="4"/>
    </w:lvl>
  </w:abstractNum>
  <w:abstractNum w:abstractNumId="2">
    <w:nsid w:val="238E1F29"/>
    <w:multiLevelType w:val="hybridMultilevel"/>
    <w:lvl w:ilvl="0">
      <w:lvlJc w:val="left"/>
      <w:lvlText w:val="%1."/>
      <w:numFmt w:val="decimal"/>
      <w:start w:val="5"/>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2136723" TargetMode="External"/><Relationship Id="rId11" Type="http://schemas.openxmlformats.org/officeDocument/2006/relationships/hyperlink" Target="http://www.sec.gov/cgi-bin/browse-edgar?action=getcompany&amp;CIK=000091854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2026-06-10T15:18:21Z</dcterms:created>
  <dcterms:modified xsi:type="dcterms:W3CDTF">2026-06-10T15:18:21Z</dcterms:modified>
</cp:coreProperties>
</file>