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ind w:left="86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4" w:lineRule="exact"/>
        <w:rPr>
          <w:sz w:val="24"/>
          <w:szCs w:val="24"/>
          <w:color w:val="auto"/>
        </w:rPr>
      </w:pPr>
    </w:p>
    <w:p>
      <w:pPr>
        <w:ind w:left="860" w:right="3259"/>
        <w:spacing w:after="0" w:line="235" w:lineRule="auto"/>
        <w:rPr>
          <w:sz w:val="20"/>
          <w:szCs w:val="20"/>
          <w:color w:val="auto"/>
        </w:rPr>
      </w:pPr>
      <w:r>
        <w:rPr>
          <w:rFonts w:ascii="Courier New" w:cs="Courier New" w:eastAsia="Courier New" w:hAnsi="Courier New"/>
          <w:sz w:val="18"/>
          <w:szCs w:val="18"/>
          <w:color w:val="auto"/>
        </w:rPr>
        <w:t>TO RULES 13d-1(b)(c), AND (d) AND AMENDMENTS THERETO FILED PURSUANT TO RULE 13d-2(b)</w:t>
      </w:r>
    </w:p>
    <w:p>
      <w:pPr>
        <w:ind w:left="860"/>
        <w:spacing w:after="0"/>
        <w:rPr>
          <w:sz w:val="20"/>
          <w:szCs w:val="20"/>
          <w:color w:val="auto"/>
        </w:rPr>
      </w:pPr>
      <w:r>
        <w:rPr>
          <w:rFonts w:ascii="Courier New" w:cs="Courier New" w:eastAsia="Courier New" w:hAnsi="Courier New"/>
          <w:sz w:val="18"/>
          <w:szCs w:val="18"/>
          <w:color w:val="auto"/>
        </w:rPr>
        <w:t>(Amendment No. ____________)</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December 31, 2011</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60" w:right="7999" w:hanging="852"/>
        <w:spacing w:after="0" w:line="279" w:lineRule="auto"/>
        <w:tabs>
          <w:tab w:leader="none" w:pos="64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200" w:lineRule="exact"/>
        <w:rPr>
          <w:sz w:val="24"/>
          <w:szCs w:val="24"/>
          <w:color w:val="auto"/>
        </w:rPr>
      </w:pPr>
    </w:p>
    <w:p>
      <w:pPr>
        <w:spacing w:after="0" w:line="378"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2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Systematic Financial Management, L.P.</w:t>
      </w:r>
    </w:p>
    <w:p>
      <w:pPr>
        <w:spacing w:after="0" w:line="238" w:lineRule="auto"/>
        <w:rPr>
          <w:sz w:val="20"/>
          <w:szCs w:val="20"/>
          <w:color w:val="auto"/>
        </w:rPr>
      </w:pPr>
      <w:r>
        <w:rPr>
          <w:rFonts w:ascii="Courier New" w:cs="Courier New" w:eastAsia="Courier New" w:hAnsi="Courier New"/>
          <w:sz w:val="18"/>
          <w:szCs w:val="18"/>
          <w:color w:val="auto"/>
        </w:rPr>
        <w:t>I.R.S. IDENTIFICATION NO. OF ABOVE PERSONS (ENTITIES ONLY)</w:t>
      </w:r>
    </w:p>
    <w:p>
      <w:pPr>
        <w:ind w:left="120"/>
        <w:spacing w:after="0"/>
        <w:rPr>
          <w:sz w:val="20"/>
          <w:szCs w:val="20"/>
          <w:color w:val="auto"/>
        </w:rPr>
      </w:pPr>
      <w:r>
        <w:rPr>
          <w:rFonts w:ascii="Courier New" w:cs="Courier New" w:eastAsia="Courier New" w:hAnsi="Courier New"/>
          <w:sz w:val="18"/>
          <w:szCs w:val="18"/>
          <w:color w:val="auto"/>
        </w:rPr>
        <w:t>22-3367558</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ind w:left="120"/>
        <w:spacing w:after="0" w:line="237" w:lineRule="auto"/>
        <w:rPr>
          <w:sz w:val="20"/>
          <w:szCs w:val="20"/>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Teaneck, New Jersey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pacing w:after="0"/>
        <w:rPr>
          <w:sz w:val="20"/>
          <w:szCs w:val="20"/>
          <w:color w:val="auto"/>
        </w:rPr>
      </w:pPr>
      <w:r>
        <w:rPr>
          <w:rFonts w:ascii="Courier New" w:cs="Courier New" w:eastAsia="Courier New" w:hAnsi="Courier New"/>
          <w:sz w:val="18"/>
          <w:szCs w:val="18"/>
          <w:color w:val="auto"/>
        </w:rPr>
        <w:t>REPORTING</w:t>
      </w:r>
    </w:p>
    <w:p>
      <w:pPr>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SOLE VOTING POWER</w:t>
      </w:r>
    </w:p>
    <w:p>
      <w:pPr>
        <w:jc w:val="center"/>
        <w:ind w:right="-440"/>
        <w:spacing w:after="0" w:line="238" w:lineRule="auto"/>
        <w:rPr>
          <w:sz w:val="20"/>
          <w:szCs w:val="20"/>
          <w:color w:val="auto"/>
        </w:rPr>
      </w:pPr>
      <w:r>
        <w:rPr>
          <w:rFonts w:ascii="Courier New" w:cs="Courier New" w:eastAsia="Courier New" w:hAnsi="Courier New"/>
          <w:sz w:val="18"/>
          <w:szCs w:val="18"/>
          <w:color w:val="auto"/>
        </w:rPr>
        <w:t>679,554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jc w:val="center"/>
        <w:ind w:right="1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jc w:val="center"/>
        <w:ind w:right="-440"/>
        <w:spacing w:after="0" w:line="238" w:lineRule="auto"/>
        <w:rPr>
          <w:sz w:val="20"/>
          <w:szCs w:val="20"/>
          <w:color w:val="auto"/>
        </w:rPr>
      </w:pPr>
      <w:r>
        <w:rPr>
          <w:rFonts w:ascii="Courier New" w:cs="Courier New" w:eastAsia="Courier New" w:hAnsi="Courier New"/>
          <w:sz w:val="18"/>
          <w:szCs w:val="18"/>
          <w:color w:val="auto"/>
        </w:rPr>
        <w:t>1,030,489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jc w:val="center"/>
        <w:ind w:right="3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4640" w:right="3899" w:hanging="4634"/>
        <w:spacing w:after="0" w:line="268" w:lineRule="auto"/>
        <w:rPr>
          <w:sz w:val="20"/>
          <w:szCs w:val="20"/>
          <w:color w:val="auto"/>
        </w:rPr>
      </w:pPr>
      <w:r>
        <w:rPr>
          <w:rFonts w:ascii="Courier New" w:cs="Courier New" w:eastAsia="Courier New" w:hAnsi="Courier New"/>
          <w:sz w:val="16"/>
          <w:szCs w:val="16"/>
          <w:color w:val="auto"/>
        </w:rPr>
        <w:t>AGGREGATE AMOUNT BENEFICIALLY OWNED BY EACH REPORTING PERSON 1,030,489</w:t>
      </w:r>
    </w:p>
    <w:p>
      <w:pPr>
        <w:spacing w:after="0" w:line="233" w:lineRule="auto"/>
        <w:rPr>
          <w:sz w:val="20"/>
          <w:szCs w:val="20"/>
          <w:color w:val="auto"/>
        </w:rPr>
      </w:pPr>
      <w:r>
        <w:rPr>
          <w:rFonts w:ascii="Courier New" w:cs="Courier New" w:eastAsia="Courier New" w:hAnsi="Courier New"/>
          <w:sz w:val="18"/>
          <w:szCs w:val="18"/>
          <w:color w:val="auto"/>
        </w:rPr>
        <w:t>10.</w:t>
      </w:r>
    </w:p>
    <w:p>
      <w:pPr>
        <w:spacing w:after="0" w:line="20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6.08%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IA</w:t>
      </w:r>
    </w:p>
    <w:p>
      <w:pPr>
        <w:ind w:left="86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3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DRIVE, JOHNSON CITY, TN 37604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Michele Egeberg on behalf of SYSTEMATIC FINANCIAL MANAGEMENT, LP</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FRANK W. BURR BLVD., GLENPOINTE EAST, 7TH FLOOR, TEANECK, NJ 07666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ectPr>
          <w:pgSz w:w="11900" w:h="16838" w:orient="portrait"/>
          <w:cols w:equalWidth="0" w:num="1">
            <w:col w:w="10219"/>
          </w:cols>
          <w:pgMar w:left="240" w:top="136" w:right="1440" w:bottom="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629337106</w:t>
      </w:r>
    </w:p>
    <w:p>
      <w:pPr>
        <w:spacing w:after="0" w:line="207"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Item 3. If This Statement is Filed Pursuant to Rule 13d-1(b), or 13d-2(b) or (c), Check Whether the Person Filing is a:</w:t>
      </w:r>
    </w:p>
    <w:p>
      <w:pPr>
        <w:spacing w:after="0" w:line="164"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Exchange Act.</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4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6"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3(c)(14) of the Investment Company Act;</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13d-1(b)(1)(ii)(J).</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0" w:lineRule="exact"/>
        <w:rPr>
          <w:sz w:val="20"/>
          <w:szCs w:val="20"/>
          <w:color w:val="auto"/>
        </w:rPr>
      </w:pPr>
    </w:p>
    <w:p>
      <w:pPr>
        <w:spacing w:after="0" w:line="209" w:lineRule="exact"/>
        <w:rPr>
          <w:sz w:val="20"/>
          <w:szCs w:val="20"/>
          <w:color w:val="auto"/>
        </w:rPr>
      </w:pPr>
    </w:p>
    <w:p>
      <w:pPr>
        <w:ind w:left="320" w:right="6639" w:hanging="312"/>
        <w:spacing w:after="0" w:line="470" w:lineRule="auto"/>
        <w:tabs>
          <w:tab w:leader="none" w:pos="8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1,030,489</w:t>
      </w:r>
    </w:p>
    <w:p>
      <w:pPr>
        <w:spacing w:after="0" w:line="20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6.08%</w:t>
      </w:r>
    </w:p>
    <w:p>
      <w:pPr>
        <w:spacing w:after="0" w:line="201"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42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power to vote or to 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679,554</w:t>
            </w:r>
          </w:p>
        </w:tc>
        <w:tc>
          <w:tcPr>
            <w:tcW w:w="100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vote or to</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53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power to dispose or to direct the disposition of</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1,030,489</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dispose or</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to direct the disposition of</w:t>
            </w:r>
          </w:p>
        </w:tc>
        <w:tc>
          <w:tcPr>
            <w:tcW w:w="1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5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w w:val="98"/>
              </w:rPr>
              <w:t>ceased to be the beneficial owner</w:t>
            </w:r>
          </w:p>
        </w:tc>
        <w:tc>
          <w:tcPr>
            <w:tcW w:w="4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more than five percent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the class of securities, check</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following: [</w:t>
            </w:r>
          </w:p>
        </w:tc>
        <w:tc>
          <w:tcPr>
            <w:tcW w:w="236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0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405"/>
        </w:trPr>
        <w:tc>
          <w:tcPr>
            <w:tcW w:w="800" w:type="dxa"/>
            <w:vAlign w:val="bottom"/>
          </w:tcPr>
          <w:p>
            <w:pPr>
              <w:spacing w:after="0"/>
              <w:rPr>
                <w:sz w:val="24"/>
                <w:szCs w:val="24"/>
                <w:color w:val="auto"/>
              </w:rPr>
            </w:pPr>
          </w:p>
        </w:tc>
        <w:tc>
          <w:tcPr>
            <w:tcW w:w="2740" w:type="dxa"/>
            <w:vAlign w:val="bottom"/>
          </w:tcPr>
          <w:p>
            <w:pPr>
              <w:ind w:left="1740"/>
              <w:spacing w:after="0"/>
              <w:rPr>
                <w:sz w:val="20"/>
                <w:szCs w:val="20"/>
                <w:color w:val="auto"/>
              </w:rPr>
            </w:pPr>
            <w:r>
              <w:rPr>
                <w:rFonts w:ascii="Courier New" w:cs="Courier New" w:eastAsia="Courier New" w:hAnsi="Courier New"/>
                <w:sz w:val="18"/>
                <w:szCs w:val="18"/>
                <w:color w:val="auto"/>
              </w:rPr>
              <w:t>N/A</w:t>
            </w:r>
          </w:p>
        </w:tc>
        <w:tc>
          <w:tcPr>
            <w:tcW w:w="19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0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Identification and Classification of the Subsidiary Which Acquired</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19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Reported on by the Parent Holding</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c>
          <w:tcPr>
            <w:tcW w:w="2360" w:type="dxa"/>
            <w:vAlign w:val="bottom"/>
          </w:tcPr>
          <w:p>
            <w:pPr>
              <w:spacing w:after="0"/>
              <w:rPr>
                <w:sz w:val="17"/>
                <w:szCs w:val="17"/>
                <w:color w:val="auto"/>
              </w:rPr>
            </w:pP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filed pursuant to Rule 13d-1(b)]:</w:t>
      </w:r>
    </w:p>
    <w:p>
      <w:pPr>
        <w:spacing w:after="0" w:line="207"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w:t>
      </w:r>
    </w:p>
    <w:p>
      <w:pPr>
        <w:spacing w:after="0" w:line="1"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of changing or influencing the control of the issuer of the securities and were not acquired and are not held in connection with or as a participant in any transaction having that purpose or effect.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filed pursuant to Rule 13d-1(c)]:</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6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February 14, 2012</w:t>
      </w:r>
    </w:p>
    <w:p>
      <w:pPr>
        <w:ind w:left="380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Michele Egeberg, Compliance Manager</w:t>
      </w:r>
    </w:p>
    <w:p>
      <w:pPr>
        <w:ind w:left="39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ectPr>
          <w:pgSz w:w="11900" w:h="16838" w:orient="portrait"/>
          <w:cols w:equalWidth="0" w:num="1">
            <w:col w:w="10219"/>
          </w:cols>
          <w:pgMar w:left="240" w:top="136" w:right="1440" w:bottom="0" w:gutter="0" w:footer="0" w:header="0"/>
        </w:sectPr>
      </w:pPr>
    </w:p>
    <w:bookmarkStart w:id="4" w:name="page5"/>
    <w:bookmarkEnd w:id="4"/>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2019-12-09T10:57:40Z</dcterms:created>
  <dcterms:modified xsi:type="dcterms:W3CDTF">2019-12-09T10:57:40Z</dcterms:modified>
</cp:coreProperties>
</file>