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Corre Partners Management,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04/20/2026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191" w:space="720"/>
            <w:col w:w="3104"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jc w:val="center"/>
              <w:ind w:right="49"/>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04/20/2026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20" w:type="dxa"/>
            <w:vAlign w:val="bottom"/>
            <w:vMerge w:val="restart"/>
          </w:tcPr>
          <w:p>
            <w:pPr>
              <w:jc w:val="right"/>
              <w:ind w:right="124"/>
              <w:spacing w:after="0"/>
              <w:rPr>
                <w:sz w:val="20"/>
                <w:szCs w:val="20"/>
                <w:color w:val="auto"/>
              </w:rPr>
            </w:pPr>
            <w:r>
              <w:rPr>
                <w:rFonts w:ascii="Times New Roman" w:cs="Times New Roman" w:eastAsia="Times New Roman" w:hAnsi="Times New Roman"/>
                <w:sz w:val="17"/>
                <w:szCs w:val="17"/>
                <w:color w:val="0000FF"/>
              </w:rPr>
              <w:t>58,425</w:t>
            </w:r>
          </w:p>
        </w:tc>
        <w:tc>
          <w:tcPr>
            <w:tcW w:w="100" w:type="dxa"/>
            <w:vAlign w:val="bottom"/>
          </w:tcPr>
          <w:p>
            <w:pPr>
              <w:spacing w:after="0"/>
              <w:rPr>
                <w:sz w:val="21"/>
                <w:szCs w:val="21"/>
                <w:color w:val="auto"/>
              </w:rPr>
            </w:pPr>
          </w:p>
        </w:tc>
        <w:tc>
          <w:tcPr>
            <w:tcW w:w="380" w:type="dxa"/>
            <w:vAlign w:val="bottom"/>
            <w:vMerge w:val="restart"/>
          </w:tcPr>
          <w:p>
            <w:pPr>
              <w:jc w:val="center"/>
              <w:ind w:right="109"/>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2.2423</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4,821,210</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04/20/2026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20" w:type="dxa"/>
            <w:vAlign w:val="bottom"/>
            <w:vMerge w:val="restart"/>
          </w:tcPr>
          <w:p>
            <w:pPr>
              <w:jc w:val="right"/>
              <w:ind w:right="124"/>
              <w:spacing w:after="0"/>
              <w:rPr>
                <w:sz w:val="20"/>
                <w:szCs w:val="20"/>
                <w:color w:val="auto"/>
              </w:rPr>
            </w:pPr>
            <w:r>
              <w:rPr>
                <w:rFonts w:ascii="Times New Roman" w:cs="Times New Roman" w:eastAsia="Times New Roman" w:hAnsi="Times New Roman"/>
                <w:sz w:val="17"/>
                <w:szCs w:val="17"/>
                <w:color w:val="0000FF"/>
              </w:rPr>
              <w:t>21,332</w:t>
            </w:r>
          </w:p>
        </w:tc>
        <w:tc>
          <w:tcPr>
            <w:tcW w:w="100" w:type="dxa"/>
            <w:vAlign w:val="bottom"/>
          </w:tcPr>
          <w:p>
            <w:pPr>
              <w:spacing w:after="0"/>
              <w:rPr>
                <w:sz w:val="21"/>
                <w:szCs w:val="21"/>
                <w:color w:val="auto"/>
              </w:rPr>
            </w:pPr>
          </w:p>
        </w:tc>
        <w:tc>
          <w:tcPr>
            <w:tcW w:w="380" w:type="dxa"/>
            <w:vAlign w:val="bottom"/>
            <w:vMerge w:val="restart"/>
          </w:tcPr>
          <w:p>
            <w:pPr>
              <w:jc w:val="center"/>
              <w:ind w:right="109"/>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2.2423</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601,037</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04/21/2026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20" w:type="dxa"/>
            <w:vAlign w:val="bottom"/>
            <w:vMerge w:val="restart"/>
          </w:tcPr>
          <w:p>
            <w:pPr>
              <w:jc w:val="right"/>
              <w:ind w:right="124"/>
              <w:spacing w:after="0"/>
              <w:rPr>
                <w:sz w:val="20"/>
                <w:szCs w:val="20"/>
                <w:color w:val="auto"/>
              </w:rPr>
            </w:pPr>
            <w:r>
              <w:rPr>
                <w:rFonts w:ascii="Times New Roman" w:cs="Times New Roman" w:eastAsia="Times New Roman" w:hAnsi="Times New Roman"/>
                <w:sz w:val="17"/>
                <w:szCs w:val="17"/>
                <w:color w:val="0000FF"/>
              </w:rPr>
              <w:t>40,643</w:t>
            </w:r>
          </w:p>
        </w:tc>
        <w:tc>
          <w:tcPr>
            <w:tcW w:w="100" w:type="dxa"/>
            <w:vAlign w:val="bottom"/>
          </w:tcPr>
          <w:p>
            <w:pPr>
              <w:spacing w:after="0"/>
              <w:rPr>
                <w:sz w:val="21"/>
                <w:szCs w:val="21"/>
                <w:color w:val="auto"/>
              </w:rPr>
            </w:pPr>
          </w:p>
        </w:tc>
        <w:tc>
          <w:tcPr>
            <w:tcW w:w="380" w:type="dxa"/>
            <w:vAlign w:val="bottom"/>
            <w:vMerge w:val="restart"/>
          </w:tcPr>
          <w:p>
            <w:pPr>
              <w:jc w:val="center"/>
              <w:ind w:right="109"/>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2.2096</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4,780,567</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04/21/2026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20" w:type="dxa"/>
            <w:vAlign w:val="bottom"/>
            <w:vMerge w:val="restart"/>
          </w:tcPr>
          <w:p>
            <w:pPr>
              <w:jc w:val="right"/>
              <w:ind w:right="124"/>
              <w:spacing w:after="0"/>
              <w:rPr>
                <w:sz w:val="20"/>
                <w:szCs w:val="20"/>
                <w:color w:val="auto"/>
              </w:rPr>
            </w:pPr>
            <w:r>
              <w:rPr>
                <w:rFonts w:ascii="Times New Roman" w:cs="Times New Roman" w:eastAsia="Times New Roman" w:hAnsi="Times New Roman"/>
                <w:sz w:val="17"/>
                <w:szCs w:val="17"/>
                <w:color w:val="0000FF"/>
              </w:rPr>
              <w:t>14,840</w:t>
            </w:r>
          </w:p>
        </w:tc>
        <w:tc>
          <w:tcPr>
            <w:tcW w:w="100" w:type="dxa"/>
            <w:vAlign w:val="bottom"/>
          </w:tcPr>
          <w:p>
            <w:pPr>
              <w:spacing w:after="0"/>
              <w:rPr>
                <w:sz w:val="21"/>
                <w:szCs w:val="21"/>
                <w:color w:val="auto"/>
              </w:rPr>
            </w:pPr>
          </w:p>
        </w:tc>
        <w:tc>
          <w:tcPr>
            <w:tcW w:w="380" w:type="dxa"/>
            <w:vAlign w:val="bottom"/>
            <w:vMerge w:val="restart"/>
          </w:tcPr>
          <w:p>
            <w:pPr>
              <w:jc w:val="center"/>
              <w:ind w:right="109"/>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2.2096</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586,197</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04/22/2026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20" w:type="dxa"/>
            <w:vAlign w:val="bottom"/>
            <w:vMerge w:val="restart"/>
          </w:tcPr>
          <w:p>
            <w:pPr>
              <w:jc w:val="right"/>
              <w:ind w:right="124"/>
              <w:spacing w:after="0"/>
              <w:rPr>
                <w:sz w:val="20"/>
                <w:szCs w:val="20"/>
                <w:color w:val="auto"/>
              </w:rPr>
            </w:pPr>
            <w:r>
              <w:rPr>
                <w:rFonts w:ascii="Times New Roman" w:cs="Times New Roman" w:eastAsia="Times New Roman" w:hAnsi="Times New Roman"/>
                <w:sz w:val="17"/>
                <w:szCs w:val="17"/>
                <w:color w:val="0000FF"/>
              </w:rPr>
              <w:t>69,136</w:t>
            </w:r>
          </w:p>
        </w:tc>
        <w:tc>
          <w:tcPr>
            <w:tcW w:w="100" w:type="dxa"/>
            <w:vAlign w:val="bottom"/>
          </w:tcPr>
          <w:p>
            <w:pPr>
              <w:spacing w:after="0"/>
              <w:rPr>
                <w:sz w:val="21"/>
                <w:szCs w:val="21"/>
                <w:color w:val="auto"/>
              </w:rPr>
            </w:pPr>
          </w:p>
        </w:tc>
        <w:tc>
          <w:tcPr>
            <w:tcW w:w="380" w:type="dxa"/>
            <w:vAlign w:val="bottom"/>
            <w:vMerge w:val="restart"/>
          </w:tcPr>
          <w:p>
            <w:pPr>
              <w:jc w:val="center"/>
              <w:ind w:right="109"/>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2.2978</w:t>
            </w:r>
            <w:r>
              <w:rPr>
                <w:rFonts w:ascii="Times New Roman" w:cs="Times New Roman" w:eastAsia="Times New Roman" w:hAnsi="Times New Roman"/>
                <w:sz w:val="22"/>
                <w:szCs w:val="22"/>
                <w:color w:val="008000"/>
                <w:vertAlign w:val="superscript"/>
              </w:rPr>
              <w:t>(3)</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4,711,431</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04/22/2026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20" w:type="dxa"/>
            <w:vAlign w:val="bottom"/>
            <w:vMerge w:val="restart"/>
          </w:tcPr>
          <w:p>
            <w:pPr>
              <w:jc w:val="right"/>
              <w:ind w:right="124"/>
              <w:spacing w:after="0"/>
              <w:rPr>
                <w:sz w:val="20"/>
                <w:szCs w:val="20"/>
                <w:color w:val="auto"/>
              </w:rPr>
            </w:pPr>
            <w:r>
              <w:rPr>
                <w:rFonts w:ascii="Times New Roman" w:cs="Times New Roman" w:eastAsia="Times New Roman" w:hAnsi="Times New Roman"/>
                <w:sz w:val="17"/>
                <w:szCs w:val="17"/>
                <w:color w:val="0000FF"/>
              </w:rPr>
              <w:t>25,244</w:t>
            </w:r>
          </w:p>
        </w:tc>
        <w:tc>
          <w:tcPr>
            <w:tcW w:w="100" w:type="dxa"/>
            <w:vAlign w:val="bottom"/>
          </w:tcPr>
          <w:p>
            <w:pPr>
              <w:spacing w:after="0"/>
              <w:rPr>
                <w:sz w:val="21"/>
                <w:szCs w:val="21"/>
                <w:color w:val="auto"/>
              </w:rPr>
            </w:pPr>
          </w:p>
        </w:tc>
        <w:tc>
          <w:tcPr>
            <w:tcW w:w="380" w:type="dxa"/>
            <w:vAlign w:val="bottom"/>
            <w:vMerge w:val="restart"/>
          </w:tcPr>
          <w:p>
            <w:pPr>
              <w:jc w:val="center"/>
              <w:ind w:right="109"/>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2.2978</w:t>
            </w:r>
            <w:r>
              <w:rPr>
                <w:rFonts w:ascii="Times New Roman" w:cs="Times New Roman" w:eastAsia="Times New Roman" w:hAnsi="Times New Roman"/>
                <w:sz w:val="22"/>
                <w:szCs w:val="22"/>
                <w:color w:val="008000"/>
                <w:vertAlign w:val="superscript"/>
              </w:rPr>
              <w:t>(3)</w:t>
            </w: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560,953</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2720" w:type="dxa"/>
            <w:vAlign w:val="bottom"/>
            <w:tcBorders>
              <w:bottom w:val="single" w:sz="8" w:color="2C2C2C"/>
            </w:tcBorders>
            <w:gridSpan w:val="7"/>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9"/>
          </w:tcPr>
          <w:p>
            <w:pPr>
              <w:jc w:val="center"/>
              <w:ind w:left="27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4"/>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Corre Partners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-3397885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Corre Partners Advisors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8047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28047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Corre Opportunities Qualified Master Fund,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4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$2.20 to $2.3066.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$2.17 to $2.29.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right="4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$2.2050 to $2.38.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right="30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the managing member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26" w:lineRule="exact"/>
        <w:rPr>
          <w:rFonts w:ascii="Times New Roman" w:cs="Times New Roman" w:eastAsia="Times New Roman" w:hAnsi="Times New Roman"/>
          <w:sz w:val="13"/>
          <w:szCs w:val="13"/>
          <w:color w:val="008000"/>
        </w:rPr>
      </w:pPr>
    </w:p>
    <w:p>
      <w:pPr>
        <w:ind w:right="24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Horizon Fund, LP (the "Partnership"). The reported securities may be deemed beneficially owned by Corre, the investment manager of the Partnership, Corre GP, the general partner of the Partnership, and John Barrett, the managing member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John Barrett will be reported as a Reporting Person on a subsequent Form 4 made by Corre once CIK codes for John Barrett are received.</w:t>
      </w:r>
    </w:p>
    <w:p>
      <w:pPr>
        <w:sectPr>
          <w:pgSz w:w="11900" w:h="16838" w:orient="portrait"/>
          <w:cols w:equalWidth="0" w:num="1">
            <w:col w:w="10880"/>
          </w:cols>
          <w:pgMar w:left="500" w:top="167"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Corre Partners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7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/s/ John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Corre Partners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31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John Barrett,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Corre Opportunities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58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Master Fund, LP, By: Corre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71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/s/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21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Barrett,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680" w:space="60"/>
            <w:col w:w="2140"/>
          </w:cols>
          <w:pgMar w:left="500" w:top="167"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6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13" Type="http://schemas.openxmlformats.org/officeDocument/2006/relationships/hyperlink" Target="http://www.sec.gov/cgi-bin/browse-edgar?action=getcompany&amp;CIK=0001537323" TargetMode="External"/><Relationship Id="rId14" Type="http://schemas.openxmlformats.org/officeDocument/2006/relationships/hyperlink" Target="http://www.sec.gov/cgi-bin/browse-edgar?action=getcompany&amp;CIK=0000918541" TargetMode="External"/><Relationship Id="rId17" Type="http://schemas.openxmlformats.org/officeDocument/2006/relationships/hyperlink" Target="http://www.sec.gov/cgi-bin/browse-edgar?action=getcompany&amp;CIK=0001884680" TargetMode="External"/><Relationship Id="rId19" Type="http://schemas.openxmlformats.org/officeDocument/2006/relationships/hyperlink" Target="http://www.sec.gov/cgi-bin/browse-edgar?action=getcompany&amp;CIK=00016019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2026-04-22T18:17:26Z</dcterms:created>
  <dcterms:modified xsi:type="dcterms:W3CDTF">2026-04-22T18:17:26Z</dcterms:modified>
</cp:coreProperties>
</file>