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UNITED STATES SECURITIES AND EXCHANGE COMMISSION</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212"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color w:val="auto"/>
        </w:rPr>
        <w:t>FORM 10-Q</w:t>
      </w:r>
    </w:p>
    <w:p>
      <w:pPr>
        <w:spacing w:after="0" w:line="210" w:lineRule="exact"/>
        <w:rPr>
          <w:sz w:val="24"/>
          <w:szCs w:val="24"/>
          <w:color w:val="auto"/>
        </w:rPr>
      </w:pPr>
    </w:p>
    <w:p>
      <w:pPr>
        <w:ind w:left="540" w:right="2779" w:hanging="533"/>
        <w:spacing w:after="0" w:line="257" w:lineRule="auto"/>
        <w:tabs>
          <w:tab w:leader="none" w:pos="5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2" w:lineRule="exact"/>
        <w:rPr>
          <w:sz w:val="24"/>
          <w:szCs w:val="24"/>
          <w:color w:val="auto"/>
        </w:rPr>
      </w:pPr>
    </w:p>
    <w:p>
      <w:pPr>
        <w:ind w:left="1680"/>
        <w:spacing w:after="0"/>
        <w:rPr>
          <w:sz w:val="20"/>
          <w:szCs w:val="20"/>
          <w:color w:val="auto"/>
        </w:rPr>
      </w:pPr>
      <w:r>
        <w:rPr>
          <w:rFonts w:ascii="Courier New" w:cs="Courier New" w:eastAsia="Courier New" w:hAnsi="Courier New"/>
          <w:sz w:val="17"/>
          <w:szCs w:val="17"/>
          <w:color w:val="auto"/>
        </w:rPr>
        <w:t>For the quarterly period ended MARCH 31, 1997</w:t>
      </w:r>
    </w:p>
    <w:p>
      <w:pPr>
        <w:spacing w:after="0" w:line="210" w:lineRule="exact"/>
        <w:rPr>
          <w:sz w:val="24"/>
          <w:szCs w:val="24"/>
          <w:color w:val="auto"/>
        </w:rPr>
      </w:pPr>
    </w:p>
    <w:p>
      <w:pPr>
        <w:ind w:left="4100"/>
        <w:spacing w:after="0"/>
        <w:rPr>
          <w:sz w:val="20"/>
          <w:szCs w:val="20"/>
          <w:color w:val="auto"/>
        </w:rPr>
      </w:pPr>
      <w:r>
        <w:rPr>
          <w:rFonts w:ascii="Courier New" w:cs="Courier New" w:eastAsia="Courier New" w:hAnsi="Courier New"/>
          <w:sz w:val="17"/>
          <w:szCs w:val="17"/>
          <w:color w:val="auto"/>
        </w:rPr>
        <w:t>OR</w:t>
      </w:r>
    </w:p>
    <w:p>
      <w:pPr>
        <w:spacing w:after="0" w:line="210" w:lineRule="exact"/>
        <w:rPr>
          <w:sz w:val="24"/>
          <w:szCs w:val="24"/>
          <w:color w:val="auto"/>
        </w:rPr>
      </w:pPr>
    </w:p>
    <w:p>
      <w:pPr>
        <w:ind w:left="420" w:right="2779" w:hanging="413"/>
        <w:spacing w:after="0" w:line="257" w:lineRule="auto"/>
        <w:tabs>
          <w:tab w:leader="none" w:pos="21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92" w:lineRule="exact"/>
        <w:rPr>
          <w:sz w:val="24"/>
          <w:szCs w:val="24"/>
          <w:color w:val="auto"/>
        </w:rPr>
      </w:pPr>
    </w:p>
    <w:p>
      <w:pPr>
        <w:ind w:left="1480"/>
        <w:spacing w:after="0"/>
        <w:rPr>
          <w:sz w:val="20"/>
          <w:szCs w:val="20"/>
          <w:color w:val="auto"/>
        </w:rPr>
      </w:pPr>
      <w:r>
        <w:rPr>
          <w:rFonts w:ascii="Courier New" w:cs="Courier New" w:eastAsia="Courier New" w:hAnsi="Courier New"/>
          <w:sz w:val="17"/>
          <w:szCs w:val="17"/>
          <w:color w:val="auto"/>
        </w:rPr>
        <w:t>For the transition period from _________ to _________</w:t>
      </w:r>
    </w:p>
    <w:p>
      <w:pPr>
        <w:spacing w:after="0" w:line="200" w:lineRule="exact"/>
        <w:rPr>
          <w:sz w:val="24"/>
          <w:szCs w:val="24"/>
          <w:color w:val="auto"/>
        </w:rPr>
      </w:pPr>
    </w:p>
    <w:p>
      <w:pPr>
        <w:spacing w:after="0" w:line="212"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Commission File Number 0-23486</w:t>
      </w:r>
    </w:p>
    <w:p>
      <w:pPr>
        <w:spacing w:after="0" w:line="200" w:lineRule="exact"/>
        <w:rPr>
          <w:sz w:val="24"/>
          <w:szCs w:val="24"/>
          <w:color w:val="auto"/>
        </w:rPr>
      </w:pPr>
    </w:p>
    <w:p>
      <w:pPr>
        <w:spacing w:after="0" w:line="212"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NN BALL &amp; ROLLER, INC.</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9" w:right="1440" w:bottom="1440" w:gutter="0" w:footer="0" w:header="0"/>
        </w:sectPr>
      </w:pPr>
    </w:p>
    <w:p>
      <w:pPr>
        <w:spacing w:after="0" w:line="200" w:lineRule="exact"/>
        <w:rPr>
          <w:sz w:val="24"/>
          <w:szCs w:val="24"/>
          <w:color w:val="auto"/>
        </w:rPr>
      </w:pPr>
    </w:p>
    <w:p>
      <w:pPr>
        <w:spacing w:after="0" w:line="212"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DELAWARE</w:t>
      </w:r>
    </w:p>
    <w:p>
      <w:pPr>
        <w:spacing w:after="0" w:line="9"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(State or other jurisdiction of</w:t>
      </w:r>
    </w:p>
    <w:p>
      <w:pPr>
        <w:spacing w:after="0" w:line="9"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62-1096725</w:t>
      </w:r>
    </w:p>
    <w:p>
      <w:pPr>
        <w:spacing w:after="0" w:line="9"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(I.R.S. Employer</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Number)</w:t>
      </w:r>
    </w:p>
    <w:p>
      <w:pPr>
        <w:spacing w:after="0" w:line="200" w:lineRule="exact"/>
        <w:rPr>
          <w:sz w:val="24"/>
          <w:szCs w:val="24"/>
          <w:color w:val="auto"/>
        </w:rPr>
      </w:pPr>
    </w:p>
    <w:p>
      <w:pPr>
        <w:sectPr>
          <w:pgSz w:w="11900" w:h="16838" w:orient="portrait"/>
          <w:cols w:equalWidth="0" w:num="2">
            <w:col w:w="4740" w:space="720"/>
            <w:col w:w="4759"/>
          </w:cols>
          <w:pgMar w:left="240" w:top="249" w:right="1440" w:bottom="1440" w:gutter="0" w:footer="0" w:header="0"/>
          <w:type w:val="continuous"/>
        </w:sectPr>
      </w:pPr>
    </w:p>
    <w:p>
      <w:pPr>
        <w:spacing w:after="0" w:line="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800 TENNESSEE ROAD</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ERWIN, TENNESSEE 37650</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(Address of principal executive offices, including zip code)</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(423) 743-9151</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Indicate by check mark whether the registrant (1) has filed all reports required</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be filed by Section 13 or 15(d) of the Securities Exchange Act of 1934 during</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the preceding 12 months (or for such shorter period that the registrant was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required to file such reports), and (2) has been subject to such filing</w:t>
      </w:r>
    </w:p>
    <w:p>
      <w:pPr>
        <w:spacing w:after="0" w:line="9" w:lineRule="exact"/>
        <w:rPr>
          <w:sz w:val="24"/>
          <w:szCs w:val="24"/>
          <w:color w:val="auto"/>
        </w:rPr>
      </w:pPr>
    </w:p>
    <w:p>
      <w:pPr>
        <w:spacing w:after="0"/>
        <w:tabs>
          <w:tab w:leader="none" w:pos="4280" w:val="left"/>
          <w:tab w:leader="none" w:pos="4800" w:val="left"/>
        </w:tabs>
        <w:rPr>
          <w:sz w:val="20"/>
          <w:szCs w:val="20"/>
          <w:color w:val="auto"/>
        </w:rPr>
      </w:pPr>
      <w:r>
        <w:rPr>
          <w:rFonts w:ascii="Courier New" w:cs="Courier New" w:eastAsia="Courier New" w:hAnsi="Courier New"/>
          <w:sz w:val="17"/>
          <w:szCs w:val="17"/>
          <w:color w:val="auto"/>
        </w:rPr>
        <w:t>requirements for the past 90 days. Yes</w:t>
      </w:r>
      <w:r>
        <w:rPr>
          <w:sz w:val="20"/>
          <w:szCs w:val="20"/>
          <w:color w:val="auto"/>
        </w:rPr>
        <w:tab/>
      </w: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7"/>
          <w:szCs w:val="17"/>
          <w:color w:val="auto"/>
        </w:rPr>
        <w:t>No</w:t>
      </w:r>
    </w:p>
    <w:p>
      <w:pPr>
        <w:spacing w:after="0" w:line="9" w:lineRule="exact"/>
        <w:rPr>
          <w:sz w:val="24"/>
          <w:szCs w:val="24"/>
          <w:color w:val="auto"/>
        </w:rPr>
      </w:pPr>
    </w:p>
    <w:p>
      <w:pPr>
        <w:ind w:left="3980"/>
        <w:spacing w:after="0"/>
        <w:tabs>
          <w:tab w:leader="none" w:pos="50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12" w:lineRule="exact"/>
        <w:rPr>
          <w:sz w:val="24"/>
          <w:szCs w:val="24"/>
          <w:color w:val="auto"/>
        </w:rPr>
      </w:pPr>
    </w:p>
    <w:p>
      <w:pPr>
        <w:ind w:right="2459"/>
        <w:spacing w:after="0" w:line="257" w:lineRule="auto"/>
        <w:rPr>
          <w:sz w:val="20"/>
          <w:szCs w:val="20"/>
          <w:color w:val="auto"/>
        </w:rPr>
      </w:pPr>
      <w:r>
        <w:rPr>
          <w:rFonts w:ascii="Courier New" w:cs="Courier New" w:eastAsia="Courier New" w:hAnsi="Courier New"/>
          <w:sz w:val="17"/>
          <w:szCs w:val="17"/>
          <w:color w:val="auto"/>
        </w:rPr>
        <w:t>As of May 14, 1997 there were 14,543,242 shares of the registrant's common stock, par value $0.01 per share, outstanding.</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9"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9" w:lineRule="exact"/>
        <w:rPr>
          <w:sz w:val="20"/>
          <w:szCs w:val="20"/>
          <w:color w:val="auto"/>
        </w:rPr>
      </w:pPr>
    </w:p>
    <w:p>
      <w:pPr>
        <w:ind w:left="3780" w:right="4979" w:hanging="840"/>
        <w:spacing w:after="0" w:line="508" w:lineRule="auto"/>
        <w:tabs>
          <w:tab w:leader="none" w:pos="325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BALL &amp; ROLLER, INC. INDEX</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201"/>
        </w:trPr>
        <w:tc>
          <w:tcPr>
            <w:tcW w:w="10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gridSpan w:val="2"/>
          </w:tcPr>
          <w:p>
            <w:pPr>
              <w:spacing w:after="0"/>
              <w:rPr>
                <w:sz w:val="20"/>
                <w:szCs w:val="20"/>
                <w:color w:val="auto"/>
              </w:rPr>
            </w:pPr>
            <w:r>
              <w:rPr>
                <w:rFonts w:ascii="Courier New" w:cs="Courier New" w:eastAsia="Courier New" w:hAnsi="Courier New"/>
                <w:sz w:val="17"/>
                <w:szCs w:val="17"/>
                <w:color w:val="auto"/>
              </w:rPr>
              <w:t>PART I. FINANCIAL INFORMATION</w:t>
            </w:r>
          </w:p>
        </w:tc>
        <w:tc>
          <w:tcPr>
            <w:tcW w:w="4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3"/>
        </w:trPr>
        <w:tc>
          <w:tcPr>
            <w:tcW w:w="106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Financial Statements:</w:t>
            </w:r>
          </w:p>
        </w:tc>
        <w:tc>
          <w:tcPr>
            <w:tcW w:w="4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3"/>
        </w:trPr>
        <w:tc>
          <w:tcPr>
            <w:tcW w:w="106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Condensed Statements of</w:t>
            </w:r>
          </w:p>
        </w:tc>
        <w:tc>
          <w:tcPr>
            <w:tcW w:w="4440" w:type="dxa"/>
            <w:vAlign w:val="bottom"/>
          </w:tcPr>
          <w:p>
            <w:pPr>
              <w:ind w:left="40"/>
              <w:spacing w:after="0"/>
              <w:rPr>
                <w:sz w:val="20"/>
                <w:szCs w:val="20"/>
                <w:color w:val="auto"/>
              </w:rPr>
            </w:pPr>
            <w:r>
              <w:rPr>
                <w:rFonts w:ascii="Courier New" w:cs="Courier New" w:eastAsia="Courier New" w:hAnsi="Courier New"/>
                <w:sz w:val="17"/>
                <w:szCs w:val="17"/>
                <w:color w:val="auto"/>
              </w:rPr>
              <w:t>Income for the three months</w:t>
            </w:r>
          </w:p>
        </w:tc>
        <w:tc>
          <w:tcPr>
            <w:tcW w:w="1060" w:type="dxa"/>
            <w:vAlign w:val="bottom"/>
          </w:tcPr>
          <w:p>
            <w:pPr>
              <w:spacing w:after="0"/>
              <w:rPr>
                <w:sz w:val="24"/>
                <w:szCs w:val="24"/>
                <w:color w:val="auto"/>
              </w:rPr>
            </w:pPr>
          </w:p>
        </w:tc>
      </w:tr>
      <w:tr>
        <w:trPr>
          <w:trHeight w:val="201"/>
        </w:trPr>
        <w:tc>
          <w:tcPr>
            <w:tcW w:w="1060" w:type="dxa"/>
            <w:vAlign w:val="bottom"/>
          </w:tcPr>
          <w:p>
            <w:pPr>
              <w:spacing w:after="0"/>
              <w:rPr>
                <w:sz w:val="17"/>
                <w:szCs w:val="17"/>
                <w:color w:val="auto"/>
              </w:rPr>
            </w:pPr>
          </w:p>
        </w:tc>
        <w:tc>
          <w:tcPr>
            <w:tcW w:w="2460" w:type="dxa"/>
            <w:vAlign w:val="bottom"/>
          </w:tcPr>
          <w:p>
            <w:pPr>
              <w:ind w:left="300"/>
              <w:spacing w:after="0"/>
              <w:rPr>
                <w:sz w:val="20"/>
                <w:szCs w:val="20"/>
                <w:color w:val="auto"/>
              </w:rPr>
            </w:pPr>
            <w:r>
              <w:rPr>
                <w:rFonts w:ascii="Courier New" w:cs="Courier New" w:eastAsia="Courier New" w:hAnsi="Courier New"/>
                <w:sz w:val="17"/>
                <w:szCs w:val="17"/>
                <w:color w:val="auto"/>
              </w:rPr>
              <w:t>ended March 31, 1997</w:t>
            </w:r>
          </w:p>
        </w:tc>
        <w:tc>
          <w:tcPr>
            <w:tcW w:w="4440" w:type="dxa"/>
            <w:vAlign w:val="bottom"/>
          </w:tcPr>
          <w:p>
            <w:pPr>
              <w:ind w:left="40"/>
              <w:spacing w:after="0"/>
              <w:rPr>
                <w:sz w:val="20"/>
                <w:szCs w:val="20"/>
                <w:color w:val="auto"/>
              </w:rPr>
            </w:pPr>
            <w:r>
              <w:rPr>
                <w:rFonts w:ascii="Courier New" w:cs="Courier New" w:eastAsia="Courier New" w:hAnsi="Courier New"/>
                <w:sz w:val="17"/>
                <w:szCs w:val="17"/>
                <w:color w:val="auto"/>
              </w:rPr>
              <w:t>and 1996</w:t>
            </w:r>
          </w:p>
        </w:tc>
        <w:tc>
          <w:tcPr>
            <w:tcW w:w="10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w:t>
            </w:r>
          </w:p>
        </w:tc>
      </w:tr>
      <w:tr>
        <w:trPr>
          <w:trHeight w:val="403"/>
        </w:trPr>
        <w:tc>
          <w:tcPr>
            <w:tcW w:w="10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Courier New" w:cs="Courier New" w:eastAsia="Courier New" w:hAnsi="Courier New"/>
                <w:sz w:val="17"/>
                <w:szCs w:val="17"/>
                <w:color w:val="auto"/>
              </w:rPr>
              <w:t>Condensed Balance Sheets at March 31, 1997 and December 31, 1996</w:t>
            </w:r>
          </w:p>
        </w:tc>
        <w:tc>
          <w:tcPr>
            <w:tcW w:w="10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w:t>
            </w:r>
          </w:p>
        </w:tc>
      </w:tr>
      <w:tr>
        <w:trPr>
          <w:trHeight w:val="403"/>
        </w:trPr>
        <w:tc>
          <w:tcPr>
            <w:tcW w:w="106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Condensed Statements of</w:t>
            </w:r>
          </w:p>
        </w:tc>
        <w:tc>
          <w:tcPr>
            <w:tcW w:w="4440" w:type="dxa"/>
            <w:vAlign w:val="bottom"/>
          </w:tcPr>
          <w:p>
            <w:pPr>
              <w:ind w:left="40"/>
              <w:spacing w:after="0"/>
              <w:rPr>
                <w:sz w:val="20"/>
                <w:szCs w:val="20"/>
                <w:color w:val="auto"/>
              </w:rPr>
            </w:pPr>
            <w:r>
              <w:rPr>
                <w:rFonts w:ascii="Courier New" w:cs="Courier New" w:eastAsia="Courier New" w:hAnsi="Courier New"/>
                <w:sz w:val="17"/>
                <w:szCs w:val="17"/>
                <w:color w:val="auto"/>
              </w:rPr>
              <w:t>Changes in Stockholders' Equity</w:t>
            </w:r>
          </w:p>
        </w:tc>
        <w:tc>
          <w:tcPr>
            <w:tcW w:w="1060" w:type="dxa"/>
            <w:vAlign w:val="bottom"/>
          </w:tcPr>
          <w:p>
            <w:pPr>
              <w:spacing w:after="0"/>
              <w:rPr>
                <w:sz w:val="24"/>
                <w:szCs w:val="24"/>
                <w:color w:val="auto"/>
              </w:rPr>
            </w:pPr>
          </w:p>
        </w:tc>
      </w:tr>
      <w:tr>
        <w:trPr>
          <w:trHeight w:val="201"/>
        </w:trPr>
        <w:tc>
          <w:tcPr>
            <w:tcW w:w="1060" w:type="dxa"/>
            <w:vAlign w:val="bottom"/>
          </w:tcPr>
          <w:p>
            <w:pPr>
              <w:spacing w:after="0"/>
              <w:rPr>
                <w:sz w:val="17"/>
                <w:szCs w:val="17"/>
                <w:color w:val="auto"/>
              </w:rPr>
            </w:pPr>
          </w:p>
        </w:tc>
        <w:tc>
          <w:tcPr>
            <w:tcW w:w="2460" w:type="dxa"/>
            <w:vAlign w:val="bottom"/>
          </w:tcPr>
          <w:p>
            <w:pPr>
              <w:ind w:left="300"/>
              <w:spacing w:after="0"/>
              <w:rPr>
                <w:sz w:val="20"/>
                <w:szCs w:val="20"/>
                <w:color w:val="auto"/>
              </w:rPr>
            </w:pPr>
            <w:r>
              <w:rPr>
                <w:rFonts w:ascii="Courier New" w:cs="Courier New" w:eastAsia="Courier New" w:hAnsi="Courier New"/>
                <w:sz w:val="17"/>
                <w:szCs w:val="17"/>
                <w:color w:val="auto"/>
              </w:rPr>
              <w:t>for the three months</w:t>
            </w:r>
          </w:p>
        </w:tc>
        <w:tc>
          <w:tcPr>
            <w:tcW w:w="4440" w:type="dxa"/>
            <w:vAlign w:val="bottom"/>
          </w:tcPr>
          <w:p>
            <w:pPr>
              <w:ind w:left="40"/>
              <w:spacing w:after="0"/>
              <w:rPr>
                <w:sz w:val="20"/>
                <w:szCs w:val="20"/>
                <w:color w:val="auto"/>
              </w:rPr>
            </w:pPr>
            <w:r>
              <w:rPr>
                <w:rFonts w:ascii="Courier New" w:cs="Courier New" w:eastAsia="Courier New" w:hAnsi="Courier New"/>
                <w:sz w:val="17"/>
                <w:szCs w:val="17"/>
                <w:color w:val="auto"/>
              </w:rPr>
              <w:t>ended March 31, 1997 and 1996</w:t>
            </w:r>
          </w:p>
        </w:tc>
        <w:tc>
          <w:tcPr>
            <w:tcW w:w="10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w:t>
            </w:r>
          </w:p>
        </w:tc>
      </w:tr>
      <w:tr>
        <w:trPr>
          <w:trHeight w:val="403"/>
        </w:trPr>
        <w:tc>
          <w:tcPr>
            <w:tcW w:w="106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Condensed Statements of</w:t>
            </w:r>
          </w:p>
        </w:tc>
        <w:tc>
          <w:tcPr>
            <w:tcW w:w="4440" w:type="dxa"/>
            <w:vAlign w:val="bottom"/>
          </w:tcPr>
          <w:p>
            <w:pPr>
              <w:ind w:left="40"/>
              <w:spacing w:after="0"/>
              <w:rPr>
                <w:sz w:val="20"/>
                <w:szCs w:val="20"/>
                <w:color w:val="auto"/>
              </w:rPr>
            </w:pPr>
            <w:r>
              <w:rPr>
                <w:rFonts w:ascii="Courier New" w:cs="Courier New" w:eastAsia="Courier New" w:hAnsi="Courier New"/>
                <w:sz w:val="17"/>
                <w:szCs w:val="17"/>
                <w:color w:val="auto"/>
              </w:rPr>
              <w:t>Cash Flows for the three months</w:t>
            </w:r>
          </w:p>
        </w:tc>
        <w:tc>
          <w:tcPr>
            <w:tcW w:w="1060" w:type="dxa"/>
            <w:vAlign w:val="bottom"/>
          </w:tcPr>
          <w:p>
            <w:pPr>
              <w:spacing w:after="0"/>
              <w:rPr>
                <w:sz w:val="24"/>
                <w:szCs w:val="24"/>
                <w:color w:val="auto"/>
              </w:rPr>
            </w:pPr>
          </w:p>
        </w:tc>
      </w:tr>
      <w:tr>
        <w:trPr>
          <w:trHeight w:val="201"/>
        </w:trPr>
        <w:tc>
          <w:tcPr>
            <w:tcW w:w="1060" w:type="dxa"/>
            <w:vAlign w:val="bottom"/>
          </w:tcPr>
          <w:p>
            <w:pPr>
              <w:spacing w:after="0"/>
              <w:rPr>
                <w:sz w:val="17"/>
                <w:szCs w:val="17"/>
                <w:color w:val="auto"/>
              </w:rPr>
            </w:pPr>
          </w:p>
        </w:tc>
        <w:tc>
          <w:tcPr>
            <w:tcW w:w="2460" w:type="dxa"/>
            <w:vAlign w:val="bottom"/>
          </w:tcPr>
          <w:p>
            <w:pPr>
              <w:ind w:left="300"/>
              <w:spacing w:after="0"/>
              <w:rPr>
                <w:sz w:val="20"/>
                <w:szCs w:val="20"/>
                <w:color w:val="auto"/>
              </w:rPr>
            </w:pPr>
            <w:r>
              <w:rPr>
                <w:rFonts w:ascii="Courier New" w:cs="Courier New" w:eastAsia="Courier New" w:hAnsi="Courier New"/>
                <w:sz w:val="17"/>
                <w:szCs w:val="17"/>
                <w:color w:val="auto"/>
              </w:rPr>
              <w:t>ended March 31, 1997</w:t>
            </w:r>
          </w:p>
        </w:tc>
        <w:tc>
          <w:tcPr>
            <w:tcW w:w="4440" w:type="dxa"/>
            <w:vAlign w:val="bottom"/>
          </w:tcPr>
          <w:p>
            <w:pPr>
              <w:ind w:left="40"/>
              <w:spacing w:after="0"/>
              <w:rPr>
                <w:sz w:val="20"/>
                <w:szCs w:val="20"/>
                <w:color w:val="auto"/>
              </w:rPr>
            </w:pPr>
            <w:r>
              <w:rPr>
                <w:rFonts w:ascii="Courier New" w:cs="Courier New" w:eastAsia="Courier New" w:hAnsi="Courier New"/>
                <w:sz w:val="17"/>
                <w:szCs w:val="17"/>
                <w:color w:val="auto"/>
              </w:rPr>
              <w:t>and 1996</w:t>
            </w:r>
          </w:p>
        </w:tc>
        <w:tc>
          <w:tcPr>
            <w:tcW w:w="10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w:t>
            </w:r>
          </w:p>
        </w:tc>
      </w:tr>
      <w:tr>
        <w:trPr>
          <w:trHeight w:val="403"/>
        </w:trPr>
        <w:tc>
          <w:tcPr>
            <w:tcW w:w="10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Courier New" w:cs="Courier New" w:eastAsia="Courier New" w:hAnsi="Courier New"/>
                <w:sz w:val="17"/>
                <w:szCs w:val="17"/>
                <w:color w:val="auto"/>
              </w:rPr>
              <w:t>Notes to Condensed Financial Statements</w:t>
            </w:r>
          </w:p>
        </w:tc>
        <w:tc>
          <w:tcPr>
            <w:tcW w:w="10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w:t>
            </w:r>
          </w:p>
        </w:tc>
      </w:tr>
      <w:tr>
        <w:trPr>
          <w:trHeight w:val="403"/>
        </w:trPr>
        <w:tc>
          <w:tcPr>
            <w:tcW w:w="106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Management's Discussion</w:t>
            </w:r>
          </w:p>
        </w:tc>
        <w:tc>
          <w:tcPr>
            <w:tcW w:w="4440" w:type="dxa"/>
            <w:vAlign w:val="bottom"/>
          </w:tcPr>
          <w:p>
            <w:pPr>
              <w:ind w:left="40"/>
              <w:spacing w:after="0"/>
              <w:rPr>
                <w:sz w:val="20"/>
                <w:szCs w:val="20"/>
                <w:color w:val="auto"/>
              </w:rPr>
            </w:pPr>
            <w:r>
              <w:rPr>
                <w:rFonts w:ascii="Courier New" w:cs="Courier New" w:eastAsia="Courier New" w:hAnsi="Courier New"/>
                <w:sz w:val="17"/>
                <w:szCs w:val="17"/>
                <w:color w:val="auto"/>
              </w:rPr>
              <w:t>and Analysis of Financial</w:t>
            </w:r>
          </w:p>
        </w:tc>
        <w:tc>
          <w:tcPr>
            <w:tcW w:w="1060" w:type="dxa"/>
            <w:vAlign w:val="bottom"/>
          </w:tcPr>
          <w:p>
            <w:pPr>
              <w:spacing w:after="0"/>
              <w:rPr>
                <w:sz w:val="24"/>
                <w:szCs w:val="24"/>
                <w:color w:val="auto"/>
              </w:rPr>
            </w:pPr>
          </w:p>
        </w:tc>
      </w:tr>
      <w:tr>
        <w:trPr>
          <w:trHeight w:val="201"/>
        </w:trPr>
        <w:tc>
          <w:tcPr>
            <w:tcW w:w="1060" w:type="dxa"/>
            <w:vAlign w:val="bottom"/>
          </w:tcPr>
          <w:p>
            <w:pPr>
              <w:spacing w:after="0"/>
              <w:rPr>
                <w:sz w:val="17"/>
                <w:szCs w:val="17"/>
                <w:color w:val="auto"/>
              </w:rPr>
            </w:pPr>
          </w:p>
        </w:tc>
        <w:tc>
          <w:tcPr>
            <w:tcW w:w="69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Condition and Results of Operations</w:t>
            </w:r>
          </w:p>
        </w:tc>
        <w:tc>
          <w:tcPr>
            <w:tcW w:w="10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w:t>
            </w:r>
          </w:p>
        </w:tc>
      </w:tr>
      <w:tr>
        <w:trPr>
          <w:trHeight w:val="604"/>
        </w:trPr>
        <w:tc>
          <w:tcPr>
            <w:tcW w:w="3520" w:type="dxa"/>
            <w:vAlign w:val="bottom"/>
            <w:gridSpan w:val="2"/>
          </w:tcPr>
          <w:p>
            <w:pPr>
              <w:spacing w:after="0"/>
              <w:rPr>
                <w:sz w:val="20"/>
                <w:szCs w:val="20"/>
                <w:color w:val="auto"/>
              </w:rPr>
            </w:pPr>
            <w:r>
              <w:rPr>
                <w:rFonts w:ascii="Courier New" w:cs="Courier New" w:eastAsia="Courier New" w:hAnsi="Courier New"/>
                <w:sz w:val="17"/>
                <w:szCs w:val="17"/>
                <w:color w:val="auto"/>
              </w:rPr>
              <w:t>PART II. OTHER INFORMATION</w:t>
            </w:r>
          </w:p>
        </w:tc>
        <w:tc>
          <w:tcPr>
            <w:tcW w:w="4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3"/>
        </w:trPr>
        <w:tc>
          <w:tcPr>
            <w:tcW w:w="3520" w:type="dxa"/>
            <w:vAlign w:val="bottom"/>
            <w:gridSpan w:val="2"/>
          </w:tcPr>
          <w:p>
            <w:pPr>
              <w:spacing w:after="0"/>
              <w:rPr>
                <w:sz w:val="20"/>
                <w:szCs w:val="20"/>
                <w:color w:val="auto"/>
              </w:rPr>
            </w:pPr>
            <w:r>
              <w:rPr>
                <w:rFonts w:ascii="Courier New" w:cs="Courier New" w:eastAsia="Courier New" w:hAnsi="Courier New"/>
                <w:sz w:val="17"/>
                <w:szCs w:val="17"/>
                <w:color w:val="auto"/>
              </w:rPr>
              <w:t>Item 6.   Exhibits and Reports on</w:t>
            </w:r>
          </w:p>
        </w:tc>
        <w:tc>
          <w:tcPr>
            <w:tcW w:w="4440" w:type="dxa"/>
            <w:vAlign w:val="bottom"/>
          </w:tcPr>
          <w:p>
            <w:pPr>
              <w:ind w:left="40"/>
              <w:spacing w:after="0"/>
              <w:rPr>
                <w:sz w:val="20"/>
                <w:szCs w:val="20"/>
                <w:color w:val="auto"/>
              </w:rPr>
            </w:pPr>
            <w:r>
              <w:rPr>
                <w:rFonts w:ascii="Courier New" w:cs="Courier New" w:eastAsia="Courier New" w:hAnsi="Courier New"/>
                <w:sz w:val="17"/>
                <w:szCs w:val="17"/>
                <w:color w:val="auto"/>
              </w:rPr>
              <w:t>Form 8-K</w:t>
            </w:r>
          </w:p>
        </w:tc>
        <w:tc>
          <w:tcPr>
            <w:tcW w:w="10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w:t>
            </w:r>
          </w:p>
        </w:tc>
      </w:tr>
      <w:tr>
        <w:trPr>
          <w:trHeight w:val="403"/>
        </w:trPr>
        <w:tc>
          <w:tcPr>
            <w:tcW w:w="1060" w:type="dxa"/>
            <w:vAlign w:val="bottom"/>
          </w:tcPr>
          <w:p>
            <w:pPr>
              <w:spacing w:after="0"/>
              <w:rPr>
                <w:sz w:val="20"/>
                <w:szCs w:val="20"/>
                <w:color w:val="auto"/>
              </w:rPr>
            </w:pPr>
            <w:r>
              <w:rPr>
                <w:rFonts w:ascii="Courier New" w:cs="Courier New" w:eastAsia="Courier New" w:hAnsi="Courier New"/>
                <w:sz w:val="17"/>
                <w:szCs w:val="17"/>
                <w:color w:val="auto"/>
              </w:rPr>
              <w:t>Signatures</w:t>
            </w:r>
          </w:p>
        </w:tc>
        <w:tc>
          <w:tcPr>
            <w:tcW w:w="24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w:t>
            </w:r>
          </w:p>
        </w:tc>
      </w:tr>
    </w:tbl>
    <w:p>
      <w:pPr>
        <w:sectPr>
          <w:pgSz w:w="11900" w:h="16838" w:orient="portrait"/>
          <w:cols w:equalWidth="0" w:num="1">
            <w:col w:w="10219"/>
          </w:cols>
          <w:pgMar w:left="240" w:top="316"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PART I. FINANCIAL INFORMATION</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NN BALL &amp; ROLLER, INC.</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CONDENSED STATEMENTS OF INCOME</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12" w:lineRule="exact"/>
        <w:rPr>
          <w:sz w:val="20"/>
          <w:szCs w:val="20"/>
          <w:color w:val="auto"/>
        </w:rPr>
      </w:pPr>
    </w:p>
    <w:p>
      <w:pPr>
        <w:ind w:left="7440"/>
        <w:spacing w:after="0"/>
        <w:rPr>
          <w:sz w:val="20"/>
          <w:szCs w:val="20"/>
          <w:color w:val="auto"/>
        </w:rPr>
      </w:pPr>
      <w:r>
        <w:rPr>
          <w:rFonts w:ascii="Courier New" w:cs="Courier New" w:eastAsia="Courier New" w:hAnsi="Courier New"/>
          <w:sz w:val="17"/>
          <w:szCs w:val="17"/>
          <w:color w:val="auto"/>
        </w:rPr>
        <w:t>THREE MONTHS ENDED</w:t>
      </w:r>
    </w:p>
    <w:p>
      <w:pPr>
        <w:spacing w:after="0" w:line="9" w:lineRule="exact"/>
        <w:rPr>
          <w:sz w:val="20"/>
          <w:szCs w:val="20"/>
          <w:color w:val="auto"/>
        </w:rPr>
      </w:pPr>
    </w:p>
    <w:p>
      <w:pPr>
        <w:ind w:left="7860"/>
        <w:spacing w:after="0"/>
        <w:rPr>
          <w:sz w:val="20"/>
          <w:szCs w:val="20"/>
          <w:color w:val="auto"/>
        </w:rPr>
      </w:pPr>
      <w:r>
        <w:rPr>
          <w:rFonts w:ascii="Courier New" w:cs="Courier New" w:eastAsia="Courier New" w:hAnsi="Courier New"/>
          <w:sz w:val="17"/>
          <w:szCs w:val="17"/>
          <w:color w:val="auto"/>
        </w:rPr>
        <w:t>MARCH 31,</w:t>
      </w:r>
    </w:p>
    <w:p>
      <w:pPr>
        <w:spacing w:after="0" w:line="9" w:lineRule="exact"/>
        <w:rPr>
          <w:sz w:val="20"/>
          <w:szCs w:val="20"/>
          <w:color w:val="auto"/>
        </w:rPr>
      </w:pPr>
    </w:p>
    <w:p>
      <w:pPr>
        <w:spacing w:after="0"/>
        <w:tabs>
          <w:tab w:leader="none" w:pos="1460" w:val="left"/>
          <w:tab w:leader="none" w:pos="3240" w:val="left"/>
          <w:tab w:leader="none" w:pos="7220" w:val="left"/>
          <w:tab w:leader="none" w:pos="9000" w:val="left"/>
        </w:tabs>
        <w:rPr>
          <w:sz w:val="20"/>
          <w:szCs w:val="20"/>
          <w:color w:val="auto"/>
        </w:rPr>
      </w:pPr>
      <w:r>
        <w:rPr>
          <w:rFonts w:ascii="Courier New" w:cs="Courier New" w:eastAsia="Courier New" w:hAnsi="Courier New"/>
          <w:sz w:val="17"/>
          <w:szCs w:val="17"/>
          <w:color w:val="auto"/>
        </w:rPr>
        <w:t>THOUSANDS OF</w:t>
        <w:tab/>
        <w:t>DOLLARS, EXCEPT</w:t>
        <w:tab/>
        <w:t>SHARE AND PER SHARE DATA</w:t>
      </w:r>
      <w:r>
        <w:rPr>
          <w:sz w:val="20"/>
          <w:szCs w:val="20"/>
          <w:color w:val="auto"/>
        </w:rPr>
        <w:tab/>
      </w: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20,319</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26,085</w:t>
            </w:r>
          </w:p>
        </w:tc>
      </w:tr>
      <w:tr>
        <w:trPr>
          <w:trHeight w:val="201"/>
        </w:trPr>
        <w:tc>
          <w:tcPr>
            <w:tcW w:w="550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1580" w:type="dxa"/>
            <w:vAlign w:val="bottom"/>
          </w:tcPr>
          <w:p>
            <w:pPr>
              <w:spacing w:after="0"/>
              <w:rPr>
                <w:sz w:val="17"/>
                <w:szCs w:val="17"/>
                <w:color w:val="auto"/>
              </w:rPr>
            </w:pP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13,838</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17,568</w:t>
            </w:r>
          </w:p>
        </w:tc>
      </w:tr>
      <w:tr>
        <w:trPr>
          <w:trHeight w:val="201"/>
        </w:trPr>
        <w:tc>
          <w:tcPr>
            <w:tcW w:w="5500" w:type="dxa"/>
            <w:vAlign w:val="bottom"/>
          </w:tcPr>
          <w:p>
            <w:pPr>
              <w:spacing w:after="0"/>
              <w:rPr>
                <w:sz w:val="17"/>
                <w:szCs w:val="17"/>
                <w:color w:val="auto"/>
              </w:rPr>
            </w:pPr>
          </w:p>
        </w:tc>
        <w:tc>
          <w:tcPr>
            <w:tcW w:w="2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500" w:type="dxa"/>
            <w:vAlign w:val="bottom"/>
          </w:tcPr>
          <w:p>
            <w:pPr>
              <w:ind w:left="120"/>
              <w:spacing w:after="0"/>
              <w:rPr>
                <w:sz w:val="20"/>
                <w:szCs w:val="20"/>
                <w:color w:val="auto"/>
              </w:rPr>
            </w:pPr>
            <w:r>
              <w:rPr>
                <w:rFonts w:ascii="Courier New" w:cs="Courier New" w:eastAsia="Courier New" w:hAnsi="Courier New"/>
                <w:sz w:val="17"/>
                <w:szCs w:val="17"/>
                <w:color w:val="auto"/>
              </w:rPr>
              <w:t>Gross profit</w:t>
            </w:r>
          </w:p>
        </w:tc>
        <w:tc>
          <w:tcPr>
            <w:tcW w:w="1580" w:type="dxa"/>
            <w:vAlign w:val="bottom"/>
          </w:tcPr>
          <w:p>
            <w:pPr>
              <w:spacing w:after="0"/>
              <w:rPr>
                <w:sz w:val="17"/>
                <w:szCs w:val="17"/>
                <w:color w:val="auto"/>
              </w:rPr>
            </w:pP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6,481</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8,517</w:t>
            </w:r>
          </w:p>
        </w:tc>
      </w:tr>
      <w:tr>
        <w:trPr>
          <w:trHeight w:val="403"/>
        </w:trPr>
        <w:tc>
          <w:tcPr>
            <w:tcW w:w="550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w:t>
            </w:r>
          </w:p>
        </w:tc>
        <w:tc>
          <w:tcPr>
            <w:tcW w:w="1580" w:type="dxa"/>
            <w:vAlign w:val="bottom"/>
          </w:tcPr>
          <w:p>
            <w:pPr>
              <w:spacing w:after="0"/>
              <w:rPr>
                <w:sz w:val="24"/>
                <w:szCs w:val="24"/>
                <w:color w:val="auto"/>
              </w:rPr>
            </w:pP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1,305</w:t>
            </w: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1,110</w:t>
            </w:r>
          </w:p>
        </w:tc>
      </w:tr>
      <w:tr>
        <w:trPr>
          <w:trHeight w:val="201"/>
        </w:trPr>
        <w:tc>
          <w:tcPr>
            <w:tcW w:w="5500" w:type="dxa"/>
            <w:vAlign w:val="bottom"/>
          </w:tcPr>
          <w:p>
            <w:pPr>
              <w:spacing w:after="0"/>
              <w:rPr>
                <w:sz w:val="20"/>
                <w:szCs w:val="20"/>
                <w:color w:val="auto"/>
              </w:rPr>
            </w:pPr>
            <w:r>
              <w:rPr>
                <w:rFonts w:ascii="Courier New" w:cs="Courier New" w:eastAsia="Courier New" w:hAnsi="Courier New"/>
                <w:sz w:val="17"/>
                <w:szCs w:val="17"/>
                <w:color w:val="auto"/>
              </w:rPr>
              <w:t>Depreciation</w:t>
            </w:r>
          </w:p>
        </w:tc>
        <w:tc>
          <w:tcPr>
            <w:tcW w:w="1580" w:type="dxa"/>
            <w:vAlign w:val="bottom"/>
          </w:tcPr>
          <w:p>
            <w:pPr>
              <w:spacing w:after="0"/>
              <w:rPr>
                <w:sz w:val="17"/>
                <w:szCs w:val="17"/>
                <w:color w:val="auto"/>
              </w:rPr>
            </w:pP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1,052</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852</w:t>
            </w:r>
          </w:p>
        </w:tc>
      </w:tr>
      <w:tr>
        <w:trPr>
          <w:trHeight w:val="201"/>
        </w:trPr>
        <w:tc>
          <w:tcPr>
            <w:tcW w:w="5500" w:type="dxa"/>
            <w:vAlign w:val="bottom"/>
          </w:tcPr>
          <w:p>
            <w:pPr>
              <w:spacing w:after="0"/>
              <w:rPr>
                <w:sz w:val="17"/>
                <w:szCs w:val="17"/>
                <w:color w:val="auto"/>
              </w:rPr>
            </w:pPr>
          </w:p>
        </w:tc>
        <w:tc>
          <w:tcPr>
            <w:tcW w:w="2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50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1580" w:type="dxa"/>
            <w:vAlign w:val="bottom"/>
          </w:tcPr>
          <w:p>
            <w:pPr>
              <w:spacing w:after="0"/>
              <w:rPr>
                <w:sz w:val="17"/>
                <w:szCs w:val="17"/>
                <w:color w:val="auto"/>
              </w:rPr>
            </w:pP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4,124</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6,555</w:t>
            </w:r>
          </w:p>
        </w:tc>
      </w:tr>
      <w:tr>
        <w:trPr>
          <w:trHeight w:val="403"/>
        </w:trPr>
        <w:tc>
          <w:tcPr>
            <w:tcW w:w="550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580" w:type="dxa"/>
            <w:vAlign w:val="bottom"/>
          </w:tcPr>
          <w:p>
            <w:pPr>
              <w:spacing w:after="0"/>
              <w:rPr>
                <w:sz w:val="24"/>
                <w:szCs w:val="24"/>
                <w:color w:val="auto"/>
              </w:rPr>
            </w:pP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w:t>
            </w: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80</w:t>
            </w:r>
          </w:p>
        </w:tc>
      </w:tr>
      <w:tr>
        <w:trPr>
          <w:trHeight w:val="201"/>
        </w:trPr>
        <w:tc>
          <w:tcPr>
            <w:tcW w:w="5500" w:type="dxa"/>
            <w:vAlign w:val="bottom"/>
          </w:tcPr>
          <w:p>
            <w:pPr>
              <w:spacing w:after="0"/>
              <w:rPr>
                <w:sz w:val="17"/>
                <w:szCs w:val="17"/>
                <w:color w:val="auto"/>
              </w:rPr>
            </w:pPr>
          </w:p>
        </w:tc>
        <w:tc>
          <w:tcPr>
            <w:tcW w:w="2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50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w:t>
            </w:r>
          </w:p>
        </w:tc>
        <w:tc>
          <w:tcPr>
            <w:tcW w:w="1580" w:type="dxa"/>
            <w:vAlign w:val="bottom"/>
          </w:tcPr>
          <w:p>
            <w:pPr>
              <w:spacing w:after="0"/>
              <w:rPr>
                <w:sz w:val="17"/>
                <w:szCs w:val="17"/>
                <w:color w:val="auto"/>
              </w:rPr>
            </w:pP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4,105</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6,475</w:t>
            </w:r>
          </w:p>
        </w:tc>
      </w:tr>
      <w:tr>
        <w:trPr>
          <w:trHeight w:val="201"/>
        </w:trPr>
        <w:tc>
          <w:tcPr>
            <w:tcW w:w="550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580" w:type="dxa"/>
            <w:vAlign w:val="bottom"/>
          </w:tcPr>
          <w:p>
            <w:pPr>
              <w:spacing w:after="0"/>
              <w:rPr>
                <w:sz w:val="17"/>
                <w:szCs w:val="17"/>
                <w:color w:val="auto"/>
              </w:rPr>
            </w:pP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1,466</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2,203</w:t>
            </w:r>
          </w:p>
        </w:tc>
      </w:tr>
      <w:tr>
        <w:trPr>
          <w:trHeight w:val="201"/>
        </w:trPr>
        <w:tc>
          <w:tcPr>
            <w:tcW w:w="5500" w:type="dxa"/>
            <w:vAlign w:val="bottom"/>
          </w:tcPr>
          <w:p>
            <w:pPr>
              <w:spacing w:after="0"/>
              <w:rPr>
                <w:sz w:val="17"/>
                <w:szCs w:val="17"/>
                <w:color w:val="auto"/>
              </w:rPr>
            </w:pPr>
          </w:p>
        </w:tc>
        <w:tc>
          <w:tcPr>
            <w:tcW w:w="2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50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2,639</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4,272</w:t>
            </w:r>
          </w:p>
        </w:tc>
      </w:tr>
      <w:tr>
        <w:trPr>
          <w:trHeight w:val="201"/>
        </w:trPr>
        <w:tc>
          <w:tcPr>
            <w:tcW w:w="5500" w:type="dxa"/>
            <w:vAlign w:val="bottom"/>
          </w:tcPr>
          <w:p>
            <w:pPr>
              <w:spacing w:after="0"/>
              <w:rPr>
                <w:sz w:val="17"/>
                <w:szCs w:val="17"/>
                <w:color w:val="auto"/>
              </w:rPr>
            </w:pPr>
          </w:p>
        </w:tc>
        <w:tc>
          <w:tcPr>
            <w:tcW w:w="2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604"/>
        </w:trPr>
        <w:tc>
          <w:tcPr>
            <w:tcW w:w="5500" w:type="dxa"/>
            <w:vAlign w:val="bottom"/>
          </w:tcPr>
          <w:p>
            <w:pPr>
              <w:spacing w:after="0"/>
              <w:rPr>
                <w:sz w:val="20"/>
                <w:szCs w:val="20"/>
                <w:color w:val="auto"/>
              </w:rPr>
            </w:pPr>
            <w:r>
              <w:rPr>
                <w:rFonts w:ascii="Courier New" w:cs="Courier New" w:eastAsia="Courier New" w:hAnsi="Courier New"/>
                <w:sz w:val="17"/>
                <w:szCs w:val="17"/>
                <w:color w:val="auto"/>
              </w:rPr>
              <w:t>Net income per common share</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0.18</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0.28</w:t>
            </w:r>
          </w:p>
        </w:tc>
      </w:tr>
      <w:tr>
        <w:trPr>
          <w:trHeight w:val="201"/>
        </w:trPr>
        <w:tc>
          <w:tcPr>
            <w:tcW w:w="5500" w:type="dxa"/>
            <w:vAlign w:val="bottom"/>
          </w:tcPr>
          <w:p>
            <w:pPr>
              <w:spacing w:after="0"/>
              <w:rPr>
                <w:sz w:val="17"/>
                <w:szCs w:val="17"/>
                <w:color w:val="auto"/>
              </w:rPr>
            </w:pPr>
          </w:p>
        </w:tc>
        <w:tc>
          <w:tcPr>
            <w:tcW w:w="2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500" w:type="dxa"/>
            <w:vAlign w:val="bottom"/>
          </w:tcPr>
          <w:p>
            <w:pPr>
              <w:spacing w:after="0"/>
              <w:rPr>
                <w:sz w:val="20"/>
                <w:szCs w:val="20"/>
                <w:color w:val="auto"/>
              </w:rPr>
            </w:pPr>
            <w:r>
              <w:rPr>
                <w:rFonts w:ascii="Courier New" w:cs="Courier New" w:eastAsia="Courier New" w:hAnsi="Courier New"/>
                <w:sz w:val="17"/>
                <w:szCs w:val="17"/>
                <w:color w:val="auto"/>
              </w:rPr>
              <w:t>Weighted average number of</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1"/>
        </w:trPr>
        <w:tc>
          <w:tcPr>
            <w:tcW w:w="5500" w:type="dxa"/>
            <w:vAlign w:val="bottom"/>
          </w:tcPr>
          <w:p>
            <w:pPr>
              <w:ind w:left="120"/>
              <w:spacing w:after="0"/>
              <w:rPr>
                <w:sz w:val="20"/>
                <w:szCs w:val="20"/>
                <w:color w:val="auto"/>
              </w:rPr>
            </w:pPr>
            <w:r>
              <w:rPr>
                <w:rFonts w:ascii="Courier New" w:cs="Courier New" w:eastAsia="Courier New" w:hAnsi="Courier New"/>
                <w:sz w:val="17"/>
                <w:szCs w:val="17"/>
                <w:color w:val="auto"/>
              </w:rPr>
              <w:t>shares outstanding</w:t>
            </w:r>
          </w:p>
        </w:tc>
        <w:tc>
          <w:tcPr>
            <w:tcW w:w="2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14,712,638</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15,071,278</w:t>
            </w:r>
          </w:p>
        </w:tc>
      </w:tr>
      <w:tr>
        <w:trPr>
          <w:trHeight w:val="201"/>
        </w:trPr>
        <w:tc>
          <w:tcPr>
            <w:tcW w:w="5500" w:type="dxa"/>
            <w:vAlign w:val="bottom"/>
          </w:tcPr>
          <w:p>
            <w:pPr>
              <w:spacing w:after="0"/>
              <w:rPr>
                <w:sz w:val="17"/>
                <w:szCs w:val="17"/>
                <w:color w:val="auto"/>
              </w:rPr>
            </w:pPr>
          </w:p>
        </w:tc>
        <w:tc>
          <w:tcPr>
            <w:tcW w:w="2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SEE ACCOMPANYING NOTES.</w:t>
      </w:r>
    </w:p>
    <w:p>
      <w:pPr>
        <w:spacing w:after="0" w:line="2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6"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NN BALL &amp; ROLLER, INC.</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CONDENSED BALANCE SHEETS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80" w:type="dxa"/>
            <w:vAlign w:val="bottom"/>
          </w:tcPr>
          <w:p>
            <w:pPr>
              <w:spacing w:after="0"/>
              <w:rPr>
                <w:sz w:val="17"/>
                <w:szCs w:val="17"/>
                <w:color w:val="auto"/>
              </w:rPr>
            </w:pPr>
          </w:p>
        </w:tc>
        <w:tc>
          <w:tcPr>
            <w:tcW w:w="3260" w:type="dxa"/>
            <w:vAlign w:val="bottom"/>
          </w:tcPr>
          <w:p>
            <w:pPr>
              <w:jc w:val="center"/>
              <w:ind w:left="1393"/>
              <w:spacing w:after="0"/>
              <w:rPr>
                <w:sz w:val="20"/>
                <w:szCs w:val="20"/>
                <w:color w:val="auto"/>
              </w:rPr>
            </w:pPr>
            <w:r>
              <w:rPr>
                <w:rFonts w:ascii="Courier New" w:cs="Courier New" w:eastAsia="Courier New" w:hAnsi="Courier New"/>
                <w:sz w:val="17"/>
                <w:szCs w:val="17"/>
                <w:color w:val="auto"/>
              </w:rPr>
              <w:t>MARCH 31,</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201"/>
        </w:trPr>
        <w:tc>
          <w:tcPr>
            <w:tcW w:w="3980" w:type="dxa"/>
            <w:vAlign w:val="bottom"/>
          </w:tcPr>
          <w:p>
            <w:pPr>
              <w:spacing w:after="0"/>
              <w:rPr>
                <w:sz w:val="17"/>
                <w:szCs w:val="17"/>
                <w:color w:val="auto"/>
              </w:rPr>
            </w:pPr>
          </w:p>
        </w:tc>
        <w:tc>
          <w:tcPr>
            <w:tcW w:w="326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1997</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360" w:type="dxa"/>
            <w:vAlign w:val="bottom"/>
          </w:tcPr>
          <w:p>
            <w:pPr>
              <w:spacing w:after="0"/>
              <w:rPr>
                <w:sz w:val="17"/>
                <w:szCs w:val="17"/>
                <w:color w:val="auto"/>
              </w:rPr>
            </w:pPr>
          </w:p>
        </w:tc>
      </w:tr>
      <w:tr>
        <w:trPr>
          <w:trHeight w:val="201"/>
        </w:trPr>
        <w:tc>
          <w:tcPr>
            <w:tcW w:w="3980" w:type="dxa"/>
            <w:vAlign w:val="bottom"/>
          </w:tcPr>
          <w:p>
            <w:pPr>
              <w:spacing w:after="0"/>
              <w:rPr>
                <w:sz w:val="20"/>
                <w:szCs w:val="20"/>
                <w:color w:val="auto"/>
              </w:rPr>
            </w:pPr>
            <w:r>
              <w:rPr>
                <w:rFonts w:ascii="Courier New" w:cs="Courier New" w:eastAsia="Courier New" w:hAnsi="Courier New"/>
                <w:sz w:val="17"/>
                <w:szCs w:val="17"/>
                <w:color w:val="auto"/>
              </w:rPr>
              <w:t>THOUSANDS OF  DOLLARS</w:t>
            </w:r>
          </w:p>
        </w:tc>
        <w:tc>
          <w:tcPr>
            <w:tcW w:w="3260" w:type="dxa"/>
            <w:vAlign w:val="bottom"/>
          </w:tcPr>
          <w:p>
            <w:pPr>
              <w:jc w:val="center"/>
              <w:ind w:left="1373"/>
              <w:spacing w:after="0"/>
              <w:rPr>
                <w:sz w:val="20"/>
                <w:szCs w:val="20"/>
                <w:color w:val="auto"/>
              </w:rPr>
            </w:pPr>
            <w:r>
              <w:rPr>
                <w:rFonts w:ascii="Courier New" w:cs="Courier New" w:eastAsia="Courier New" w:hAnsi="Courier New"/>
                <w:sz w:val="17"/>
                <w:szCs w:val="17"/>
                <w:color w:val="auto"/>
              </w:rPr>
              <w:t>(UNAUDITED)</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5140" w:type="dxa"/>
            <w:vAlign w:val="bottom"/>
          </w:tcPr>
          <w:p>
            <w:pPr>
              <w:ind w:left="120"/>
              <w:spacing w:after="0"/>
              <w:rPr>
                <w:sz w:val="20"/>
                <w:szCs w:val="20"/>
                <w:color w:val="auto"/>
              </w:rPr>
            </w:pPr>
            <w:r>
              <w:rPr>
                <w:rFonts w:ascii="Courier New" w:cs="Courier New" w:eastAsia="Courier New" w:hAnsi="Courier New"/>
                <w:sz w:val="17"/>
                <w:szCs w:val="17"/>
                <w:color w:val="auto"/>
              </w:rPr>
              <w:t>Accounts receivable, net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16,115</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15,754</w:t>
            </w:r>
          </w:p>
        </w:tc>
      </w:tr>
      <w:tr>
        <w:trPr>
          <w:trHeight w:val="201"/>
        </w:trPr>
        <w:tc>
          <w:tcPr>
            <w:tcW w:w="5140" w:type="dxa"/>
            <w:vAlign w:val="bottom"/>
          </w:tcPr>
          <w:p>
            <w:pPr>
              <w:ind w:left="120"/>
              <w:spacing w:after="0"/>
              <w:rPr>
                <w:sz w:val="20"/>
                <w:szCs w:val="20"/>
                <w:color w:val="auto"/>
              </w:rPr>
            </w:pPr>
            <w:r>
              <w:rPr>
                <w:rFonts w:ascii="Courier New" w:cs="Courier New" w:eastAsia="Courier New" w:hAnsi="Courier New"/>
                <w:sz w:val="17"/>
                <w:szCs w:val="17"/>
                <w:color w:val="auto"/>
              </w:rPr>
              <w:t>Inventories, net  (Note 2)</w:t>
            </w:r>
          </w:p>
        </w:tc>
        <w:tc>
          <w:tcPr>
            <w:tcW w:w="8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10,447</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10,408</w:t>
            </w:r>
          </w:p>
        </w:tc>
      </w:tr>
      <w:tr>
        <w:trPr>
          <w:trHeight w:val="201"/>
        </w:trPr>
        <w:tc>
          <w:tcPr>
            <w:tcW w:w="5140" w:type="dxa"/>
            <w:vAlign w:val="bottom"/>
          </w:tcPr>
          <w:p>
            <w:pPr>
              <w:ind w:left="120"/>
              <w:spacing w:after="0"/>
              <w:rPr>
                <w:sz w:val="20"/>
                <w:szCs w:val="20"/>
                <w:color w:val="auto"/>
              </w:rPr>
            </w:pPr>
            <w:r>
              <w:rPr>
                <w:rFonts w:ascii="Courier New" w:cs="Courier New" w:eastAsia="Courier New" w:hAnsi="Courier New"/>
                <w:sz w:val="17"/>
                <w:szCs w:val="17"/>
                <w:color w:val="auto"/>
              </w:rPr>
              <w:t>Other current assets</w:t>
            </w:r>
          </w:p>
        </w:tc>
        <w:tc>
          <w:tcPr>
            <w:tcW w:w="8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767</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565</w:t>
            </w:r>
          </w:p>
        </w:tc>
      </w:tr>
      <w:tr>
        <w:trPr>
          <w:trHeight w:val="201"/>
        </w:trPr>
        <w:tc>
          <w:tcPr>
            <w:tcW w:w="5140" w:type="dxa"/>
            <w:vAlign w:val="bottom"/>
          </w:tcPr>
          <w:p>
            <w:pPr>
              <w:spacing w:after="0"/>
              <w:rPr>
                <w:sz w:val="17"/>
                <w:szCs w:val="17"/>
                <w:color w:val="auto"/>
              </w:rPr>
            </w:pPr>
          </w:p>
        </w:tc>
        <w:tc>
          <w:tcPr>
            <w:tcW w:w="21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140" w:type="dxa"/>
            <w:vAlign w:val="bottom"/>
          </w:tcPr>
          <w:p>
            <w:pPr>
              <w:ind w:left="220"/>
              <w:spacing w:after="0"/>
              <w:rPr>
                <w:sz w:val="20"/>
                <w:szCs w:val="20"/>
                <w:color w:val="auto"/>
              </w:rPr>
            </w:pPr>
            <w:r>
              <w:rPr>
                <w:rFonts w:ascii="Courier New" w:cs="Courier New" w:eastAsia="Courier New" w:hAnsi="Courier New"/>
                <w:sz w:val="17"/>
                <w:szCs w:val="17"/>
                <w:color w:val="auto"/>
              </w:rPr>
              <w:t>Total current assets</w:t>
            </w:r>
          </w:p>
        </w:tc>
        <w:tc>
          <w:tcPr>
            <w:tcW w:w="8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27,329</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26,727</w:t>
            </w:r>
          </w:p>
        </w:tc>
      </w:tr>
      <w:tr>
        <w:trPr>
          <w:trHeight w:val="403"/>
        </w:trPr>
        <w:tc>
          <w:tcPr>
            <w:tcW w:w="514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880" w:type="dxa"/>
            <w:vAlign w:val="bottom"/>
          </w:tcPr>
          <w:p>
            <w:pPr>
              <w:spacing w:after="0"/>
              <w:rPr>
                <w:sz w:val="24"/>
                <w:szCs w:val="24"/>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32,189</w:t>
            </w: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32,419</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8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111</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146</w:t>
            </w:r>
          </w:p>
        </w:tc>
      </w:tr>
      <w:tr>
        <w:trPr>
          <w:trHeight w:val="201"/>
        </w:trPr>
        <w:tc>
          <w:tcPr>
            <w:tcW w:w="5140" w:type="dxa"/>
            <w:vAlign w:val="bottom"/>
          </w:tcPr>
          <w:p>
            <w:pPr>
              <w:spacing w:after="0"/>
              <w:rPr>
                <w:sz w:val="17"/>
                <w:szCs w:val="17"/>
                <w:color w:val="auto"/>
              </w:rPr>
            </w:pPr>
          </w:p>
        </w:tc>
        <w:tc>
          <w:tcPr>
            <w:tcW w:w="21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140" w:type="dxa"/>
            <w:vAlign w:val="bottom"/>
          </w:tcPr>
          <w:p>
            <w:pPr>
              <w:ind w:left="220"/>
              <w:spacing w:after="0"/>
              <w:rPr>
                <w:sz w:val="20"/>
                <w:szCs w:val="20"/>
                <w:color w:val="auto"/>
              </w:rPr>
            </w:pPr>
            <w:r>
              <w:rPr>
                <w:rFonts w:ascii="Courier New" w:cs="Courier New" w:eastAsia="Courier New" w:hAnsi="Courier New"/>
                <w:sz w:val="17"/>
                <w:szCs w:val="17"/>
                <w:color w:val="auto"/>
              </w:rPr>
              <w:t>Total assets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59,629</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59,292</w:t>
            </w:r>
          </w:p>
        </w:tc>
      </w:tr>
      <w:tr>
        <w:trPr>
          <w:trHeight w:val="201"/>
        </w:trPr>
        <w:tc>
          <w:tcPr>
            <w:tcW w:w="5140" w:type="dxa"/>
            <w:vAlign w:val="bottom"/>
          </w:tcPr>
          <w:p>
            <w:pPr>
              <w:spacing w:after="0"/>
              <w:rPr>
                <w:sz w:val="17"/>
                <w:szCs w:val="17"/>
                <w:color w:val="auto"/>
              </w:rPr>
            </w:pPr>
          </w:p>
        </w:tc>
        <w:tc>
          <w:tcPr>
            <w:tcW w:w="21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1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5140" w:type="dxa"/>
            <w:vAlign w:val="bottom"/>
          </w:tcPr>
          <w:p>
            <w:pPr>
              <w:ind w:left="120"/>
              <w:spacing w:after="0"/>
              <w:rPr>
                <w:sz w:val="20"/>
                <w:szCs w:val="20"/>
                <w:color w:val="auto"/>
              </w:rPr>
            </w:pPr>
            <w:r>
              <w:rPr>
                <w:rFonts w:ascii="Courier New" w:cs="Courier New" w:eastAsia="Courier New" w:hAnsi="Courier New"/>
                <w:sz w:val="17"/>
                <w:szCs w:val="17"/>
                <w:color w:val="auto"/>
              </w:rPr>
              <w:t>Revolving credit facility</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120</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2,308</w:t>
            </w:r>
          </w:p>
        </w:tc>
      </w:tr>
      <w:tr>
        <w:trPr>
          <w:trHeight w:val="201"/>
        </w:trPr>
        <w:tc>
          <w:tcPr>
            <w:tcW w:w="5140" w:type="dxa"/>
            <w:vAlign w:val="bottom"/>
          </w:tcPr>
          <w:p>
            <w:pPr>
              <w:ind w:left="120"/>
              <w:spacing w:after="0"/>
              <w:rPr>
                <w:sz w:val="20"/>
                <w:szCs w:val="20"/>
                <w:color w:val="auto"/>
              </w:rPr>
            </w:pPr>
            <w:r>
              <w:rPr>
                <w:rFonts w:ascii="Courier New" w:cs="Courier New" w:eastAsia="Courier New" w:hAnsi="Courier New"/>
                <w:sz w:val="17"/>
                <w:szCs w:val="17"/>
                <w:color w:val="auto"/>
              </w:rPr>
              <w:t>Accounts payable</w:t>
            </w:r>
          </w:p>
        </w:tc>
        <w:tc>
          <w:tcPr>
            <w:tcW w:w="8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4,510</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4,054</w:t>
            </w:r>
          </w:p>
        </w:tc>
      </w:tr>
      <w:tr>
        <w:trPr>
          <w:trHeight w:val="201"/>
        </w:trPr>
        <w:tc>
          <w:tcPr>
            <w:tcW w:w="5140" w:type="dxa"/>
            <w:vAlign w:val="bottom"/>
          </w:tcPr>
          <w:p>
            <w:pPr>
              <w:ind w:left="120"/>
              <w:spacing w:after="0"/>
              <w:rPr>
                <w:sz w:val="20"/>
                <w:szCs w:val="20"/>
                <w:color w:val="auto"/>
              </w:rPr>
            </w:pPr>
            <w:r>
              <w:rPr>
                <w:rFonts w:ascii="Courier New" w:cs="Courier New" w:eastAsia="Courier New" w:hAnsi="Courier New"/>
                <w:sz w:val="17"/>
                <w:szCs w:val="17"/>
                <w:color w:val="auto"/>
              </w:rPr>
              <w:t>Accrued vacation payable</w:t>
            </w:r>
          </w:p>
        </w:tc>
        <w:tc>
          <w:tcPr>
            <w:tcW w:w="8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455</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370</w:t>
            </w:r>
          </w:p>
        </w:tc>
      </w:tr>
      <w:tr>
        <w:trPr>
          <w:trHeight w:val="201"/>
        </w:trPr>
        <w:tc>
          <w:tcPr>
            <w:tcW w:w="5140" w:type="dxa"/>
            <w:vAlign w:val="bottom"/>
          </w:tcPr>
          <w:p>
            <w:pPr>
              <w:ind w:left="120"/>
              <w:spacing w:after="0"/>
              <w:rPr>
                <w:sz w:val="20"/>
                <w:szCs w:val="20"/>
                <w:color w:val="auto"/>
              </w:rPr>
            </w:pPr>
            <w:r>
              <w:rPr>
                <w:rFonts w:ascii="Courier New" w:cs="Courier New" w:eastAsia="Courier New" w:hAnsi="Courier New"/>
                <w:sz w:val="17"/>
                <w:szCs w:val="17"/>
                <w:color w:val="auto"/>
              </w:rPr>
              <w:t>Accrued sales rebates</w:t>
            </w:r>
          </w:p>
        </w:tc>
        <w:tc>
          <w:tcPr>
            <w:tcW w:w="8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204</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755</w:t>
            </w:r>
          </w:p>
        </w:tc>
      </w:tr>
      <w:tr>
        <w:trPr>
          <w:trHeight w:val="201"/>
        </w:trPr>
        <w:tc>
          <w:tcPr>
            <w:tcW w:w="5140" w:type="dxa"/>
            <w:vAlign w:val="bottom"/>
          </w:tcPr>
          <w:p>
            <w:pPr>
              <w:ind w:left="120"/>
              <w:spacing w:after="0"/>
              <w:rPr>
                <w:sz w:val="20"/>
                <w:szCs w:val="20"/>
                <w:color w:val="auto"/>
              </w:rPr>
            </w:pPr>
            <w:r>
              <w:rPr>
                <w:rFonts w:ascii="Courier New" w:cs="Courier New" w:eastAsia="Courier New" w:hAnsi="Courier New"/>
                <w:sz w:val="17"/>
                <w:szCs w:val="17"/>
                <w:color w:val="auto"/>
              </w:rPr>
              <w:t>Income taxes payable</w:t>
            </w:r>
          </w:p>
        </w:tc>
        <w:tc>
          <w:tcPr>
            <w:tcW w:w="8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1,479</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96</w:t>
            </w:r>
          </w:p>
        </w:tc>
      </w:tr>
      <w:tr>
        <w:trPr>
          <w:trHeight w:val="201"/>
        </w:trPr>
        <w:tc>
          <w:tcPr>
            <w:tcW w:w="5140" w:type="dxa"/>
            <w:vAlign w:val="bottom"/>
          </w:tcPr>
          <w:p>
            <w:pPr>
              <w:ind w:left="120"/>
              <w:spacing w:after="0"/>
              <w:rPr>
                <w:sz w:val="20"/>
                <w:szCs w:val="20"/>
                <w:color w:val="auto"/>
              </w:rPr>
            </w:pPr>
            <w:r>
              <w:rPr>
                <w:rFonts w:ascii="Courier New" w:cs="Courier New" w:eastAsia="Courier New" w:hAnsi="Courier New"/>
                <w:sz w:val="17"/>
                <w:szCs w:val="17"/>
                <w:color w:val="auto"/>
              </w:rPr>
              <w:t>Other current liabilities</w:t>
            </w:r>
          </w:p>
        </w:tc>
        <w:tc>
          <w:tcPr>
            <w:tcW w:w="8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1,414</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791</w:t>
            </w:r>
          </w:p>
        </w:tc>
      </w:tr>
      <w:tr>
        <w:trPr>
          <w:trHeight w:val="201"/>
        </w:trPr>
        <w:tc>
          <w:tcPr>
            <w:tcW w:w="5140" w:type="dxa"/>
            <w:vAlign w:val="bottom"/>
          </w:tcPr>
          <w:p>
            <w:pPr>
              <w:spacing w:after="0"/>
              <w:rPr>
                <w:sz w:val="17"/>
                <w:szCs w:val="17"/>
                <w:color w:val="auto"/>
              </w:rPr>
            </w:pPr>
          </w:p>
        </w:tc>
        <w:tc>
          <w:tcPr>
            <w:tcW w:w="21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140" w:type="dxa"/>
            <w:vAlign w:val="bottom"/>
          </w:tcPr>
          <w:p>
            <w:pPr>
              <w:ind w:left="120"/>
              <w:spacing w:after="0"/>
              <w:rPr>
                <w:sz w:val="20"/>
                <w:szCs w:val="20"/>
                <w:color w:val="auto"/>
              </w:rPr>
            </w:pPr>
            <w:r>
              <w:rPr>
                <w:rFonts w:ascii="Courier New" w:cs="Courier New" w:eastAsia="Courier New" w:hAnsi="Courier New"/>
                <w:sz w:val="17"/>
                <w:szCs w:val="17"/>
                <w:color w:val="auto"/>
              </w:rPr>
              <w:t>Total current liabilities</w:t>
            </w:r>
          </w:p>
        </w:tc>
        <w:tc>
          <w:tcPr>
            <w:tcW w:w="8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8,182</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8,374</w:t>
            </w:r>
          </w:p>
        </w:tc>
      </w:tr>
      <w:tr>
        <w:trPr>
          <w:trHeight w:val="403"/>
        </w:trPr>
        <w:tc>
          <w:tcPr>
            <w:tcW w:w="514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880" w:type="dxa"/>
            <w:vAlign w:val="bottom"/>
          </w:tcPr>
          <w:p>
            <w:pPr>
              <w:spacing w:after="0"/>
              <w:rPr>
                <w:sz w:val="24"/>
                <w:szCs w:val="24"/>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2,208</w:t>
            </w: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2,208</w:t>
            </w:r>
          </w:p>
        </w:tc>
      </w:tr>
      <w:tr>
        <w:trPr>
          <w:trHeight w:val="201"/>
        </w:trPr>
        <w:tc>
          <w:tcPr>
            <w:tcW w:w="5140" w:type="dxa"/>
            <w:vAlign w:val="bottom"/>
          </w:tcPr>
          <w:p>
            <w:pPr>
              <w:spacing w:after="0"/>
              <w:rPr>
                <w:sz w:val="17"/>
                <w:szCs w:val="17"/>
                <w:color w:val="auto"/>
              </w:rPr>
            </w:pPr>
          </w:p>
        </w:tc>
        <w:tc>
          <w:tcPr>
            <w:tcW w:w="21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140" w:type="dxa"/>
            <w:vAlign w:val="bottom"/>
          </w:tcPr>
          <w:p>
            <w:pPr>
              <w:ind w:left="120"/>
              <w:spacing w:after="0"/>
              <w:rPr>
                <w:sz w:val="20"/>
                <w:szCs w:val="20"/>
                <w:color w:val="auto"/>
              </w:rPr>
            </w:pPr>
            <w:r>
              <w:rPr>
                <w:rFonts w:ascii="Courier New" w:cs="Courier New" w:eastAsia="Courier New" w:hAnsi="Courier New"/>
                <w:sz w:val="17"/>
                <w:szCs w:val="17"/>
                <w:color w:val="auto"/>
              </w:rPr>
              <w:t>Total liabilities</w:t>
            </w:r>
          </w:p>
        </w:tc>
        <w:tc>
          <w:tcPr>
            <w:tcW w:w="8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10,390</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10,582</w:t>
            </w:r>
          </w:p>
        </w:tc>
      </w:tr>
      <w:tr>
        <w:trPr>
          <w:trHeight w:val="403"/>
        </w:trPr>
        <w:tc>
          <w:tcPr>
            <w:tcW w:w="5140" w:type="dxa"/>
            <w:vAlign w:val="bottom"/>
          </w:tcPr>
          <w:p>
            <w:pPr>
              <w:ind w:left="120"/>
              <w:spacing w:after="0"/>
              <w:rPr>
                <w:sz w:val="20"/>
                <w:szCs w:val="20"/>
                <w:color w:val="auto"/>
              </w:rPr>
            </w:pPr>
            <w:r>
              <w:rPr>
                <w:rFonts w:ascii="Courier New" w:cs="Courier New" w:eastAsia="Courier New" w:hAnsi="Courier New"/>
                <w:sz w:val="17"/>
                <w:szCs w:val="17"/>
                <w:color w:val="auto"/>
              </w:rPr>
              <w:t>Total stockholders' equity</w:t>
            </w:r>
          </w:p>
        </w:tc>
        <w:tc>
          <w:tcPr>
            <w:tcW w:w="880" w:type="dxa"/>
            <w:vAlign w:val="bottom"/>
          </w:tcPr>
          <w:p>
            <w:pPr>
              <w:spacing w:after="0"/>
              <w:rPr>
                <w:sz w:val="24"/>
                <w:szCs w:val="24"/>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49,239</w:t>
            </w: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48,710</w:t>
            </w:r>
          </w:p>
        </w:tc>
      </w:tr>
      <w:tr>
        <w:trPr>
          <w:trHeight w:val="201"/>
        </w:trPr>
        <w:tc>
          <w:tcPr>
            <w:tcW w:w="5140" w:type="dxa"/>
            <w:vAlign w:val="bottom"/>
          </w:tcPr>
          <w:p>
            <w:pPr>
              <w:spacing w:after="0"/>
              <w:rPr>
                <w:sz w:val="17"/>
                <w:szCs w:val="17"/>
                <w:color w:val="auto"/>
              </w:rPr>
            </w:pPr>
          </w:p>
        </w:tc>
        <w:tc>
          <w:tcPr>
            <w:tcW w:w="21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140" w:type="dxa"/>
            <w:vAlign w:val="bottom"/>
          </w:tcPr>
          <w:p>
            <w:pPr>
              <w:ind w:left="12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59,629</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59,292</w:t>
            </w:r>
          </w:p>
        </w:tc>
      </w:tr>
      <w:tr>
        <w:trPr>
          <w:trHeight w:val="201"/>
        </w:trPr>
        <w:tc>
          <w:tcPr>
            <w:tcW w:w="5140" w:type="dxa"/>
            <w:vAlign w:val="bottom"/>
          </w:tcPr>
          <w:p>
            <w:pPr>
              <w:spacing w:after="0"/>
              <w:rPr>
                <w:sz w:val="17"/>
                <w:szCs w:val="17"/>
                <w:color w:val="auto"/>
              </w:rPr>
            </w:pPr>
          </w:p>
        </w:tc>
        <w:tc>
          <w:tcPr>
            <w:tcW w:w="21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0219"/>
          </w:cols>
          <w:pgMar w:left="240" w:top="316" w:right="1440" w:bottom="55" w:gutter="0" w:footer="0" w:header="0"/>
        </w:sectPr>
      </w:pPr>
    </w:p>
    <w:bookmarkStart w:id="4" w:name="page5"/>
    <w:bookmarkEnd w:id="4"/>
    <w:p>
      <w:pPr>
        <w:ind w:left="2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14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color w:val="auto"/>
        </w:rPr>
        <w:t>NN BALL &amp; ROLLER, INC.</w:t>
      </w:r>
    </w:p>
    <w:p>
      <w:pPr>
        <w:spacing w:after="0" w:line="9"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7"/>
          <w:szCs w:val="17"/>
          <w:color w:val="auto"/>
        </w:rPr>
        <w:t>CONDENSED STATEMENTS OF CHANGES IN STOCKHOLDERS' EQUITY</w:t>
      </w:r>
    </w:p>
    <w:p>
      <w:pPr>
        <w:spacing w:after="0" w:line="9"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12" w:lineRule="exact"/>
        <w:rPr>
          <w:sz w:val="20"/>
          <w:szCs w:val="20"/>
          <w:color w:val="auto"/>
        </w:rPr>
      </w:pPr>
    </w:p>
    <w:p>
      <w:pPr>
        <w:ind w:left="3980"/>
        <w:spacing w:after="0"/>
        <w:tabs>
          <w:tab w:leader="none" w:pos="6800" w:val="left"/>
          <w:tab w:leader="none" w:pos="8680" w:val="left"/>
        </w:tabs>
        <w:rPr>
          <w:sz w:val="20"/>
          <w:szCs w:val="20"/>
          <w:color w:val="auto"/>
        </w:rPr>
      </w:pPr>
      <w:r>
        <w:rPr>
          <w:rFonts w:ascii="Courier New" w:cs="Courier New" w:eastAsia="Courier New" w:hAnsi="Courier New"/>
          <w:sz w:val="17"/>
          <w:szCs w:val="17"/>
          <w:color w:val="auto"/>
        </w:rPr>
        <w:t>COMMON STOCK</w:t>
      </w:r>
      <w:r>
        <w:rPr>
          <w:sz w:val="20"/>
          <w:szCs w:val="20"/>
          <w:color w:val="auto"/>
        </w:rPr>
        <w:tab/>
      </w:r>
      <w:r>
        <w:rPr>
          <w:rFonts w:ascii="Courier New" w:cs="Courier New" w:eastAsia="Courier New" w:hAnsi="Courier New"/>
          <w:sz w:val="17"/>
          <w:szCs w:val="17"/>
          <w:color w:val="auto"/>
        </w:rPr>
        <w:t>ADDITIONAL</w:t>
      </w:r>
      <w:r>
        <w:rPr>
          <w:sz w:val="20"/>
          <w:szCs w:val="20"/>
          <w:color w:val="auto"/>
        </w:rPr>
        <w:tab/>
      </w:r>
      <w:r>
        <w:rPr>
          <w:rFonts w:ascii="Courier New" w:cs="Courier New" w:eastAsia="Courier New" w:hAnsi="Courier New"/>
          <w:sz w:val="17"/>
          <w:szCs w:val="17"/>
          <w:color w:val="auto"/>
        </w:rPr>
        <w:t>RETAINED</w:t>
      </w:r>
    </w:p>
    <w:p>
      <w:pPr>
        <w:spacing w:after="0" w:line="9" w:lineRule="exact"/>
        <w:rPr>
          <w:sz w:val="20"/>
          <w:szCs w:val="20"/>
          <w:color w:val="auto"/>
        </w:rPr>
      </w:pPr>
    </w:p>
    <w:p>
      <w:pPr>
        <w:spacing w:after="0"/>
        <w:tabs>
          <w:tab w:leader="none" w:pos="3440" w:val="left"/>
          <w:tab w:leader="none" w:pos="5220" w:val="left"/>
          <w:tab w:leader="none" w:pos="6900" w:val="left"/>
          <w:tab w:leader="none" w:pos="8680" w:val="left"/>
        </w:tabs>
        <w:rPr>
          <w:sz w:val="20"/>
          <w:szCs w:val="20"/>
          <w:color w:val="auto"/>
        </w:rPr>
      </w:pPr>
      <w:r>
        <w:rPr>
          <w:rFonts w:ascii="Courier New" w:cs="Courier New" w:eastAsia="Courier New" w:hAnsi="Courier New"/>
          <w:sz w:val="17"/>
          <w:szCs w:val="17"/>
          <w:color w:val="auto"/>
        </w:rPr>
        <w:t>THOUSANDS OF DOLLARS,</w:t>
      </w:r>
      <w:r>
        <w:rPr>
          <w:sz w:val="20"/>
          <w:szCs w:val="20"/>
          <w:color w:val="auto"/>
        </w:rPr>
        <w:tab/>
      </w: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PAR</w:t>
      </w:r>
      <w:r>
        <w:rPr>
          <w:sz w:val="20"/>
          <w:szCs w:val="20"/>
          <w:color w:val="auto"/>
        </w:rPr>
        <w:tab/>
      </w:r>
      <w:r>
        <w:rPr>
          <w:rFonts w:ascii="Courier New" w:cs="Courier New" w:eastAsia="Courier New" w:hAnsi="Courier New"/>
          <w:sz w:val="17"/>
          <w:szCs w:val="17"/>
          <w:color w:val="auto"/>
        </w:rPr>
        <w:t>PAID-IN</w:t>
      </w:r>
      <w:r>
        <w:rPr>
          <w:sz w:val="20"/>
          <w:szCs w:val="20"/>
          <w:color w:val="auto"/>
        </w:rPr>
        <w:tab/>
      </w:r>
      <w:r>
        <w:rPr>
          <w:rFonts w:ascii="Courier New" w:cs="Courier New" w:eastAsia="Courier New" w:hAnsi="Courier New"/>
          <w:sz w:val="17"/>
          <w:szCs w:val="17"/>
          <w:color w:val="auto"/>
        </w:rPr>
        <w:t>EARNINGS</w:t>
      </w:r>
    </w:p>
    <w:p>
      <w:pPr>
        <w:spacing w:after="0" w:line="9" w:lineRule="exact"/>
        <w:rPr>
          <w:sz w:val="20"/>
          <w:szCs w:val="20"/>
          <w:color w:val="auto"/>
        </w:rPr>
      </w:pPr>
    </w:p>
    <w:p>
      <w:pPr>
        <w:ind w:left="120"/>
        <w:spacing w:after="0"/>
        <w:tabs>
          <w:tab w:leader="none" w:pos="3340" w:val="left"/>
          <w:tab w:leader="none" w:pos="5220" w:val="left"/>
          <w:tab w:leader="none" w:pos="6900" w:val="left"/>
          <w:tab w:leader="none" w:pos="8680" w:val="left"/>
          <w:tab w:leader="none" w:pos="10460" w:val="left"/>
        </w:tabs>
        <w:rPr>
          <w:sz w:val="20"/>
          <w:szCs w:val="20"/>
          <w:color w:val="auto"/>
        </w:rPr>
      </w:pPr>
      <w:r>
        <w:rPr>
          <w:rFonts w:ascii="Courier New" w:cs="Courier New" w:eastAsia="Courier New" w:hAnsi="Courier New"/>
          <w:sz w:val="17"/>
          <w:szCs w:val="17"/>
          <w:color w:val="auto"/>
        </w:rPr>
        <w:t>EXCEPT SHARE DATA</w:t>
      </w:r>
      <w:r>
        <w:rPr>
          <w:sz w:val="20"/>
          <w:szCs w:val="20"/>
          <w:color w:val="auto"/>
        </w:rPr>
        <w:tab/>
      </w:r>
      <w:r>
        <w:rPr>
          <w:rFonts w:ascii="Courier New" w:cs="Courier New" w:eastAsia="Courier New" w:hAnsi="Courier New"/>
          <w:sz w:val="17"/>
          <w:szCs w:val="17"/>
          <w:color w:val="auto"/>
        </w:rPr>
        <w:t>OF SHARES</w:t>
      </w:r>
      <w:r>
        <w:rPr>
          <w:sz w:val="20"/>
          <w:szCs w:val="20"/>
          <w:color w:val="auto"/>
        </w:rPr>
        <w:tab/>
      </w:r>
      <w:r>
        <w:rPr>
          <w:rFonts w:ascii="Courier New" w:cs="Courier New" w:eastAsia="Courier New" w:hAnsi="Courier New"/>
          <w:sz w:val="17"/>
          <w:szCs w:val="17"/>
          <w:color w:val="auto"/>
        </w:rPr>
        <w:t>VALUE</w:t>
      </w:r>
      <w:r>
        <w:rPr>
          <w:sz w:val="20"/>
          <w:szCs w:val="20"/>
          <w:color w:val="auto"/>
        </w:rPr>
        <w:tab/>
      </w:r>
      <w:r>
        <w:rPr>
          <w:rFonts w:ascii="Courier New" w:cs="Courier New" w:eastAsia="Courier New" w:hAnsi="Courier New"/>
          <w:sz w:val="17"/>
          <w:szCs w:val="17"/>
          <w:color w:val="auto"/>
        </w:rPr>
        <w:t>CAPITAL</w:t>
      </w:r>
      <w:r>
        <w:rPr>
          <w:sz w:val="20"/>
          <w:szCs w:val="20"/>
          <w:color w:val="auto"/>
        </w:rPr>
        <w:tab/>
      </w:r>
      <w:r>
        <w:rPr>
          <w:rFonts w:ascii="Courier New" w:cs="Courier New" w:eastAsia="Courier New" w:hAnsi="Courier New"/>
          <w:sz w:val="17"/>
          <w:szCs w:val="17"/>
          <w:color w:val="auto"/>
        </w:rPr>
        <w:t>(DEFICIT)</w:t>
      </w:r>
      <w:r>
        <w:rPr>
          <w:sz w:val="20"/>
          <w:szCs w:val="20"/>
          <w:color w:val="auto"/>
        </w:rPr>
        <w:tab/>
      </w:r>
      <w:r>
        <w:rPr>
          <w:rFonts w:ascii="Courier New" w:cs="Courier New" w:eastAsia="Courier New" w:hAnsi="Courier New"/>
          <w:sz w:val="17"/>
          <w:szCs w:val="17"/>
          <w:color w:val="auto"/>
        </w:rPr>
        <w:t>TOTAL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20"/>
                <w:szCs w:val="20"/>
                <w:color w:val="auto"/>
              </w:rPr>
            </w:pPr>
            <w:r>
              <w:rPr>
                <w:rFonts w:ascii="Courier New" w:cs="Courier New" w:eastAsia="Courier New" w:hAnsi="Courier New"/>
                <w:sz w:val="17"/>
                <w:szCs w:val="17"/>
                <w:color w:val="auto"/>
              </w:rPr>
              <w:t>Balance, January 1, 1996</w:t>
            </w:r>
          </w:p>
        </w:tc>
        <w:tc>
          <w:tcPr>
            <w:tcW w:w="17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14,473</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144</w:t>
            </w:r>
          </w:p>
        </w:tc>
        <w:tc>
          <w:tcPr>
            <w:tcW w:w="18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$ 25,289</w:t>
            </w:r>
          </w:p>
        </w:tc>
        <w:tc>
          <w:tcPr>
            <w:tcW w:w="17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$ 13,785</w:t>
            </w:r>
          </w:p>
        </w:tc>
        <w:tc>
          <w:tcPr>
            <w:tcW w:w="1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$ 39,218</w:t>
            </w:r>
          </w:p>
        </w:tc>
      </w:tr>
      <w:tr>
        <w:trPr>
          <w:trHeight w:val="201"/>
        </w:trPr>
        <w:tc>
          <w:tcPr>
            <w:tcW w:w="2940" w:type="dxa"/>
            <w:vAlign w:val="bottom"/>
          </w:tcPr>
          <w:p>
            <w:pPr>
              <w:ind w:left="120"/>
              <w:spacing w:after="0"/>
              <w:rPr>
                <w:sz w:val="20"/>
                <w:szCs w:val="20"/>
                <w:color w:val="auto"/>
              </w:rPr>
            </w:pPr>
            <w:r>
              <w:rPr>
                <w:rFonts w:ascii="Courier New" w:cs="Courier New" w:eastAsia="Courier New" w:hAnsi="Courier New"/>
                <w:sz w:val="17"/>
                <w:szCs w:val="17"/>
                <w:color w:val="auto"/>
              </w:rPr>
              <w:t>Net income</w:t>
            </w: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4,272</w:t>
            </w:r>
          </w:p>
        </w:tc>
        <w:tc>
          <w:tcPr>
            <w:tcW w:w="1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4,272</w:t>
            </w:r>
          </w:p>
        </w:tc>
      </w:tr>
      <w:tr>
        <w:trPr>
          <w:trHeight w:val="201"/>
        </w:trPr>
        <w:tc>
          <w:tcPr>
            <w:tcW w:w="2940" w:type="dxa"/>
            <w:vAlign w:val="bottom"/>
          </w:tcPr>
          <w:p>
            <w:pPr>
              <w:ind w:left="120"/>
              <w:spacing w:after="0"/>
              <w:rPr>
                <w:sz w:val="20"/>
                <w:szCs w:val="20"/>
                <w:color w:val="auto"/>
              </w:rPr>
            </w:pPr>
            <w:r>
              <w:rPr>
                <w:rFonts w:ascii="Courier New" w:cs="Courier New" w:eastAsia="Courier New" w:hAnsi="Courier New"/>
                <w:sz w:val="17"/>
                <w:szCs w:val="17"/>
                <w:color w:val="auto"/>
              </w:rPr>
              <w:t>Dividends</w:t>
            </w: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(1,158)</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(1,158)</w:t>
            </w:r>
          </w:p>
        </w:tc>
      </w:tr>
      <w:tr>
        <w:trPr>
          <w:trHeight w:val="201"/>
        </w:trPr>
        <w:tc>
          <w:tcPr>
            <w:tcW w:w="2940" w:type="dxa"/>
            <w:vAlign w:val="bottom"/>
          </w:tcPr>
          <w:p>
            <w:pPr>
              <w:ind w:left="120"/>
              <w:spacing w:after="0"/>
              <w:rPr>
                <w:sz w:val="20"/>
                <w:szCs w:val="20"/>
                <w:color w:val="auto"/>
              </w:rPr>
            </w:pPr>
            <w:r>
              <w:rPr>
                <w:rFonts w:ascii="Courier New" w:cs="Courier New" w:eastAsia="Courier New" w:hAnsi="Courier New"/>
                <w:sz w:val="17"/>
                <w:szCs w:val="17"/>
                <w:color w:val="auto"/>
              </w:rPr>
              <w:t>Stock options exercised</w:t>
            </w:r>
          </w:p>
        </w:tc>
        <w:tc>
          <w:tcPr>
            <w:tcW w:w="17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w:t>
            </w:r>
          </w:p>
        </w:tc>
        <w:tc>
          <w:tcPr>
            <w:tcW w:w="740" w:type="dxa"/>
            <w:vAlign w:val="bottom"/>
          </w:tcPr>
          <w:p>
            <w:pPr>
              <w:spacing w:after="0"/>
              <w:rPr>
                <w:sz w:val="17"/>
                <w:szCs w:val="17"/>
                <w:color w:val="auto"/>
              </w:rPr>
            </w:pPr>
          </w:p>
        </w:tc>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53</w:t>
            </w:r>
          </w:p>
        </w:tc>
        <w:tc>
          <w:tcPr>
            <w:tcW w:w="17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w:t>
            </w:r>
          </w:p>
        </w:tc>
      </w:tr>
      <w:tr>
        <w:trPr>
          <w:trHeight w:val="201"/>
        </w:trPr>
        <w:tc>
          <w:tcPr>
            <w:tcW w:w="2940" w:type="dxa"/>
            <w:vAlign w:val="bottom"/>
          </w:tcPr>
          <w:p>
            <w:pPr>
              <w:spacing w:after="0"/>
              <w:rPr>
                <w:sz w:val="17"/>
                <w:szCs w:val="17"/>
                <w:color w:val="auto"/>
              </w:rPr>
            </w:pPr>
          </w:p>
        </w:tc>
        <w:tc>
          <w:tcPr>
            <w:tcW w:w="17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940" w:type="dxa"/>
            <w:vAlign w:val="bottom"/>
          </w:tcPr>
          <w:p>
            <w:pPr>
              <w:spacing w:after="0"/>
              <w:rPr>
                <w:sz w:val="20"/>
                <w:szCs w:val="20"/>
                <w:color w:val="auto"/>
              </w:rPr>
            </w:pPr>
            <w:r>
              <w:rPr>
                <w:rFonts w:ascii="Courier New" w:cs="Courier New" w:eastAsia="Courier New" w:hAnsi="Courier New"/>
                <w:sz w:val="17"/>
                <w:szCs w:val="17"/>
                <w:color w:val="auto"/>
              </w:rPr>
              <w:t>Balance, March 31, 1996</w:t>
            </w:r>
          </w:p>
        </w:tc>
        <w:tc>
          <w:tcPr>
            <w:tcW w:w="17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14,476</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144</w:t>
            </w:r>
          </w:p>
        </w:tc>
        <w:tc>
          <w:tcPr>
            <w:tcW w:w="18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$ 25,342</w:t>
            </w:r>
          </w:p>
        </w:tc>
        <w:tc>
          <w:tcPr>
            <w:tcW w:w="17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$ 16,899</w:t>
            </w:r>
          </w:p>
        </w:tc>
        <w:tc>
          <w:tcPr>
            <w:tcW w:w="1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$ 42,385</w:t>
            </w:r>
          </w:p>
        </w:tc>
      </w:tr>
      <w:tr>
        <w:trPr>
          <w:trHeight w:val="201"/>
        </w:trPr>
        <w:tc>
          <w:tcPr>
            <w:tcW w:w="2940" w:type="dxa"/>
            <w:vAlign w:val="bottom"/>
          </w:tcPr>
          <w:p>
            <w:pPr>
              <w:spacing w:after="0"/>
              <w:rPr>
                <w:sz w:val="17"/>
                <w:szCs w:val="17"/>
                <w:color w:val="auto"/>
              </w:rPr>
            </w:pPr>
          </w:p>
        </w:tc>
        <w:tc>
          <w:tcPr>
            <w:tcW w:w="17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2940" w:type="dxa"/>
            <w:vAlign w:val="bottom"/>
          </w:tcPr>
          <w:p>
            <w:pPr>
              <w:spacing w:after="0"/>
              <w:rPr>
                <w:sz w:val="20"/>
                <w:szCs w:val="20"/>
                <w:color w:val="auto"/>
              </w:rPr>
            </w:pPr>
            <w:r>
              <w:rPr>
                <w:rFonts w:ascii="Courier New" w:cs="Courier New" w:eastAsia="Courier New" w:hAnsi="Courier New"/>
                <w:sz w:val="17"/>
                <w:szCs w:val="17"/>
                <w:color w:val="auto"/>
              </w:rPr>
              <w:t>Balance, January 1, 1997</w:t>
            </w:r>
          </w:p>
        </w:tc>
        <w:tc>
          <w:tcPr>
            <w:tcW w:w="17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14,629</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146</w:t>
            </w:r>
          </w:p>
        </w:tc>
        <w:tc>
          <w:tcPr>
            <w:tcW w:w="18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$ 26,983</w:t>
            </w:r>
          </w:p>
        </w:tc>
        <w:tc>
          <w:tcPr>
            <w:tcW w:w="17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$ 21,581</w:t>
            </w:r>
          </w:p>
        </w:tc>
        <w:tc>
          <w:tcPr>
            <w:tcW w:w="1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$ 48,710</w:t>
            </w:r>
          </w:p>
        </w:tc>
      </w:tr>
      <w:tr>
        <w:trPr>
          <w:trHeight w:val="201"/>
        </w:trPr>
        <w:tc>
          <w:tcPr>
            <w:tcW w:w="2940" w:type="dxa"/>
            <w:vAlign w:val="bottom"/>
          </w:tcPr>
          <w:p>
            <w:pPr>
              <w:ind w:left="120"/>
              <w:spacing w:after="0"/>
              <w:rPr>
                <w:sz w:val="20"/>
                <w:szCs w:val="20"/>
                <w:color w:val="auto"/>
              </w:rPr>
            </w:pPr>
            <w:r>
              <w:rPr>
                <w:rFonts w:ascii="Courier New" w:cs="Courier New" w:eastAsia="Courier New" w:hAnsi="Courier New"/>
                <w:sz w:val="17"/>
                <w:szCs w:val="17"/>
                <w:color w:val="auto"/>
              </w:rPr>
              <w:t>Net income</w:t>
            </w: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2,639</w:t>
            </w:r>
          </w:p>
        </w:tc>
        <w:tc>
          <w:tcPr>
            <w:tcW w:w="1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2,639</w:t>
            </w:r>
          </w:p>
        </w:tc>
      </w:tr>
      <w:tr>
        <w:trPr>
          <w:trHeight w:val="201"/>
        </w:trPr>
        <w:tc>
          <w:tcPr>
            <w:tcW w:w="2940" w:type="dxa"/>
            <w:vAlign w:val="bottom"/>
          </w:tcPr>
          <w:p>
            <w:pPr>
              <w:ind w:left="120"/>
              <w:spacing w:after="0"/>
              <w:rPr>
                <w:sz w:val="20"/>
                <w:szCs w:val="20"/>
                <w:color w:val="auto"/>
              </w:rPr>
            </w:pPr>
            <w:r>
              <w:rPr>
                <w:rFonts w:ascii="Courier New" w:cs="Courier New" w:eastAsia="Courier New" w:hAnsi="Courier New"/>
                <w:sz w:val="17"/>
                <w:szCs w:val="17"/>
                <w:color w:val="auto"/>
              </w:rPr>
              <w:t>Dividends</w:t>
            </w: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(1,111)</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(1,111)</w:t>
            </w:r>
          </w:p>
        </w:tc>
      </w:tr>
      <w:tr>
        <w:trPr>
          <w:trHeight w:val="201"/>
        </w:trPr>
        <w:tc>
          <w:tcPr>
            <w:tcW w:w="2940" w:type="dxa"/>
            <w:vAlign w:val="bottom"/>
          </w:tcPr>
          <w:p>
            <w:pPr>
              <w:ind w:left="120"/>
              <w:spacing w:after="0"/>
              <w:rPr>
                <w:sz w:val="20"/>
                <w:szCs w:val="20"/>
                <w:color w:val="auto"/>
              </w:rPr>
            </w:pPr>
            <w:r>
              <w:rPr>
                <w:rFonts w:ascii="Courier New" w:cs="Courier New" w:eastAsia="Courier New" w:hAnsi="Courier New"/>
                <w:sz w:val="17"/>
                <w:szCs w:val="17"/>
                <w:color w:val="auto"/>
              </w:rPr>
              <w:t>Stock repurchased</w:t>
            </w:r>
          </w:p>
        </w:tc>
        <w:tc>
          <w:tcPr>
            <w:tcW w:w="17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(86)</w:t>
            </w:r>
          </w:p>
        </w:tc>
        <w:tc>
          <w:tcPr>
            <w:tcW w:w="740" w:type="dxa"/>
            <w:vAlign w:val="bottom"/>
          </w:tcPr>
          <w:p>
            <w:pPr>
              <w:spacing w:after="0"/>
              <w:rPr>
                <w:sz w:val="17"/>
                <w:szCs w:val="17"/>
                <w:color w:val="auto"/>
              </w:rPr>
            </w:pPr>
          </w:p>
        </w:tc>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(999)</w:t>
            </w:r>
          </w:p>
        </w:tc>
        <w:tc>
          <w:tcPr>
            <w:tcW w:w="17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(999)</w:t>
            </w:r>
          </w:p>
        </w:tc>
      </w:tr>
      <w:tr>
        <w:trPr>
          <w:trHeight w:val="201"/>
        </w:trPr>
        <w:tc>
          <w:tcPr>
            <w:tcW w:w="2940" w:type="dxa"/>
            <w:vAlign w:val="bottom"/>
          </w:tcPr>
          <w:p>
            <w:pPr>
              <w:spacing w:after="0"/>
              <w:rPr>
                <w:sz w:val="17"/>
                <w:szCs w:val="17"/>
                <w:color w:val="auto"/>
              </w:rPr>
            </w:pPr>
          </w:p>
        </w:tc>
        <w:tc>
          <w:tcPr>
            <w:tcW w:w="17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940" w:type="dxa"/>
            <w:vAlign w:val="bottom"/>
          </w:tcPr>
          <w:p>
            <w:pPr>
              <w:spacing w:after="0"/>
              <w:rPr>
                <w:sz w:val="20"/>
                <w:szCs w:val="20"/>
                <w:color w:val="auto"/>
              </w:rPr>
            </w:pPr>
            <w:r>
              <w:rPr>
                <w:rFonts w:ascii="Courier New" w:cs="Courier New" w:eastAsia="Courier New" w:hAnsi="Courier New"/>
                <w:sz w:val="17"/>
                <w:szCs w:val="17"/>
                <w:color w:val="auto"/>
              </w:rPr>
              <w:t>Balance, March 31, 1997</w:t>
            </w:r>
          </w:p>
        </w:tc>
        <w:tc>
          <w:tcPr>
            <w:tcW w:w="17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14,543</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146</w:t>
            </w:r>
          </w:p>
        </w:tc>
        <w:tc>
          <w:tcPr>
            <w:tcW w:w="18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$ 25,984</w:t>
            </w:r>
          </w:p>
        </w:tc>
        <w:tc>
          <w:tcPr>
            <w:tcW w:w="17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$ 23,109</w:t>
            </w:r>
          </w:p>
        </w:tc>
        <w:tc>
          <w:tcPr>
            <w:tcW w:w="1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$ 49,239</w:t>
            </w:r>
          </w:p>
        </w:tc>
      </w:tr>
      <w:tr>
        <w:trPr>
          <w:trHeight w:val="201"/>
        </w:trPr>
        <w:tc>
          <w:tcPr>
            <w:tcW w:w="2940" w:type="dxa"/>
            <w:vAlign w:val="bottom"/>
          </w:tcPr>
          <w:p>
            <w:pPr>
              <w:spacing w:after="0"/>
              <w:rPr>
                <w:sz w:val="17"/>
                <w:szCs w:val="17"/>
                <w:color w:val="auto"/>
              </w:rPr>
            </w:pPr>
          </w:p>
        </w:tc>
        <w:tc>
          <w:tcPr>
            <w:tcW w:w="17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316" w:right="139"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NN BALL &amp; ROLLER, INC.</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CONDENSED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5300" w:type="dxa"/>
            <w:vAlign w:val="bottom"/>
          </w:tcPr>
          <w:p>
            <w:pPr>
              <w:jc w:val="right"/>
              <w:ind w:right="3273"/>
              <w:spacing w:after="0"/>
              <w:rPr>
                <w:sz w:val="20"/>
                <w:szCs w:val="20"/>
                <w:color w:val="auto"/>
              </w:rPr>
            </w:pPr>
            <w:r>
              <w:rPr>
                <w:rFonts w:ascii="Courier New" w:cs="Courier New" w:eastAsia="Courier New" w:hAnsi="Courier New"/>
                <w:sz w:val="17"/>
                <w:szCs w:val="17"/>
                <w:color w:val="auto"/>
              </w:rPr>
              <w:t>(UNAUDITED)</w:t>
            </w:r>
          </w:p>
        </w:tc>
        <w:tc>
          <w:tcPr>
            <w:tcW w:w="420" w:type="dxa"/>
            <w:vAlign w:val="bottom"/>
          </w:tcPr>
          <w:p>
            <w:pPr>
              <w:spacing w:after="0"/>
              <w:rPr>
                <w:sz w:val="17"/>
                <w:szCs w:val="17"/>
                <w:color w:val="auto"/>
              </w:rPr>
            </w:pPr>
          </w:p>
        </w:tc>
      </w:tr>
      <w:tr>
        <w:trPr>
          <w:trHeight w:val="806"/>
        </w:trPr>
        <w:tc>
          <w:tcPr>
            <w:tcW w:w="2880" w:type="dxa"/>
            <w:vAlign w:val="bottom"/>
          </w:tcPr>
          <w:p>
            <w:pPr>
              <w:spacing w:after="0"/>
              <w:rPr>
                <w:sz w:val="24"/>
                <w:szCs w:val="24"/>
                <w:color w:val="auto"/>
              </w:rPr>
            </w:pPr>
          </w:p>
        </w:tc>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THREE MONTHS ENDED</w:t>
            </w:r>
          </w:p>
        </w:tc>
        <w:tc>
          <w:tcPr>
            <w:tcW w:w="420" w:type="dxa"/>
            <w:vAlign w:val="bottom"/>
          </w:tcPr>
          <w:p>
            <w:pPr>
              <w:spacing w:after="0"/>
              <w:rPr>
                <w:sz w:val="24"/>
                <w:szCs w:val="24"/>
                <w:color w:val="auto"/>
              </w:rPr>
            </w:pPr>
          </w:p>
        </w:tc>
      </w:tr>
      <w:tr>
        <w:trPr>
          <w:trHeight w:val="201"/>
        </w:trPr>
        <w:tc>
          <w:tcPr>
            <w:tcW w:w="2880" w:type="dxa"/>
            <w:vAlign w:val="bottom"/>
          </w:tcPr>
          <w:p>
            <w:pPr>
              <w:spacing w:after="0"/>
              <w:rPr>
                <w:sz w:val="17"/>
                <w:szCs w:val="17"/>
                <w:color w:val="auto"/>
              </w:rPr>
            </w:pPr>
          </w:p>
        </w:tc>
        <w:tc>
          <w:tcPr>
            <w:tcW w:w="5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MARCH 31,</w:t>
            </w:r>
          </w:p>
        </w:tc>
        <w:tc>
          <w:tcPr>
            <w:tcW w:w="420" w:type="dxa"/>
            <w:vAlign w:val="bottom"/>
          </w:tcPr>
          <w:p>
            <w:pPr>
              <w:spacing w:after="0"/>
              <w:rPr>
                <w:sz w:val="17"/>
                <w:szCs w:val="17"/>
                <w:color w:val="auto"/>
              </w:rPr>
            </w:pP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THOUSANDS OF DOLLARS</w:t>
            </w:r>
          </w:p>
        </w:tc>
        <w:tc>
          <w:tcPr>
            <w:tcW w:w="5300" w:type="dxa"/>
            <w:vAlign w:val="bottom"/>
          </w:tcPr>
          <w:p>
            <w:pPr>
              <w:jc w:val="right"/>
              <w:ind w:right="1493"/>
              <w:spacing w:after="0"/>
              <w:rPr>
                <w:sz w:val="20"/>
                <w:szCs w:val="20"/>
                <w:color w:val="auto"/>
              </w:rPr>
            </w:pPr>
            <w:r>
              <w:rPr>
                <w:rFonts w:ascii="Courier New" w:cs="Courier New" w:eastAsia="Courier New" w:hAnsi="Courier New"/>
                <w:sz w:val="17"/>
                <w:szCs w:val="17"/>
                <w:color w:val="auto"/>
              </w:rPr>
              <w:t>1997</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w w:val="97"/>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5760" w:type="dxa"/>
            <w:vAlign w:val="bottom"/>
          </w:tcPr>
          <w:p>
            <w:pPr>
              <w:ind w:left="120"/>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ind w:right="53"/>
              <w:spacing w:after="0"/>
              <w:rPr>
                <w:sz w:val="20"/>
                <w:szCs w:val="20"/>
                <w:color w:val="auto"/>
              </w:rPr>
            </w:pPr>
            <w:r>
              <w:rPr>
                <w:rFonts w:ascii="Courier New" w:cs="Courier New" w:eastAsia="Courier New" w:hAnsi="Courier New"/>
                <w:sz w:val="17"/>
                <w:szCs w:val="17"/>
                <w:color w:val="auto"/>
                <w:w w:val="97"/>
              </w:rPr>
              <w:t>$</w:t>
            </w:r>
          </w:p>
        </w:tc>
        <w:tc>
          <w:tcPr>
            <w:tcW w:w="1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2,639</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4,272</w:t>
            </w:r>
          </w:p>
        </w:tc>
      </w:tr>
      <w:tr>
        <w:trPr>
          <w:trHeight w:val="201"/>
        </w:trPr>
        <w:tc>
          <w:tcPr>
            <w:tcW w:w="5760" w:type="dxa"/>
            <w:vAlign w:val="bottom"/>
          </w:tcPr>
          <w:p>
            <w:pPr>
              <w:ind w:left="120"/>
              <w:spacing w:after="0"/>
              <w:rPr>
                <w:sz w:val="20"/>
                <w:szCs w:val="20"/>
                <w:color w:val="auto"/>
              </w:rPr>
            </w:pPr>
            <w:r>
              <w:rPr>
                <w:rFonts w:ascii="Courier New" w:cs="Courier New" w:eastAsia="Courier New" w:hAnsi="Courier New"/>
                <w:sz w:val="17"/>
                <w:szCs w:val="17"/>
                <w:color w:val="auto"/>
              </w:rPr>
              <w:t>Adjustments to reconcile net income:</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5760" w:type="dxa"/>
            <w:vAlign w:val="bottom"/>
          </w:tcPr>
          <w:p>
            <w:pPr>
              <w:ind w:left="220"/>
              <w:spacing w:after="0"/>
              <w:rPr>
                <w:sz w:val="20"/>
                <w:szCs w:val="20"/>
                <w:color w:val="auto"/>
              </w:rPr>
            </w:pPr>
            <w:r>
              <w:rPr>
                <w:rFonts w:ascii="Courier New" w:cs="Courier New" w:eastAsia="Courier New" w:hAnsi="Courier New"/>
                <w:sz w:val="17"/>
                <w:szCs w:val="17"/>
                <w:color w:val="auto"/>
              </w:rPr>
              <w:t>Depreciation</w:t>
            </w:r>
          </w:p>
        </w:tc>
        <w:tc>
          <w:tcPr>
            <w:tcW w:w="260" w:type="dxa"/>
            <w:vAlign w:val="bottom"/>
          </w:tcPr>
          <w:p>
            <w:pPr>
              <w:spacing w:after="0"/>
              <w:rPr>
                <w:sz w:val="17"/>
                <w:szCs w:val="17"/>
                <w:color w:val="auto"/>
              </w:rPr>
            </w:pPr>
          </w:p>
        </w:tc>
        <w:tc>
          <w:tcPr>
            <w:tcW w:w="1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1,052</w:t>
            </w:r>
          </w:p>
        </w:tc>
        <w:tc>
          <w:tcPr>
            <w:tcW w:w="68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852</w:t>
            </w:r>
          </w:p>
        </w:tc>
      </w:tr>
      <w:tr>
        <w:trPr>
          <w:trHeight w:val="201"/>
        </w:trPr>
        <w:tc>
          <w:tcPr>
            <w:tcW w:w="5760" w:type="dxa"/>
            <w:vAlign w:val="bottom"/>
          </w:tcPr>
          <w:p>
            <w:pPr>
              <w:ind w:left="22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3"/>
        </w:trPr>
        <w:tc>
          <w:tcPr>
            <w:tcW w:w="5760" w:type="dxa"/>
            <w:vAlign w:val="bottom"/>
          </w:tcPr>
          <w:p>
            <w:pPr>
              <w:ind w:left="320"/>
              <w:spacing w:after="0"/>
              <w:rPr>
                <w:sz w:val="20"/>
                <w:szCs w:val="20"/>
                <w:color w:val="auto"/>
              </w:rPr>
            </w:pPr>
            <w:r>
              <w:rPr>
                <w:rFonts w:ascii="Courier New" w:cs="Courier New" w:eastAsia="Courier New" w:hAnsi="Courier New"/>
                <w:sz w:val="17"/>
                <w:szCs w:val="17"/>
                <w:color w:val="auto"/>
              </w:rPr>
              <w:t>Accounts receivable</w:t>
            </w:r>
          </w:p>
        </w:tc>
        <w:tc>
          <w:tcPr>
            <w:tcW w:w="260" w:type="dxa"/>
            <w:vAlign w:val="bottom"/>
          </w:tcPr>
          <w:p>
            <w:pPr>
              <w:spacing w:after="0"/>
              <w:rPr>
                <w:sz w:val="24"/>
                <w:szCs w:val="24"/>
                <w:color w:val="auto"/>
              </w:rPr>
            </w:pP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(361)</w:t>
            </w:r>
          </w:p>
        </w:tc>
        <w:tc>
          <w:tcPr>
            <w:tcW w:w="6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(4,338)</w:t>
            </w:r>
          </w:p>
        </w:tc>
      </w:tr>
      <w:tr>
        <w:trPr>
          <w:trHeight w:val="403"/>
        </w:trPr>
        <w:tc>
          <w:tcPr>
            <w:tcW w:w="5760" w:type="dxa"/>
            <w:vAlign w:val="bottom"/>
          </w:tcPr>
          <w:p>
            <w:pPr>
              <w:ind w:left="320"/>
              <w:spacing w:after="0"/>
              <w:rPr>
                <w:sz w:val="20"/>
                <w:szCs w:val="20"/>
                <w:color w:val="auto"/>
              </w:rPr>
            </w:pPr>
            <w:r>
              <w:rPr>
                <w:rFonts w:ascii="Courier New" w:cs="Courier New" w:eastAsia="Courier New" w:hAnsi="Courier New"/>
                <w:sz w:val="17"/>
                <w:szCs w:val="17"/>
                <w:color w:val="auto"/>
              </w:rPr>
              <w:t>Inventories</w:t>
            </w:r>
          </w:p>
        </w:tc>
        <w:tc>
          <w:tcPr>
            <w:tcW w:w="260" w:type="dxa"/>
            <w:vAlign w:val="bottom"/>
          </w:tcPr>
          <w:p>
            <w:pPr>
              <w:spacing w:after="0"/>
              <w:rPr>
                <w:sz w:val="24"/>
                <w:szCs w:val="24"/>
                <w:color w:val="auto"/>
              </w:rPr>
            </w:pP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(39)</w:t>
            </w:r>
          </w:p>
        </w:tc>
        <w:tc>
          <w:tcPr>
            <w:tcW w:w="6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(640)</w:t>
            </w:r>
          </w:p>
        </w:tc>
      </w:tr>
      <w:tr>
        <w:trPr>
          <w:trHeight w:val="201"/>
        </w:trPr>
        <w:tc>
          <w:tcPr>
            <w:tcW w:w="5760" w:type="dxa"/>
            <w:vAlign w:val="bottom"/>
          </w:tcPr>
          <w:p>
            <w:pPr>
              <w:ind w:left="320"/>
              <w:spacing w:after="0"/>
              <w:rPr>
                <w:sz w:val="20"/>
                <w:szCs w:val="20"/>
                <w:color w:val="auto"/>
              </w:rPr>
            </w:pPr>
            <w:r>
              <w:rPr>
                <w:rFonts w:ascii="Courier New" w:cs="Courier New" w:eastAsia="Courier New" w:hAnsi="Courier New"/>
                <w:sz w:val="17"/>
                <w:szCs w:val="17"/>
                <w:color w:val="auto"/>
              </w:rPr>
              <w:t>Other current assets</w:t>
            </w:r>
          </w:p>
        </w:tc>
        <w:tc>
          <w:tcPr>
            <w:tcW w:w="260" w:type="dxa"/>
            <w:vAlign w:val="bottom"/>
          </w:tcPr>
          <w:p>
            <w:pPr>
              <w:spacing w:after="0"/>
              <w:rPr>
                <w:sz w:val="17"/>
                <w:szCs w:val="17"/>
                <w:color w:val="auto"/>
              </w:rPr>
            </w:pP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(202)</w:t>
            </w:r>
          </w:p>
        </w:tc>
        <w:tc>
          <w:tcPr>
            <w:tcW w:w="6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(196)</w:t>
            </w:r>
          </w:p>
        </w:tc>
      </w:tr>
      <w:tr>
        <w:trPr>
          <w:trHeight w:val="201"/>
        </w:trPr>
        <w:tc>
          <w:tcPr>
            <w:tcW w:w="5760" w:type="dxa"/>
            <w:vAlign w:val="bottom"/>
          </w:tcPr>
          <w:p>
            <w:pPr>
              <w:ind w:left="320"/>
              <w:spacing w:after="0"/>
              <w:rPr>
                <w:sz w:val="20"/>
                <w:szCs w:val="20"/>
                <w:color w:val="auto"/>
              </w:rPr>
            </w:pPr>
            <w:r>
              <w:rPr>
                <w:rFonts w:ascii="Courier New" w:cs="Courier New" w:eastAsia="Courier New" w:hAnsi="Courier New"/>
                <w:sz w:val="17"/>
                <w:szCs w:val="17"/>
                <w:color w:val="auto"/>
              </w:rPr>
              <w:t>Accounts payable</w:t>
            </w:r>
          </w:p>
        </w:tc>
        <w:tc>
          <w:tcPr>
            <w:tcW w:w="260" w:type="dxa"/>
            <w:vAlign w:val="bottom"/>
          </w:tcPr>
          <w:p>
            <w:pPr>
              <w:spacing w:after="0"/>
              <w:rPr>
                <w:sz w:val="17"/>
                <w:szCs w:val="17"/>
                <w:color w:val="auto"/>
              </w:rPr>
            </w:pPr>
          </w:p>
        </w:tc>
        <w:tc>
          <w:tcPr>
            <w:tcW w:w="1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456</w:t>
            </w:r>
          </w:p>
        </w:tc>
        <w:tc>
          <w:tcPr>
            <w:tcW w:w="6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(819)</w:t>
            </w:r>
          </w:p>
        </w:tc>
      </w:tr>
      <w:tr>
        <w:trPr>
          <w:trHeight w:val="403"/>
        </w:trPr>
        <w:tc>
          <w:tcPr>
            <w:tcW w:w="5760" w:type="dxa"/>
            <w:vAlign w:val="bottom"/>
          </w:tcPr>
          <w:p>
            <w:pPr>
              <w:ind w:left="320"/>
              <w:spacing w:after="0"/>
              <w:rPr>
                <w:sz w:val="20"/>
                <w:szCs w:val="20"/>
                <w:color w:val="auto"/>
              </w:rPr>
            </w:pPr>
            <w:r>
              <w:rPr>
                <w:rFonts w:ascii="Courier New" w:cs="Courier New" w:eastAsia="Courier New" w:hAnsi="Courier New"/>
                <w:sz w:val="17"/>
                <w:szCs w:val="17"/>
                <w:color w:val="auto"/>
              </w:rPr>
              <w:t>Other liabilities</w:t>
            </w:r>
          </w:p>
        </w:tc>
        <w:tc>
          <w:tcPr>
            <w:tcW w:w="260" w:type="dxa"/>
            <w:vAlign w:val="bottom"/>
          </w:tcPr>
          <w:p>
            <w:pPr>
              <w:spacing w:after="0"/>
              <w:rPr>
                <w:sz w:val="24"/>
                <w:szCs w:val="24"/>
                <w:color w:val="auto"/>
              </w:rPr>
            </w:pPr>
          </w:p>
        </w:tc>
        <w:tc>
          <w:tcPr>
            <w:tcW w:w="1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1,540</w:t>
            </w:r>
          </w:p>
        </w:tc>
        <w:tc>
          <w:tcPr>
            <w:tcW w:w="68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2,930</w:t>
            </w:r>
          </w:p>
        </w:tc>
      </w:tr>
      <w:tr>
        <w:trPr>
          <w:trHeight w:val="201"/>
        </w:trPr>
        <w:tc>
          <w:tcPr>
            <w:tcW w:w="5760" w:type="dxa"/>
            <w:vAlign w:val="bottom"/>
          </w:tcPr>
          <w:p>
            <w:pPr>
              <w:spacing w:after="0"/>
              <w:rPr>
                <w:sz w:val="17"/>
                <w:szCs w:val="17"/>
                <w:color w:val="auto"/>
              </w:rPr>
            </w:pPr>
          </w:p>
        </w:tc>
        <w:tc>
          <w:tcPr>
            <w:tcW w:w="15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ind w:left="420"/>
              <w:spacing w:after="0"/>
              <w:rPr>
                <w:sz w:val="20"/>
                <w:szCs w:val="20"/>
                <w:color w:val="auto"/>
              </w:rPr>
            </w:pPr>
            <w:r>
              <w:rPr>
                <w:rFonts w:ascii="Courier New" w:cs="Courier New" w:eastAsia="Courier New" w:hAnsi="Courier New"/>
                <w:sz w:val="17"/>
                <w:szCs w:val="17"/>
                <w:color w:val="auto"/>
              </w:rPr>
              <w:t>Net cash provided by operations</w:t>
            </w:r>
          </w:p>
        </w:tc>
        <w:tc>
          <w:tcPr>
            <w:tcW w:w="260" w:type="dxa"/>
            <w:vAlign w:val="bottom"/>
          </w:tcPr>
          <w:p>
            <w:pPr>
              <w:spacing w:after="0"/>
              <w:rPr>
                <w:sz w:val="17"/>
                <w:szCs w:val="17"/>
                <w:color w:val="auto"/>
              </w:rPr>
            </w:pPr>
          </w:p>
        </w:tc>
        <w:tc>
          <w:tcPr>
            <w:tcW w:w="1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5,085</w:t>
            </w:r>
          </w:p>
        </w:tc>
        <w:tc>
          <w:tcPr>
            <w:tcW w:w="68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2,061</w:t>
            </w:r>
          </w:p>
        </w:tc>
      </w:tr>
      <w:tr>
        <w:trPr>
          <w:trHeight w:val="201"/>
        </w:trPr>
        <w:tc>
          <w:tcPr>
            <w:tcW w:w="5760" w:type="dxa"/>
            <w:vAlign w:val="bottom"/>
          </w:tcPr>
          <w:p>
            <w:pPr>
              <w:spacing w:after="0"/>
              <w:rPr>
                <w:sz w:val="17"/>
                <w:szCs w:val="17"/>
                <w:color w:val="auto"/>
              </w:rPr>
            </w:pPr>
          </w:p>
        </w:tc>
        <w:tc>
          <w:tcPr>
            <w:tcW w:w="15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1"/>
        </w:trPr>
        <w:tc>
          <w:tcPr>
            <w:tcW w:w="5760" w:type="dxa"/>
            <w:vAlign w:val="bottom"/>
          </w:tcPr>
          <w:p>
            <w:pPr>
              <w:ind w:left="120"/>
              <w:spacing w:after="0"/>
              <w:rPr>
                <w:sz w:val="20"/>
                <w:szCs w:val="20"/>
                <w:color w:val="auto"/>
              </w:rPr>
            </w:pPr>
            <w:r>
              <w:rPr>
                <w:rFonts w:ascii="Courier New" w:cs="Courier New" w:eastAsia="Courier New" w:hAnsi="Courier New"/>
                <w:sz w:val="17"/>
                <w:szCs w:val="17"/>
                <w:color w:val="auto"/>
              </w:rPr>
              <w:t>Acquisition of plant, property, and equipment</w:t>
            </w:r>
          </w:p>
        </w:tc>
        <w:tc>
          <w:tcPr>
            <w:tcW w:w="260" w:type="dxa"/>
            <w:vAlign w:val="bottom"/>
          </w:tcPr>
          <w:p>
            <w:pPr>
              <w:spacing w:after="0"/>
              <w:rPr>
                <w:sz w:val="17"/>
                <w:szCs w:val="17"/>
                <w:color w:val="auto"/>
              </w:rPr>
            </w:pP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(822)</w:t>
            </w:r>
          </w:p>
        </w:tc>
        <w:tc>
          <w:tcPr>
            <w:tcW w:w="6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(3,811)</w:t>
            </w:r>
          </w:p>
        </w:tc>
      </w:tr>
      <w:tr>
        <w:trPr>
          <w:trHeight w:val="201"/>
        </w:trPr>
        <w:tc>
          <w:tcPr>
            <w:tcW w:w="5760" w:type="dxa"/>
            <w:vAlign w:val="bottom"/>
          </w:tcPr>
          <w:p>
            <w:pPr>
              <w:ind w:left="120"/>
              <w:spacing w:after="0"/>
              <w:rPr>
                <w:sz w:val="20"/>
                <w:szCs w:val="20"/>
                <w:color w:val="auto"/>
              </w:rPr>
            </w:pPr>
            <w:r>
              <w:rPr>
                <w:rFonts w:ascii="Courier New" w:cs="Courier New" w:eastAsia="Courier New" w:hAnsi="Courier New"/>
                <w:sz w:val="17"/>
                <w:szCs w:val="17"/>
                <w:color w:val="auto"/>
              </w:rPr>
              <w:t>Other assets</w:t>
            </w:r>
          </w:p>
        </w:tc>
        <w:tc>
          <w:tcPr>
            <w:tcW w:w="260" w:type="dxa"/>
            <w:vAlign w:val="bottom"/>
          </w:tcPr>
          <w:p>
            <w:pPr>
              <w:spacing w:after="0"/>
              <w:rPr>
                <w:sz w:val="17"/>
                <w:szCs w:val="17"/>
                <w:color w:val="auto"/>
              </w:rPr>
            </w:pPr>
          </w:p>
        </w:tc>
        <w:tc>
          <w:tcPr>
            <w:tcW w:w="1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35</w:t>
            </w:r>
          </w:p>
        </w:tc>
        <w:tc>
          <w:tcPr>
            <w:tcW w:w="6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r>
        <w:trPr>
          <w:trHeight w:val="201"/>
        </w:trPr>
        <w:tc>
          <w:tcPr>
            <w:tcW w:w="5760" w:type="dxa"/>
            <w:vAlign w:val="bottom"/>
          </w:tcPr>
          <w:p>
            <w:pPr>
              <w:spacing w:after="0"/>
              <w:rPr>
                <w:sz w:val="17"/>
                <w:szCs w:val="17"/>
                <w:color w:val="auto"/>
              </w:rPr>
            </w:pPr>
          </w:p>
        </w:tc>
        <w:tc>
          <w:tcPr>
            <w:tcW w:w="15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ind w:left="420"/>
              <w:spacing w:after="0"/>
              <w:rPr>
                <w:sz w:val="20"/>
                <w:szCs w:val="20"/>
                <w:color w:val="auto"/>
              </w:rPr>
            </w:pPr>
            <w:r>
              <w:rPr>
                <w:rFonts w:ascii="Courier New" w:cs="Courier New" w:eastAsia="Courier New" w:hAnsi="Courier New"/>
                <w:sz w:val="17"/>
                <w:szCs w:val="17"/>
                <w:color w:val="auto"/>
              </w:rPr>
              <w:t>Net cash used by investing activities</w:t>
            </w:r>
          </w:p>
        </w:tc>
        <w:tc>
          <w:tcPr>
            <w:tcW w:w="260" w:type="dxa"/>
            <w:vAlign w:val="bottom"/>
          </w:tcPr>
          <w:p>
            <w:pPr>
              <w:spacing w:after="0"/>
              <w:rPr>
                <w:sz w:val="17"/>
                <w:szCs w:val="17"/>
                <w:color w:val="auto"/>
              </w:rPr>
            </w:pP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(787)</w:t>
            </w:r>
          </w:p>
        </w:tc>
        <w:tc>
          <w:tcPr>
            <w:tcW w:w="6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(3,831)</w:t>
            </w:r>
          </w:p>
        </w:tc>
      </w:tr>
      <w:tr>
        <w:trPr>
          <w:trHeight w:val="201"/>
        </w:trPr>
        <w:tc>
          <w:tcPr>
            <w:tcW w:w="5760" w:type="dxa"/>
            <w:vAlign w:val="bottom"/>
          </w:tcPr>
          <w:p>
            <w:pPr>
              <w:spacing w:after="0"/>
              <w:rPr>
                <w:sz w:val="17"/>
                <w:szCs w:val="17"/>
                <w:color w:val="auto"/>
              </w:rPr>
            </w:pPr>
          </w:p>
        </w:tc>
        <w:tc>
          <w:tcPr>
            <w:tcW w:w="15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1"/>
        </w:trPr>
        <w:tc>
          <w:tcPr>
            <w:tcW w:w="5760" w:type="dxa"/>
            <w:vAlign w:val="bottom"/>
          </w:tcPr>
          <w:p>
            <w:pPr>
              <w:ind w:left="120"/>
              <w:spacing w:after="0"/>
              <w:rPr>
                <w:sz w:val="20"/>
                <w:szCs w:val="20"/>
                <w:color w:val="auto"/>
              </w:rPr>
            </w:pPr>
            <w:r>
              <w:rPr>
                <w:rFonts w:ascii="Courier New" w:cs="Courier New" w:eastAsia="Courier New" w:hAnsi="Courier New"/>
                <w:sz w:val="17"/>
                <w:szCs w:val="17"/>
                <w:color w:val="auto"/>
              </w:rPr>
              <w:t>Net receipts (payments) under revolving line of credit</w:t>
            </w:r>
          </w:p>
        </w:tc>
        <w:tc>
          <w:tcPr>
            <w:tcW w:w="260" w:type="dxa"/>
            <w:vAlign w:val="bottom"/>
          </w:tcPr>
          <w:p>
            <w:pPr>
              <w:spacing w:after="0"/>
              <w:rPr>
                <w:sz w:val="17"/>
                <w:szCs w:val="17"/>
                <w:color w:val="auto"/>
              </w:rPr>
            </w:pP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(2,188)</w:t>
            </w:r>
          </w:p>
        </w:tc>
        <w:tc>
          <w:tcPr>
            <w:tcW w:w="68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2,875</w:t>
            </w:r>
          </w:p>
        </w:tc>
      </w:tr>
      <w:tr>
        <w:trPr>
          <w:trHeight w:val="201"/>
        </w:trPr>
        <w:tc>
          <w:tcPr>
            <w:tcW w:w="5760" w:type="dxa"/>
            <w:vAlign w:val="bottom"/>
          </w:tcPr>
          <w:p>
            <w:pPr>
              <w:ind w:left="120"/>
              <w:spacing w:after="0"/>
              <w:rPr>
                <w:sz w:val="20"/>
                <w:szCs w:val="20"/>
                <w:color w:val="auto"/>
              </w:rPr>
            </w:pPr>
            <w:r>
              <w:rPr>
                <w:rFonts w:ascii="Courier New" w:cs="Courier New" w:eastAsia="Courier New" w:hAnsi="Courier New"/>
                <w:sz w:val="17"/>
                <w:szCs w:val="17"/>
                <w:color w:val="auto"/>
              </w:rPr>
              <w:t>Stock options exercised</w:t>
            </w:r>
          </w:p>
        </w:tc>
        <w:tc>
          <w:tcPr>
            <w:tcW w:w="260" w:type="dxa"/>
            <w:vAlign w:val="bottom"/>
          </w:tcPr>
          <w:p>
            <w:pPr>
              <w:spacing w:after="0"/>
              <w:rPr>
                <w:sz w:val="17"/>
                <w:szCs w:val="17"/>
                <w:color w:val="auto"/>
              </w:rPr>
            </w:pPr>
          </w:p>
        </w:tc>
        <w:tc>
          <w:tcPr>
            <w:tcW w:w="1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w:t>
            </w:r>
          </w:p>
        </w:tc>
      </w:tr>
      <w:tr>
        <w:trPr>
          <w:trHeight w:val="201"/>
        </w:trPr>
        <w:tc>
          <w:tcPr>
            <w:tcW w:w="5760" w:type="dxa"/>
            <w:vAlign w:val="bottom"/>
          </w:tcPr>
          <w:p>
            <w:pPr>
              <w:ind w:left="120"/>
              <w:spacing w:after="0"/>
              <w:rPr>
                <w:sz w:val="20"/>
                <w:szCs w:val="20"/>
                <w:color w:val="auto"/>
              </w:rPr>
            </w:pPr>
            <w:r>
              <w:rPr>
                <w:rFonts w:ascii="Courier New" w:cs="Courier New" w:eastAsia="Courier New" w:hAnsi="Courier New"/>
                <w:sz w:val="17"/>
                <w:szCs w:val="17"/>
                <w:color w:val="auto"/>
              </w:rPr>
              <w:t>Repurchase of Company's Common Stock</w:t>
            </w:r>
          </w:p>
        </w:tc>
        <w:tc>
          <w:tcPr>
            <w:tcW w:w="260" w:type="dxa"/>
            <w:vAlign w:val="bottom"/>
          </w:tcPr>
          <w:p>
            <w:pPr>
              <w:spacing w:after="0"/>
              <w:rPr>
                <w:sz w:val="17"/>
                <w:szCs w:val="17"/>
                <w:color w:val="auto"/>
              </w:rPr>
            </w:pP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(999)</w:t>
            </w:r>
          </w:p>
        </w:tc>
        <w:tc>
          <w:tcPr>
            <w:tcW w:w="68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ind w:left="120"/>
              <w:spacing w:after="0"/>
              <w:rPr>
                <w:sz w:val="20"/>
                <w:szCs w:val="20"/>
                <w:color w:val="auto"/>
              </w:rPr>
            </w:pPr>
            <w:r>
              <w:rPr>
                <w:rFonts w:ascii="Courier New" w:cs="Courier New" w:eastAsia="Courier New" w:hAnsi="Courier New"/>
                <w:sz w:val="17"/>
                <w:szCs w:val="17"/>
                <w:color w:val="auto"/>
              </w:rPr>
              <w:t>Dividends</w:t>
            </w:r>
          </w:p>
        </w:tc>
        <w:tc>
          <w:tcPr>
            <w:tcW w:w="260" w:type="dxa"/>
            <w:vAlign w:val="bottom"/>
          </w:tcPr>
          <w:p>
            <w:pPr>
              <w:spacing w:after="0"/>
              <w:rPr>
                <w:sz w:val="17"/>
                <w:szCs w:val="17"/>
                <w:color w:val="auto"/>
              </w:rPr>
            </w:pP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(1,111)</w:t>
            </w:r>
          </w:p>
        </w:tc>
        <w:tc>
          <w:tcPr>
            <w:tcW w:w="6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(1,158)</w:t>
            </w:r>
          </w:p>
        </w:tc>
      </w:tr>
      <w:tr>
        <w:trPr>
          <w:trHeight w:val="201"/>
        </w:trPr>
        <w:tc>
          <w:tcPr>
            <w:tcW w:w="5760" w:type="dxa"/>
            <w:vAlign w:val="bottom"/>
          </w:tcPr>
          <w:p>
            <w:pPr>
              <w:spacing w:after="0"/>
              <w:rPr>
                <w:sz w:val="17"/>
                <w:szCs w:val="17"/>
                <w:color w:val="auto"/>
              </w:rPr>
            </w:pPr>
          </w:p>
        </w:tc>
        <w:tc>
          <w:tcPr>
            <w:tcW w:w="15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ind w:left="420"/>
              <w:spacing w:after="0"/>
              <w:rPr>
                <w:sz w:val="20"/>
                <w:szCs w:val="20"/>
                <w:color w:val="auto"/>
              </w:rPr>
            </w:pPr>
            <w:r>
              <w:rPr>
                <w:rFonts w:ascii="Courier New" w:cs="Courier New" w:eastAsia="Courier New" w:hAnsi="Courier New"/>
                <w:sz w:val="17"/>
                <w:szCs w:val="17"/>
                <w:color w:val="auto"/>
              </w:rPr>
              <w:t>Net cash provided (used) by financing activities</w:t>
            </w:r>
          </w:p>
        </w:tc>
        <w:tc>
          <w:tcPr>
            <w:tcW w:w="260" w:type="dxa"/>
            <w:vAlign w:val="bottom"/>
          </w:tcPr>
          <w:p>
            <w:pPr>
              <w:jc w:val="right"/>
              <w:ind w:right="53"/>
              <w:spacing w:after="0"/>
              <w:rPr>
                <w:sz w:val="20"/>
                <w:szCs w:val="20"/>
                <w:color w:val="auto"/>
              </w:rPr>
            </w:pPr>
            <w:r>
              <w:rPr>
                <w:rFonts w:ascii="Courier New" w:cs="Courier New" w:eastAsia="Courier New" w:hAnsi="Courier New"/>
                <w:sz w:val="17"/>
                <w:szCs w:val="17"/>
                <w:color w:val="auto"/>
                <w:w w:val="97"/>
              </w:rPr>
              <w:t>$</w:t>
            </w: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(4,298)</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1,770</w:t>
            </w:r>
          </w:p>
        </w:tc>
      </w:tr>
      <w:tr>
        <w:trPr>
          <w:trHeight w:val="201"/>
        </w:trPr>
        <w:tc>
          <w:tcPr>
            <w:tcW w:w="5760" w:type="dxa"/>
            <w:vAlign w:val="bottom"/>
          </w:tcPr>
          <w:p>
            <w:pPr>
              <w:spacing w:after="0"/>
              <w:rPr>
                <w:sz w:val="17"/>
                <w:szCs w:val="17"/>
                <w:color w:val="auto"/>
              </w:rPr>
            </w:pPr>
          </w:p>
        </w:tc>
        <w:tc>
          <w:tcPr>
            <w:tcW w:w="15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NET CHANGE IN CASH AND CASH EQUIVALENTS</w:t>
            </w:r>
          </w:p>
        </w:tc>
        <w:tc>
          <w:tcPr>
            <w:tcW w:w="260" w:type="dxa"/>
            <w:vAlign w:val="bottom"/>
          </w:tcPr>
          <w:p>
            <w:pPr>
              <w:spacing w:after="0"/>
              <w:rPr>
                <w:sz w:val="24"/>
                <w:szCs w:val="24"/>
                <w:color w:val="auto"/>
              </w:rPr>
            </w:pPr>
          </w:p>
        </w:tc>
        <w:tc>
          <w:tcPr>
            <w:tcW w:w="1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260" w:type="dxa"/>
            <w:vAlign w:val="bottom"/>
          </w:tcPr>
          <w:p>
            <w:pPr>
              <w:spacing w:after="0"/>
              <w:rPr>
                <w:sz w:val="17"/>
                <w:szCs w:val="17"/>
                <w:color w:val="auto"/>
              </w:rPr>
            </w:pPr>
          </w:p>
        </w:tc>
        <w:tc>
          <w:tcPr>
            <w:tcW w:w="1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spacing w:after="0"/>
              <w:rPr>
                <w:sz w:val="17"/>
                <w:szCs w:val="17"/>
                <w:color w:val="auto"/>
              </w:rPr>
            </w:pPr>
          </w:p>
        </w:tc>
        <w:tc>
          <w:tcPr>
            <w:tcW w:w="15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PERIOD-END</w:t>
            </w:r>
          </w:p>
        </w:tc>
        <w:tc>
          <w:tcPr>
            <w:tcW w:w="260" w:type="dxa"/>
            <w:vAlign w:val="bottom"/>
          </w:tcPr>
          <w:p>
            <w:pPr>
              <w:spacing w:after="0"/>
              <w:rPr>
                <w:sz w:val="17"/>
                <w:szCs w:val="17"/>
                <w:color w:val="auto"/>
              </w:rPr>
            </w:pPr>
          </w:p>
        </w:tc>
        <w:tc>
          <w:tcPr>
            <w:tcW w:w="1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spacing w:after="0"/>
              <w:rPr>
                <w:sz w:val="17"/>
                <w:szCs w:val="17"/>
                <w:color w:val="auto"/>
              </w:rPr>
            </w:pPr>
          </w:p>
        </w:tc>
        <w:tc>
          <w:tcPr>
            <w:tcW w:w="15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316" w:right="1440" w:bottom="1440" w:gutter="0" w:footer="0" w:header="0"/>
        </w:sectPr>
      </w:pPr>
    </w:p>
    <w:bookmarkStart w:id="7" w:name="page8"/>
    <w:bookmarkEnd w:id="7"/>
    <w:p>
      <w:pPr>
        <w:ind w:left="1840"/>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9019"/>
          </w:cols>
          <w:pgMar w:left="1440" w:top="34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343"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NN BALL &amp; ROLLER, INC.</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NOTE 1.</w:t>
        <w:tab/>
        <w:t>INTERIM FINANCIAL STATEMENTS</w:t>
      </w:r>
    </w:p>
    <w:p>
      <w:pPr>
        <w:spacing w:after="0" w:line="210"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The accompanying condensed financial statements of NN Ball &amp; Roller, Inc. have not been audited by independent accountants, except for the balance sheet at December 31, 1996. In the opinion of the Company's management, the financial statements reflect all adjustments necessary to present fairly the results of operations for the three-month periods ended March 31, 1997 and 1996, the Company's financial position at March 31, 1997 and December 31, 1996, and the cash flows for the three-month periods ended March 31, 1997 and 1996. These adjustments are of a normal recurring nature and are, in the opinion of management, necessary for fair presentation of the financial position and operating results for the interim periods.</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In February 1997, the FASB issued Statement No. 128, "Earnings Per Share" (FAS 128), which requires the computation and presentation of earnings per share (EPS) for entities with publicly held common stock or potential common stock. FAS 128 requires (a) presentation of basic and diluted EPS, if applicable, on the face of the income statement and (b) reconciliation of the numerator and denominator for each basic EPS computation and the numerator and denominator of each diluted EPS computation. FAS 128 is effective for financial statements for both interim and annual periods ending after December 15, 1997. The Company will adopt FAS 128 in the fourth quarter of 1997. Had FAS 128 been effective for the first quarter of 1997, basic and diluted EPS would have been $0.18 for the three months ended March 31, 1997, and $0.30 and $0.28, respectively, for the three months ended March 31, 1996.</w:t>
      </w:r>
    </w:p>
    <w:p>
      <w:pPr>
        <w:spacing w:after="0" w:line="201"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195" w:lineRule="exact"/>
        <w:rPr>
          <w:sz w:val="20"/>
          <w:szCs w:val="20"/>
          <w:color w:val="auto"/>
        </w:rPr>
      </w:pPr>
    </w:p>
    <w:p>
      <w:pPr>
        <w:ind w:right="2359"/>
        <w:spacing w:after="0" w:line="257" w:lineRule="auto"/>
        <w:rPr>
          <w:sz w:val="20"/>
          <w:szCs w:val="20"/>
          <w:color w:val="auto"/>
        </w:rPr>
      </w:pPr>
      <w:r>
        <w:rPr>
          <w:rFonts w:ascii="Courier New" w:cs="Courier New" w:eastAsia="Courier New" w:hAnsi="Courier New"/>
          <w:sz w:val="17"/>
          <w:szCs w:val="17"/>
          <w:color w:val="auto"/>
        </w:rPr>
        <w:t>The results for the first quarter of 1997 are not necessarily indicative of future results.</w:t>
      </w:r>
    </w:p>
    <w:p>
      <w:pPr>
        <w:spacing w:after="0" w:line="39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NOTE 2.</w:t>
        <w:tab/>
        <w:t>INVENTORIES</w:t>
      </w:r>
    </w:p>
    <w:p>
      <w:pPr>
        <w:spacing w:after="0" w:line="210" w:lineRule="exact"/>
        <w:rPr>
          <w:sz w:val="20"/>
          <w:szCs w:val="20"/>
          <w:color w:val="auto"/>
        </w:rPr>
      </w:pPr>
    </w:p>
    <w:p>
      <w:pPr>
        <w:ind w:right="2879"/>
        <w:spacing w:after="0" w:line="257" w:lineRule="auto"/>
        <w:rPr>
          <w:sz w:val="20"/>
          <w:szCs w:val="20"/>
          <w:color w:val="auto"/>
        </w:rPr>
      </w:pPr>
      <w:r>
        <w:rPr>
          <w:rFonts w:ascii="Courier New" w:cs="Courier New" w:eastAsia="Courier New" w:hAnsi="Courier New"/>
          <w:sz w:val="17"/>
          <w:szCs w:val="17"/>
          <w:color w:val="auto"/>
        </w:rPr>
        <w:t>Inventories are stated at the lower of cost or market, with cost being determined by the first-in, first-out method.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 are comprised of the following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20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MARCH 31,</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201"/>
        </w:trPr>
        <w:tc>
          <w:tcPr>
            <w:tcW w:w="5500" w:type="dxa"/>
            <w:vAlign w:val="bottom"/>
          </w:tcPr>
          <w:p>
            <w:pPr>
              <w:spacing w:after="0"/>
              <w:rPr>
                <w:sz w:val="17"/>
                <w:szCs w:val="17"/>
                <w:color w:val="auto"/>
              </w:rPr>
            </w:pPr>
          </w:p>
        </w:tc>
        <w:tc>
          <w:tcPr>
            <w:tcW w:w="20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1997</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1996</w:t>
            </w:r>
          </w:p>
        </w:tc>
      </w:tr>
      <w:tr>
        <w:trPr>
          <w:trHeight w:val="201"/>
        </w:trPr>
        <w:tc>
          <w:tcPr>
            <w:tcW w:w="5500" w:type="dxa"/>
            <w:vAlign w:val="bottom"/>
          </w:tcPr>
          <w:p>
            <w:pPr>
              <w:spacing w:after="0"/>
              <w:rPr>
                <w:sz w:val="17"/>
                <w:szCs w:val="17"/>
                <w:color w:val="auto"/>
              </w:rPr>
            </w:pP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(UNAUDITED)</w:t>
            </w:r>
          </w:p>
        </w:tc>
        <w:tc>
          <w:tcPr>
            <w:tcW w:w="1680" w:type="dxa"/>
            <w:vAlign w:val="bottom"/>
          </w:tcPr>
          <w:p>
            <w:pPr>
              <w:spacing w:after="0"/>
              <w:rPr>
                <w:sz w:val="17"/>
                <w:szCs w:val="17"/>
                <w:color w:val="auto"/>
              </w:rPr>
            </w:pPr>
          </w:p>
        </w:tc>
      </w:tr>
      <w:tr>
        <w:trPr>
          <w:trHeight w:val="201"/>
        </w:trPr>
        <w:tc>
          <w:tcPr>
            <w:tcW w:w="5500" w:type="dxa"/>
            <w:vAlign w:val="bottom"/>
          </w:tcPr>
          <w:p>
            <w:pPr>
              <w:spacing w:after="0"/>
              <w:rPr>
                <w:sz w:val="17"/>
                <w:szCs w:val="17"/>
                <w:color w:val="auto"/>
              </w:rPr>
            </w:pP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500" w:type="dxa"/>
            <w:vAlign w:val="bottom"/>
          </w:tcPr>
          <w:p>
            <w:pPr>
              <w:spacing w:after="0"/>
              <w:rPr>
                <w:sz w:val="20"/>
                <w:szCs w:val="20"/>
                <w:color w:val="auto"/>
              </w:rPr>
            </w:pPr>
            <w:r>
              <w:rPr>
                <w:rFonts w:ascii="Courier New" w:cs="Courier New" w:eastAsia="Courier New" w:hAnsi="Courier New"/>
                <w:sz w:val="17"/>
                <w:szCs w:val="17"/>
                <w:color w:val="auto"/>
              </w:rPr>
              <w:t>Raw materials</w:t>
            </w:r>
          </w:p>
        </w:tc>
        <w:tc>
          <w:tcPr>
            <w:tcW w:w="20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  1,236</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1,452</w:t>
            </w:r>
          </w:p>
        </w:tc>
      </w:tr>
      <w:tr>
        <w:trPr>
          <w:trHeight w:val="201"/>
        </w:trPr>
        <w:tc>
          <w:tcPr>
            <w:tcW w:w="5500" w:type="dxa"/>
            <w:vAlign w:val="bottom"/>
          </w:tcPr>
          <w:p>
            <w:pPr>
              <w:spacing w:after="0"/>
              <w:rPr>
                <w:sz w:val="20"/>
                <w:szCs w:val="20"/>
                <w:color w:val="auto"/>
              </w:rPr>
            </w:pPr>
            <w:r>
              <w:rPr>
                <w:rFonts w:ascii="Courier New" w:cs="Courier New" w:eastAsia="Courier New" w:hAnsi="Courier New"/>
                <w:sz w:val="17"/>
                <w:szCs w:val="17"/>
                <w:color w:val="auto"/>
              </w:rPr>
              <w:t>Work in process</w:t>
            </w:r>
          </w:p>
        </w:tc>
        <w:tc>
          <w:tcPr>
            <w:tcW w:w="20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2,848</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2,586</w:t>
            </w:r>
          </w:p>
        </w:tc>
      </w:tr>
      <w:tr>
        <w:trPr>
          <w:trHeight w:val="201"/>
        </w:trPr>
        <w:tc>
          <w:tcPr>
            <w:tcW w:w="550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20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6,423</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6,430</w:t>
            </w:r>
          </w:p>
        </w:tc>
      </w:tr>
      <w:tr>
        <w:trPr>
          <w:trHeight w:val="201"/>
        </w:trPr>
        <w:tc>
          <w:tcPr>
            <w:tcW w:w="5500" w:type="dxa"/>
            <w:vAlign w:val="bottom"/>
          </w:tcPr>
          <w:p>
            <w:pPr>
              <w:spacing w:after="0"/>
              <w:rPr>
                <w:sz w:val="17"/>
                <w:szCs w:val="17"/>
                <w:color w:val="auto"/>
              </w:rPr>
            </w:pPr>
          </w:p>
        </w:tc>
        <w:tc>
          <w:tcPr>
            <w:tcW w:w="20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500" w:type="dxa"/>
            <w:vAlign w:val="bottom"/>
          </w:tcPr>
          <w:p>
            <w:pPr>
              <w:spacing w:after="0"/>
              <w:rPr>
                <w:sz w:val="17"/>
                <w:szCs w:val="17"/>
                <w:color w:val="auto"/>
              </w:rPr>
            </w:pPr>
          </w:p>
        </w:tc>
        <w:tc>
          <w:tcPr>
            <w:tcW w:w="20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10,507</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10,468</w:t>
            </w:r>
          </w:p>
        </w:tc>
      </w:tr>
      <w:tr>
        <w:trPr>
          <w:trHeight w:val="201"/>
        </w:trPr>
        <w:tc>
          <w:tcPr>
            <w:tcW w:w="5500" w:type="dxa"/>
            <w:vAlign w:val="bottom"/>
          </w:tcPr>
          <w:p>
            <w:pPr>
              <w:spacing w:after="0"/>
              <w:rPr>
                <w:sz w:val="20"/>
                <w:szCs w:val="20"/>
                <w:color w:val="auto"/>
              </w:rPr>
            </w:pPr>
            <w:r>
              <w:rPr>
                <w:rFonts w:ascii="Courier New" w:cs="Courier New" w:eastAsia="Courier New" w:hAnsi="Courier New"/>
                <w:sz w:val="17"/>
                <w:szCs w:val="17"/>
                <w:color w:val="auto"/>
              </w:rPr>
              <w:t>Less - Reserve for excess and obsolete inventory</w:t>
            </w:r>
          </w:p>
        </w:tc>
        <w:tc>
          <w:tcPr>
            <w:tcW w:w="20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60</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60</w:t>
            </w:r>
          </w:p>
        </w:tc>
      </w:tr>
      <w:tr>
        <w:trPr>
          <w:trHeight w:val="201"/>
        </w:trPr>
        <w:tc>
          <w:tcPr>
            <w:tcW w:w="5500" w:type="dxa"/>
            <w:vAlign w:val="bottom"/>
          </w:tcPr>
          <w:p>
            <w:pPr>
              <w:spacing w:after="0"/>
              <w:rPr>
                <w:sz w:val="17"/>
                <w:szCs w:val="17"/>
                <w:color w:val="auto"/>
              </w:rPr>
            </w:pPr>
          </w:p>
        </w:tc>
        <w:tc>
          <w:tcPr>
            <w:tcW w:w="20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500" w:type="dxa"/>
            <w:vAlign w:val="bottom"/>
          </w:tcPr>
          <w:p>
            <w:pPr>
              <w:spacing w:after="0"/>
              <w:rPr>
                <w:sz w:val="17"/>
                <w:szCs w:val="17"/>
                <w:color w:val="auto"/>
              </w:rPr>
            </w:pPr>
          </w:p>
        </w:tc>
        <w:tc>
          <w:tcPr>
            <w:tcW w:w="20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$ 10,447</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$ 10,408</w:t>
            </w:r>
          </w:p>
        </w:tc>
      </w:tr>
      <w:tr>
        <w:trPr>
          <w:trHeight w:val="201"/>
        </w:trPr>
        <w:tc>
          <w:tcPr>
            <w:tcW w:w="5500" w:type="dxa"/>
            <w:vAlign w:val="bottom"/>
          </w:tcPr>
          <w:p>
            <w:pPr>
              <w:spacing w:after="0"/>
              <w:rPr>
                <w:sz w:val="17"/>
                <w:szCs w:val="17"/>
                <w:color w:val="auto"/>
              </w:rPr>
            </w:pPr>
          </w:p>
        </w:tc>
        <w:tc>
          <w:tcPr>
            <w:tcW w:w="20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316" w:right="1440" w:bottom="855" w:gutter="0" w:footer="0" w:header="0"/>
        </w:sectPr>
      </w:pPr>
    </w:p>
    <w:bookmarkStart w:id="9" w:name="page10"/>
    <w:bookmarkEnd w:id="9"/>
    <w:p>
      <w:pPr>
        <w:ind w:left="2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14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DISCUSSION AND ANALYSIS OF</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Net Sales. Net sales decreased by approximately $5.8 million, or 22.1%, from $26.1 million for the first quarter of 1996 to $20.3 million for the first quarter of 1997. Foreign sales decreased $5.2 million, or 34.6%, from $15.0 million in the first quarter of 1996 to $9.8 million during the first quarter of 1997. Domestic sales decreased $543,000, or 4.9%, from $11.1 million in the first quarter of 1996 to $10.5 million in the first quarter of 1997. The decrease in foreign sales was due primarily to the weak European economies and a slowing in the rate of outsourcing by customers with captive ball production. In addition, net sales in the first quarter of 1996 reflect approximately $2.5 million of carry over demand from the fourth quarter of 1995 associated with the tight raw material supply the Company experienced in 1995.</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Gross Profit. Gross profit decreased $2.0 million, or 23.9%, from $8.5 million for the first quarter of 1996 to $6.5 million for the first quarter of 1997. As a percentage of net sales, gross profit decreased from 32.7% in the first quarter of 1996 to 31.9% for the same period in 1997. The decrease in gross profit and gross profit as a percentage of sales was due primarily to decreased sales of 22.1% for the first quarter of 1997 as compared to the first quarter of 1996.</w:t>
      </w:r>
    </w:p>
    <w:p>
      <w:pPr>
        <w:spacing w:after="0" w:line="398"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Selling, General and Administrative. Selling, general and administrative expenses increased by $195,000, or 17.6%, from $1.1 million in the first quarter of 1996 to $1.3 million in the first quarter of 1997. This increase was due primarily to travel, legal and accounting costs associated with the Company's acquisition and plant start-up efforts. As a percentage of net sales, selling, general and administrative expenses increased from 4.3% for the first quarter of 1996 to 6.4% for the same period in 1997.</w:t>
      </w:r>
    </w:p>
    <w:p>
      <w:pPr>
        <w:spacing w:after="0" w:line="196"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Depreciation. Depreciation expense increased from $852,000 for the first quarter of 1996 to $1.1 million for the same period in 1997. This increase was due primarily to purchases of capital equipment associated with capacity additions at the Mountain City, Tennessee facility and, to a lessor extent, the Erwin, Tennessee and Walterboro, South Carolina facilities. As a percentage of net sales, depreciation expense increased from 3.3% for the first quarter of 1996 to 5.2% for the same period in 1997.</w:t>
      </w:r>
    </w:p>
    <w:p>
      <w:pPr>
        <w:spacing w:after="0" w:line="196"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Interest Expense. Interest expense decreased by $61,000, from $80,000 in the first quarter of 1996 to $19,000 during the same period in 1997. This decrease was due to a reduction in amounts outstanding under the Company's revolving credit facility with NationsBank during the first quarter of 1997. See "Management's Discussion and Analysis of Financial Condition and Results of Operations -- Liquidity and Capital Resources."</w:t>
      </w:r>
    </w:p>
    <w:p>
      <w:pPr>
        <w:spacing w:after="0" w:line="197"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Net Income. Net income decreased by $1.6 million, or 38.2%, from $4.3 million for the first quarter of 1996 to $2.6 million for the same period in 1997. As a percentage of net sales, net income decreased from 16.4% in the first quarter of 1996 to 13.0% for the first quarter of 1997. This decrease in net income as a percentage of net sales was due primarily to decreased gross profit as a percentage of net sales, as well as increased selling, general and administrative expenses and depreciation as a percentage of net sales as explained above.</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10"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In February 1995, the Company entered into a loan agreement with NationsBank of Tennessee N.A. ("NationsBank"). The loan agreement provides for a revolving credit facility of up to $10.0 million, which will expire on May 31, 1998.</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6" w:right="1440" w:bottom="86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Amounts outstanding under the revolving facility are unsecured and bear interest at a floating rate equal to, at the Company's option, either the NationsBank prime commercial rate minus 1.0% or LIBOR plus 1.15% (or LIBOR plus 1.0% if the minimum advance is at least $1.0 million). The loan agreement contains customary financial and operating restrictions on the Company, including covenants restricting the Company, without NationsBank's consent, from pledging its inventory, accounts receivable or other assets to other lenders or from acquiring any other businesses if the aggregate expenditures by the Company in connection with such acquisitions would exceed a certain threshold in any fiscal year. In addition, the Company is prohibited from declaring or paying any dividend if an event of default exists under the revolving credit facility at the time of, or would occur as a result of, such declaration or payment. The loan agreement also contains customary covenants requiring the satisfaction of certain financial tests and the maintenance of certain financial ratios, including covenants requiring the Company to maintain a tangible net worth of not less than $25.0 million, working capital of not less than the greater of $10.0 million or 15% of revenues, as computed on a rolling 12 month basis, a ratio of total debt to net worth of not more than 1 to 1, and a ratio of current assets to current liabilities of not less than 1.5 to 1. The Company, as of March 31, 1997, was in compliance with all such covenants. The outstanding principal balance of the Company's borrowings under the revolving facility as of March 31, 1997 was $120,000.</w:t>
      </w:r>
    </w:p>
    <w:p>
      <w:pPr>
        <w:spacing w:after="0" w:line="200" w:lineRule="exact"/>
        <w:rPr>
          <w:sz w:val="20"/>
          <w:szCs w:val="20"/>
          <w:color w:val="auto"/>
        </w:rPr>
      </w:pPr>
    </w:p>
    <w:p>
      <w:pPr>
        <w:spacing w:after="0" w:line="203"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Due to the continuing expansion of the Company's foreign sales, management believes that the Company's working capital requirements will increase as a result of longer payment terms provided to foreign customers. 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200" w:lineRule="exact"/>
        <w:rPr>
          <w:sz w:val="20"/>
          <w:szCs w:val="20"/>
          <w:color w:val="auto"/>
        </w:rPr>
      </w:pPr>
    </w:p>
    <w:p>
      <w:pPr>
        <w:spacing w:after="0" w:line="203"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Currently, all foreign sales are billed and paid for in United States dollars. To date, the Company has not been materially adversely affected by currency fluctuations or foreign exchange restrictions, although a continued strengthening of the U.S. dollar against foreign currencies may impair the ability of the Company to compete with foreign based competitors for international as well as domestic sales. As the Company's international operations continue to grow, foreign exchange risk may increase, and the Company may be required to develop and implement additional strategies to manage this risk.</w:t>
      </w:r>
    </w:p>
    <w:p>
      <w:pPr>
        <w:spacing w:after="0" w:line="200" w:lineRule="exact"/>
        <w:rPr>
          <w:sz w:val="20"/>
          <w:szCs w:val="20"/>
          <w:color w:val="auto"/>
        </w:rPr>
      </w:pPr>
    </w:p>
    <w:p>
      <w:pPr>
        <w:spacing w:after="0" w:line="203"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Working capital, which consists principally of accounts receivable and inventories was $19.1 million at March 31, 1997 as compared to $18.4 million at December 31, 1996. The ratio of current assets to current liabilities increased to 3.3:1 at March 31, 1997 from 3.2:1 at December 31, 1996. This increase was due primarily to slightly higher inventory and accounts receivable amounts and the decrease in amounts drawn under the revolving credit facility. Cash flow from operations increased from $2.1 million during the first quarter 1996 to $5.1 million during the first quarter 1997. This increase was primarily attributed to an increase of $4.3 million in accounts receivable for the first quarter of 1996 as compared to an increase of $361,000 for the first quarter of 1997 and a decrease of $819,000 in accounts payable for the first quarter of 1996 as compared to an increase of $456,000 for the first quarter of 1997.</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During 1997, the Company plans to spend approximately $10.8 million on capital expenditures (of which $822,000 has been spent through March 31, 1997) including the purchase and renovation of a manufacturing facility and related equipment in Ireland and the purchase of additional machinery and equipment for all three of the Company's U.S. facilities.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1997.</w:t>
      </w:r>
    </w:p>
    <w:p>
      <w:pPr>
        <w:sectPr>
          <w:pgSz w:w="11900" w:h="16838" w:orient="portrait"/>
          <w:cols w:equalWidth="0" w:num="1">
            <w:col w:w="10219"/>
          </w:cols>
          <w:pgMar w:left="240" w:top="316" w:right="1440" w:bottom="449" w:gutter="0" w:footer="0" w:header="0"/>
        </w:sectPr>
      </w:pPr>
    </w:p>
    <w:bookmarkStart w:id="12" w:name="page13"/>
    <w:bookmarkEnd w:id="12"/>
    <w:p>
      <w:pPr>
        <w:ind w:left="2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343"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CAUTIONARY STATEMENTS FOR PURPOSES OF THE "SAFE HARBOR" PROVISIONS OF THE PRIVATE SECURITIES LITIGATION REFORM ACT OF 1995</w:t>
      </w:r>
    </w:p>
    <w:p>
      <w:pPr>
        <w:spacing w:after="0" w:line="192"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filling and in the Company's prior fillings.</w:t>
      </w:r>
    </w:p>
    <w:p>
      <w:pPr>
        <w:spacing w:after="0" w:line="196"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 following paragraphs discuss the risk factors the Company regard as the most significant, although the Company wishes to caution that other factors that are currently not considered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196"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Industry Risks. The precision ball and roller industry is cyclical and tends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197"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Competition. The precision ball and roller market is highly competitive, and many of the ball and roller manufacturers in the market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apace with such quality improvements. In addition, the Company competes with many of its customers that, in addition to producing bearings, also internally produce balls and rollers for sale to third parties. The Company also faces a risk that its customers will decide to produce balls and rollers internally rather than outsourcing their needs to the Company.</w:t>
      </w:r>
    </w:p>
    <w:p>
      <w:pPr>
        <w:spacing w:after="0" w:line="200" w:lineRule="exact"/>
        <w:rPr>
          <w:sz w:val="20"/>
          <w:szCs w:val="20"/>
          <w:color w:val="auto"/>
        </w:rPr>
      </w:pPr>
    </w:p>
    <w:p>
      <w:pPr>
        <w:spacing w:after="0" w:line="203"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Rapid Growth. The Company has significantly expanded its production facilities and capacity over the last several years. The Company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its plant expansions.</w:t>
      </w:r>
    </w:p>
    <w:p>
      <w:pPr>
        <w:spacing w:after="0" w:line="197"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97"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Risks Associated with International Trade. Because the Company obtains a majority of its raw materials from overseas suppliers and sells to a large number of international customers, the Company faces risks associated with (i) adverse foreign currency fluctuations, (ii) changes in trade, monetary and fiscal policies, laws and regulations, and other activities of governments, agencies and similar organizations, (iii) the imposition of trade restrictions or prohibitions, (iv) the imposition of import or other changes or taxes, and</w:t>
      </w:r>
    </w:p>
    <w:p>
      <w:pPr>
        <w:ind w:right="1839" w:firstLine="7"/>
        <w:spacing w:after="0" w:line="253"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unstable governments or legal systems in countries in which the Company's suppliers and customers are located. Currently, all foreign sales are billed and paid for in United States dollars. An increase in the value of the United States dollar relative to foreign currencies may adversely affect the</w:t>
      </w:r>
    </w:p>
    <w:p>
      <w:pPr>
        <w:spacing w:after="0" w:line="200" w:lineRule="exact"/>
        <w:rPr>
          <w:sz w:val="20"/>
          <w:szCs w:val="20"/>
          <w:color w:val="auto"/>
        </w:rPr>
      </w:pPr>
    </w:p>
    <w:p>
      <w:pPr>
        <w:spacing w:after="0" w:line="398"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6" w:right="1440" w:bottom="457"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679"/>
        <w:spacing w:after="0" w:line="257" w:lineRule="auto"/>
        <w:rPr>
          <w:sz w:val="20"/>
          <w:szCs w:val="20"/>
          <w:color w:val="auto"/>
        </w:rPr>
      </w:pPr>
      <w:r>
        <w:rPr>
          <w:rFonts w:ascii="Courier New" w:cs="Courier New" w:eastAsia="Courier New" w:hAnsi="Courier New"/>
          <w:sz w:val="17"/>
          <w:szCs w:val="17"/>
          <w:color w:val="auto"/>
        </w:rPr>
        <w:t>ability of the Company to compete with its foreign-based competitors for international as well as domestic sales.</w:t>
      </w:r>
    </w:p>
    <w:p>
      <w:pPr>
        <w:spacing w:after="0" w:line="192"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Dependence on Major Customers. During 1996, the Company's ten largest customers accounted for approximately 78% of its net sales. Sales to various U.S. and foreign divisions of SKF, which is one of the largest bearing manufacturers in the world, accounted for approximately 37% of net sales in 1996, and sales to FAG accounted for approximately 10% of net sales. The Company currently negotiates and contracts with various purchasing units within SKF and believes that, in certain respects, such units operate independently with respect to purchasing decisions. There can be no assurance, however, that SKF will not centralize purchasing decisions in the future. None of the Company's other customers accounted for more than 10% of its net sales in 1996, but sales to three of its customers each represented more than 5% of the Company's 1996 net sales. the loss of all or a substantial portion of sales to these customers would have a material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6"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659"/>
        <w:spacing w:after="0"/>
        <w:rPr>
          <w:sz w:val="20"/>
          <w:szCs w:val="20"/>
          <w:color w:val="auto"/>
        </w:rPr>
      </w:pPr>
      <w:r>
        <w:rPr>
          <w:rFonts w:ascii="Courier New" w:cs="Courier New" w:eastAsia="Courier New" w:hAnsi="Courier New"/>
          <w:sz w:val="17"/>
          <w:szCs w:val="17"/>
          <w:color w:val="auto"/>
        </w:rPr>
        <w:t>PART II. OTHER INFORMATION</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Reports on Form 8-K</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Exhibitss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Data Schedule (for 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16"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12" w:lineRule="exact"/>
        <w:rPr>
          <w:sz w:val="20"/>
          <w:szCs w:val="20"/>
          <w:color w:val="auto"/>
        </w:rPr>
      </w:pPr>
    </w:p>
    <w:p>
      <w:pPr>
        <w:jc w:val="both"/>
        <w:ind w:right="2679"/>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jc w:val="center"/>
              <w:ind w:left="513"/>
              <w:spacing w:after="0"/>
              <w:rPr>
                <w:sz w:val="20"/>
                <w:szCs w:val="20"/>
                <w:color w:val="auto"/>
              </w:rPr>
            </w:pPr>
            <w:r>
              <w:rPr>
                <w:rFonts w:ascii="Courier New" w:cs="Courier New" w:eastAsia="Courier New" w:hAnsi="Courier New"/>
                <w:sz w:val="17"/>
                <w:szCs w:val="17"/>
                <w:color w:val="auto"/>
              </w:rPr>
              <w:t>NN Ball &amp; Roller, Inc.</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jc w:val="center"/>
              <w:ind w:left="513"/>
              <w:spacing w:after="0"/>
              <w:rPr>
                <w:sz w:val="20"/>
                <w:szCs w:val="20"/>
                <w:color w:val="auto"/>
              </w:rPr>
            </w:pPr>
            <w:r>
              <w:rPr>
                <w:rFonts w:ascii="Courier New" w:cs="Courier New" w:eastAsia="Courier New" w:hAnsi="Courier New"/>
                <w:sz w:val="17"/>
                <w:szCs w:val="17"/>
                <w:color w:val="auto"/>
              </w:rPr>
              <w:t>(Registrant)</w:t>
            </w:r>
          </w:p>
        </w:tc>
      </w:tr>
      <w:tr>
        <w:trPr>
          <w:trHeight w:val="604"/>
        </w:trPr>
        <w:tc>
          <w:tcPr>
            <w:tcW w:w="68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May 14, 1997</w:t>
            </w:r>
          </w:p>
        </w:tc>
        <w:tc>
          <w:tcPr>
            <w:tcW w:w="4980" w:type="dxa"/>
            <w:vAlign w:val="bottom"/>
          </w:tcPr>
          <w:p>
            <w:pPr>
              <w:ind w:left="1740"/>
              <w:spacing w:after="0"/>
              <w:rPr>
                <w:sz w:val="20"/>
                <w:szCs w:val="20"/>
                <w:color w:val="auto"/>
              </w:rPr>
            </w:pPr>
            <w:r>
              <w:rPr>
                <w:rFonts w:ascii="Courier New" w:cs="Courier New" w:eastAsia="Courier New" w:hAnsi="Courier New"/>
                <w:sz w:val="17"/>
                <w:szCs w:val="17"/>
                <w:color w:val="auto"/>
              </w:rPr>
              <w:t>/s/ James J. Mitchell</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1220"/>
              <w:spacing w:after="0"/>
              <w:rPr>
                <w:sz w:val="20"/>
                <w:szCs w:val="20"/>
                <w:color w:val="auto"/>
              </w:rPr>
            </w:pPr>
            <w:r>
              <w:rPr>
                <w:rFonts w:ascii="Courier New" w:cs="Courier New" w:eastAsia="Courier New" w:hAnsi="Courier New"/>
                <w:sz w:val="17"/>
                <w:szCs w:val="17"/>
                <w:color w:val="auto"/>
              </w:rPr>
              <w:t>James J. Mitchell, President</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1740"/>
              <w:spacing w:after="0"/>
              <w:rPr>
                <w:sz w:val="20"/>
                <w:szCs w:val="20"/>
                <w:color w:val="auto"/>
              </w:rPr>
            </w:pPr>
            <w:r>
              <w:rPr>
                <w:rFonts w:ascii="Courier New" w:cs="Courier New" w:eastAsia="Courier New" w:hAnsi="Courier New"/>
                <w:sz w:val="17"/>
                <w:szCs w:val="17"/>
                <w:color w:val="auto"/>
              </w:rPr>
              <w:t>and Chief Operating</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2460"/>
              <w:spacing w:after="0"/>
              <w:rPr>
                <w:sz w:val="20"/>
                <w:szCs w:val="20"/>
                <w:color w:val="auto"/>
              </w:rPr>
            </w:pPr>
            <w:r>
              <w:rPr>
                <w:rFonts w:ascii="Courier New" w:cs="Courier New" w:eastAsia="Courier New" w:hAnsi="Courier New"/>
                <w:sz w:val="17"/>
                <w:szCs w:val="17"/>
                <w:color w:val="auto"/>
              </w:rPr>
              <w:t>Officer</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1420"/>
              <w:spacing w:after="0"/>
              <w:rPr>
                <w:sz w:val="20"/>
                <w:szCs w:val="20"/>
                <w:color w:val="auto"/>
              </w:rPr>
            </w:pPr>
            <w:r>
              <w:rPr>
                <w:rFonts w:ascii="Courier New" w:cs="Courier New" w:eastAsia="Courier New" w:hAnsi="Courier New"/>
                <w:sz w:val="17"/>
                <w:szCs w:val="17"/>
                <w:color w:val="auto"/>
              </w:rPr>
              <w:t>(Duly Authorized Officer)</w:t>
            </w:r>
          </w:p>
        </w:tc>
      </w:tr>
      <w:tr>
        <w:trPr>
          <w:trHeight w:val="604"/>
        </w:trPr>
        <w:tc>
          <w:tcPr>
            <w:tcW w:w="68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May 14, 1997</w:t>
            </w:r>
          </w:p>
        </w:tc>
        <w:tc>
          <w:tcPr>
            <w:tcW w:w="4980" w:type="dxa"/>
            <w:vAlign w:val="bottom"/>
          </w:tcPr>
          <w:p>
            <w:pPr>
              <w:ind w:left="1320"/>
              <w:spacing w:after="0"/>
              <w:rPr>
                <w:sz w:val="20"/>
                <w:szCs w:val="20"/>
                <w:color w:val="auto"/>
              </w:rPr>
            </w:pPr>
            <w:r>
              <w:rPr>
                <w:rFonts w:ascii="Courier New" w:cs="Courier New" w:eastAsia="Courier New" w:hAnsi="Courier New"/>
                <w:sz w:val="17"/>
                <w:szCs w:val="17"/>
                <w:color w:val="auto"/>
              </w:rPr>
              <w:t>/s/ Roderick R. Baty</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1740"/>
              <w:spacing w:after="0"/>
              <w:rPr>
                <w:sz w:val="20"/>
                <w:szCs w:val="20"/>
                <w:color w:val="auto"/>
              </w:rPr>
            </w:pPr>
            <w:r>
              <w:rPr>
                <w:rFonts w:ascii="Courier New" w:cs="Courier New" w:eastAsia="Courier New" w:hAnsi="Courier New"/>
                <w:sz w:val="17"/>
                <w:szCs w:val="17"/>
                <w:color w:val="auto"/>
              </w:rPr>
              <w:t>Roderick R. Baty</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1000"/>
              <w:spacing w:after="0"/>
              <w:rPr>
                <w:sz w:val="20"/>
                <w:szCs w:val="20"/>
                <w:color w:val="auto"/>
              </w:rPr>
            </w:pPr>
            <w:r>
              <w:rPr>
                <w:rFonts w:ascii="Courier New" w:cs="Courier New" w:eastAsia="Courier New" w:hAnsi="Courier New"/>
                <w:sz w:val="17"/>
                <w:szCs w:val="17"/>
                <w:color w:val="auto"/>
              </w:rPr>
              <w:t>Chief Financial Officer and</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1740"/>
              <w:spacing w:after="0"/>
              <w:rPr>
                <w:sz w:val="20"/>
                <w:szCs w:val="20"/>
                <w:color w:val="auto"/>
              </w:rPr>
            </w:pPr>
            <w:r>
              <w:rPr>
                <w:rFonts w:ascii="Courier New" w:cs="Courier New" w:eastAsia="Courier New" w:hAnsi="Courier New"/>
                <w:sz w:val="17"/>
                <w:szCs w:val="17"/>
                <w:color w:val="auto"/>
              </w:rPr>
              <w:t>Vice President</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1000"/>
              <w:spacing w:after="0"/>
              <w:rPr>
                <w:sz w:val="20"/>
                <w:szCs w:val="20"/>
                <w:color w:val="auto"/>
              </w:rPr>
            </w:pPr>
            <w:r>
              <w:rPr>
                <w:rFonts w:ascii="Courier New" w:cs="Courier New" w:eastAsia="Courier New" w:hAnsi="Courier New"/>
                <w:sz w:val="17"/>
                <w:szCs w:val="17"/>
                <w:color w:val="auto"/>
              </w:rPr>
              <w:t>(Principal Financial Officer)</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1220"/>
              <w:spacing w:after="0"/>
              <w:rPr>
                <w:sz w:val="20"/>
                <w:szCs w:val="20"/>
                <w:color w:val="auto"/>
              </w:rPr>
            </w:pPr>
            <w:r>
              <w:rPr>
                <w:rFonts w:ascii="Courier New" w:cs="Courier New" w:eastAsia="Courier New" w:hAnsi="Courier New"/>
                <w:sz w:val="17"/>
                <w:szCs w:val="17"/>
                <w:color w:val="auto"/>
              </w:rPr>
              <w:t>(Duly Authorized Officer)</w:t>
            </w:r>
          </w:p>
        </w:tc>
      </w:tr>
      <w:tr>
        <w:trPr>
          <w:trHeight w:val="604"/>
        </w:trPr>
        <w:tc>
          <w:tcPr>
            <w:tcW w:w="68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May 14, 1997</w:t>
            </w:r>
          </w:p>
        </w:tc>
        <w:tc>
          <w:tcPr>
            <w:tcW w:w="4980" w:type="dxa"/>
            <w:vAlign w:val="bottom"/>
          </w:tcPr>
          <w:p>
            <w:pPr>
              <w:ind w:left="1320"/>
              <w:spacing w:after="0"/>
              <w:rPr>
                <w:sz w:val="20"/>
                <w:szCs w:val="20"/>
                <w:color w:val="auto"/>
              </w:rPr>
            </w:pPr>
            <w:r>
              <w:rPr>
                <w:rFonts w:ascii="Courier New" w:cs="Courier New" w:eastAsia="Courier New" w:hAnsi="Courier New"/>
                <w:sz w:val="17"/>
                <w:szCs w:val="17"/>
                <w:color w:val="auto"/>
              </w:rPr>
              <w:t>/s/ William C. Kelly, Jr.</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1740"/>
              <w:spacing w:after="0"/>
              <w:rPr>
                <w:sz w:val="20"/>
                <w:szCs w:val="20"/>
                <w:color w:val="auto"/>
              </w:rPr>
            </w:pPr>
            <w:r>
              <w:rPr>
                <w:rFonts w:ascii="Courier New" w:cs="Courier New" w:eastAsia="Courier New" w:hAnsi="Courier New"/>
                <w:sz w:val="17"/>
                <w:szCs w:val="17"/>
                <w:color w:val="auto"/>
              </w:rPr>
              <w:t>William C. Kelly, Jr.,</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jc w:val="center"/>
              <w:ind w:left="493"/>
              <w:spacing w:after="0"/>
              <w:rPr>
                <w:sz w:val="20"/>
                <w:szCs w:val="20"/>
                <w:color w:val="auto"/>
              </w:rPr>
            </w:pPr>
            <w:r>
              <w:rPr>
                <w:rFonts w:ascii="Courier New" w:cs="Courier New" w:eastAsia="Courier New" w:hAnsi="Courier New"/>
                <w:sz w:val="17"/>
                <w:szCs w:val="17"/>
                <w:color w:val="auto"/>
              </w:rPr>
              <w:t>Treasurer, Assistant Secretary and</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jc w:val="center"/>
              <w:ind w:left="493"/>
              <w:spacing w:after="0"/>
              <w:rPr>
                <w:sz w:val="20"/>
                <w:szCs w:val="20"/>
                <w:color w:val="auto"/>
              </w:rPr>
            </w:pPr>
            <w:r>
              <w:rPr>
                <w:rFonts w:ascii="Courier New" w:cs="Courier New" w:eastAsia="Courier New" w:hAnsi="Courier New"/>
                <w:sz w:val="17"/>
                <w:szCs w:val="17"/>
                <w:color w:val="auto"/>
              </w:rPr>
              <w:t>Chief Accounting Officer</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1320"/>
              <w:spacing w:after="0"/>
              <w:rPr>
                <w:sz w:val="20"/>
                <w:szCs w:val="20"/>
                <w:color w:val="auto"/>
              </w:rPr>
            </w:pPr>
            <w:r>
              <w:rPr>
                <w:rFonts w:ascii="Courier New" w:cs="Courier New" w:eastAsia="Courier New" w:hAnsi="Courier New"/>
                <w:sz w:val="17"/>
                <w:szCs w:val="17"/>
                <w:color w:val="auto"/>
              </w:rPr>
              <w:t>(Principal Accounting Officer)</w:t>
            </w:r>
          </w:p>
        </w:tc>
      </w:tr>
      <w:tr>
        <w:trPr>
          <w:trHeight w:val="201"/>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80" w:type="dxa"/>
            <w:vAlign w:val="bottom"/>
          </w:tcPr>
          <w:p>
            <w:pPr>
              <w:ind w:left="1640"/>
              <w:spacing w:after="0"/>
              <w:rPr>
                <w:sz w:val="20"/>
                <w:szCs w:val="20"/>
                <w:color w:val="auto"/>
              </w:rPr>
            </w:pPr>
            <w:r>
              <w:rPr>
                <w:rFonts w:ascii="Courier New" w:cs="Courier New" w:eastAsia="Courier New" w:hAnsi="Courier New"/>
                <w:sz w:val="17"/>
                <w:szCs w:val="17"/>
                <w:color w:val="auto"/>
              </w:rPr>
              <w:t>(Duly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 DOLLARS</w:t>
      </w:r>
    </w:p>
    <w:p>
      <w:pPr>
        <w:spacing w:after="0" w:line="200" w:lineRule="exact"/>
        <w:rPr>
          <w:sz w:val="20"/>
          <w:szCs w:val="20"/>
          <w:color w:val="auto"/>
        </w:rPr>
      </w:pPr>
    </w:p>
    <w:p>
      <w:pPr>
        <w:spacing w:after="0" w:line="212"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3-MOS</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DEC-31-1997</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JAN-01-1997</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MAR-31-1997</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1</w:t>
      </w:r>
    </w:p>
    <w:p>
      <w:pPr>
        <w:spacing w:after="0" w:line="9"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16,355</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(240)</w:t>
      </w:r>
    </w:p>
    <w:p>
      <w:pPr>
        <w:spacing w:after="0" w:line="9"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10,447</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27,329</w:t>
      </w:r>
    </w:p>
    <w:p>
      <w:pPr>
        <w:spacing w:after="0" w:line="9"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53,618</w:t>
      </w:r>
    </w:p>
    <w:p>
      <w:pPr>
        <w:spacing w:after="0" w:line="9"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7"/>
          <w:szCs w:val="17"/>
          <w:color w:val="auto"/>
        </w:rPr>
        <w:t>(21,429)</w:t>
      </w:r>
    </w:p>
    <w:p>
      <w:pPr>
        <w:spacing w:after="0" w:line="9"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7"/>
          <w:szCs w:val="17"/>
          <w:color w:val="auto"/>
        </w:rPr>
        <w:t>59,629</w:t>
      </w:r>
    </w:p>
    <w:p>
      <w:pPr>
        <w:spacing w:after="0" w:line="9"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8,182</w:t>
      </w:r>
    </w:p>
    <w:p>
      <w:pPr>
        <w:spacing w:after="0" w:line="9"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146</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49,093</w:t>
      </w:r>
    </w:p>
    <w:p>
      <w:pPr>
        <w:spacing w:after="0" w:line="9"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59,629</w:t>
      </w:r>
    </w:p>
    <w:p>
      <w:pPr>
        <w:spacing w:after="0" w:line="9"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20,319</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20,319</w:t>
      </w:r>
    </w:p>
    <w:p>
      <w:pPr>
        <w:spacing w:after="0" w:line="9"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7"/>
          <w:szCs w:val="17"/>
          <w:color w:val="auto"/>
        </w:rPr>
        <w:t>13,838</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13,838</w:t>
      </w:r>
    </w:p>
    <w:p>
      <w:pPr>
        <w:spacing w:after="0" w:line="9"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2,357</w:t>
      </w:r>
    </w:p>
    <w:p>
      <w:pPr>
        <w:spacing w:after="0" w:line="9"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19</w:t>
      </w:r>
    </w:p>
    <w:p>
      <w:pPr>
        <w:spacing w:after="0" w:line="9"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4,105</w:t>
      </w:r>
    </w:p>
    <w:p>
      <w:pPr>
        <w:spacing w:after="0" w:line="9"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1,466</w:t>
      </w:r>
    </w:p>
    <w:p>
      <w:pPr>
        <w:spacing w:after="0" w:line="9"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2,639</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2,639</w:t>
      </w:r>
    </w:p>
    <w:p>
      <w:pPr>
        <w:spacing w:after="0" w:line="9"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0.18</w:t>
      </w:r>
    </w:p>
    <w:p>
      <w:pPr>
        <w:spacing w:after="0" w:line="9"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0.18</w:t>
      </w:r>
    </w:p>
    <w:sectPr>
      <w:pgSz w:w="11900" w:h="16838" w:orient="portrait"/>
      <w:cols w:equalWidth="0" w:num="1">
        <w:col w:w="10099"/>
      </w:cols>
      <w:pgMar w:left="360" w:top="5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40"/>
    </w:lvl>
  </w:abstractNum>
  <w:abstractNum w:abstractNumId="3">
    <w:nsid w:val="625558EC"/>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2019-12-12T07:37:08Z</dcterms:created>
  <dcterms:modified xsi:type="dcterms:W3CDTF">2019-12-12T07:37:08Z</dcterms:modified>
</cp:coreProperties>
</file>