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March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On March 4, 2026, NN, Inc. (the “Company”) issued a press release announcing the Company’s financial results for the quarter and year ended December 31, 2025.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On March 4, 2026, the Company posted a supplemental presentation to its website, https://investors.nninc.com/, which will be presented during its quarterly investor conference call on March 5, 2026, at 9:00 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issued by NN, Inc., dated March 4, 2026</w:t>
            </w: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2100" w:type="dxa"/>
            <w:vAlign w:val="bottom"/>
            <w:tcBorders>
              <w:top w:val="single" w:sz="8" w:color="0000FF"/>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Earnings Presentation, dated March 5, 2026</w:t>
            </w:r>
          </w:p>
        </w:tc>
        <w:tc>
          <w:tcPr>
            <w:tcW w:w="520" w:type="dxa"/>
            <w:vAlign w:val="bottom"/>
            <w:tcBorders>
              <w:top w:val="single" w:sz="8" w:color="0000FF"/>
            </w:tcBorders>
          </w:tcPr>
          <w:p>
            <w:pPr>
              <w:spacing w:after="0"/>
              <w:rPr>
                <w:sz w:val="11"/>
                <w:szCs w:val="11"/>
                <w:color w:val="auto"/>
              </w:rPr>
            </w:pPr>
          </w:p>
        </w:tc>
        <w:tc>
          <w:tcPr>
            <w:tcW w:w="8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March 4, 2026</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848995</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448945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IMMEDIATE RELEASE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NN, INC. REPORTS FOURTH QUARTER AND FULL YEAR 2025 RESULTS</w:t>
      </w:r>
    </w:p>
    <w:p>
      <w:pPr>
        <w:spacing w:after="0" w:line="173" w:lineRule="exact"/>
        <w:rPr>
          <w:sz w:val="20"/>
          <w:szCs w:val="20"/>
          <w:color w:val="auto"/>
        </w:rPr>
      </w:pPr>
    </w:p>
    <w:p>
      <w:pPr>
        <w:ind w:left="3140" w:right="2800" w:hanging="343"/>
        <w:spacing w:after="0" w:line="533" w:lineRule="auto"/>
        <w:tabs>
          <w:tab w:leader="none" w:pos="3014"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delivers third consecutive year of successful transformation; completes majority of heavy spending NN forecasts fourth year of improvement, and a return to organic net sales growth in 2026</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color w:val="auto"/>
        </w:rPr>
        <w:t xml:space="preserve">CHARLOTTE, N.C., March 4, 2026 </w:t>
      </w:r>
      <w:r>
        <w:rPr>
          <w:rFonts w:ascii="Arial" w:cs="Arial" w:eastAsia="Arial" w:hAnsi="Arial"/>
          <w:sz w:val="13"/>
          <w:szCs w:val="13"/>
          <w:color w:val="auto"/>
        </w:rPr>
        <w:t>– NN, Inc. (NASDAQ: NNBR) (“NN” or the “Company”), a global diversified industrial company that engineers and manufactures high-precision components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assemblies, today reported its financial results for the fourth quarter and full-year ended December 31, 2025. </w:t>
      </w:r>
      <w:r>
        <w:rPr>
          <w:rFonts w:ascii="Arial" w:cs="Arial" w:eastAsia="Arial" w:hAnsi="Arial"/>
          <w:sz w:val="13"/>
          <w:szCs w:val="13"/>
          <w:color w:val="101820"/>
        </w:rPr>
        <w:t>Key results include: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101820"/>
        </w:rPr>
        <w:t>Financial Highlights</w:t>
      </w:r>
    </w:p>
    <w:p>
      <w:pPr>
        <w:spacing w:after="0" w:line="67" w:lineRule="exact"/>
        <w:rPr>
          <w:sz w:val="20"/>
          <w:szCs w:val="20"/>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net sales of $104.7 million and full-year 2025 net sales $422.2 million</w:t>
      </w:r>
    </w:p>
    <w:p>
      <w:pPr>
        <w:spacing w:after="0" w:line="75"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gross margin of 9.2% and full-year 2025 gross margin of 14.1%</w:t>
      </w:r>
    </w:p>
    <w:p>
      <w:pPr>
        <w:spacing w:after="0" w:line="66"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adjusted gross margin of approximately 18.8%, up 120 bps and approaching the Company's five-year target of 20%</w:t>
      </w:r>
    </w:p>
    <w:p>
      <w:pPr>
        <w:spacing w:after="0" w:line="75"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operating loss of $10.4 million, and full-year 2025 operating loss of $18.9 million, improving 38.3% and 31.3%, respectively</w:t>
      </w:r>
    </w:p>
    <w:p>
      <w:pPr>
        <w:spacing w:after="0" w:line="66"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adjusted operating income of $3.3 million and full-year 2025 adjusted operating income of $14.2 million, improving 34.2% and 180.0%, respectively</w:t>
      </w:r>
    </w:p>
    <w:p>
      <w:pPr>
        <w:spacing w:after="0" w:line="75"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GAAP net loss of $11.3 million or $0.35 per share and full year 2025 GAAP net loss of $24.4 million, or $1.07 per share</w:t>
      </w:r>
    </w:p>
    <w:p>
      <w:pPr>
        <w:spacing w:after="0" w:line="66"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adjusted earnings per share of $0.00 and adjusted loss per share of $0.03 for the full-year 2025</w:t>
      </w:r>
    </w:p>
    <w:p>
      <w:pPr>
        <w:spacing w:after="0" w:line="66"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Q4 2025 adjusted EBITDA of $12.9 million (12.3% of net sales) and full year 2025 adjusted EBITDA of $49.0 million (11.6% of net sales),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Commercial &amp; Strategic Highlights</w:t>
      </w:r>
    </w:p>
    <w:p>
      <w:pPr>
        <w:spacing w:after="0" w:line="126" w:lineRule="exact"/>
        <w:rPr>
          <w:sz w:val="20"/>
          <w:szCs w:val="20"/>
          <w:color w:val="auto"/>
        </w:rPr>
      </w:pPr>
    </w:p>
    <w:p>
      <w:pPr>
        <w:ind w:left="420" w:right="180" w:hanging="212"/>
        <w:spacing w:after="0" w:line="286" w:lineRule="auto"/>
        <w:tabs>
          <w:tab w:leader="none" w:pos="394" w:val="left"/>
        </w:tabs>
        <w:numPr>
          <w:ilvl w:val="0"/>
          <w:numId w:val="5"/>
        </w:numPr>
        <w:rPr>
          <w:rFonts w:ascii="Arial" w:cs="Arial" w:eastAsia="Arial" w:hAnsi="Arial"/>
          <w:sz w:val="13"/>
          <w:szCs w:val="13"/>
          <w:color w:val="auto"/>
        </w:rPr>
      </w:pPr>
      <w:r>
        <w:rPr>
          <w:rFonts w:ascii="Arial" w:cs="Arial" w:eastAsia="Arial" w:hAnsi="Arial"/>
          <w:sz w:val="13"/>
          <w:szCs w:val="13"/>
          <w:color w:val="auto"/>
        </w:rPr>
        <w:t>Third consecutive year of achieving or beating target rate of new business wins, with approximately $</w:t>
      </w:r>
      <w:r>
        <w:rPr>
          <w:rFonts w:ascii="Arial" w:cs="Arial" w:eastAsia="Arial" w:hAnsi="Arial"/>
          <w:sz w:val="14"/>
          <w:szCs w:val="14"/>
          <w:color w:val="auto"/>
        </w:rPr>
        <w:t>70</w:t>
      </w:r>
      <w:r>
        <w:rPr>
          <w:rFonts w:ascii="Arial" w:cs="Arial" w:eastAsia="Arial" w:hAnsi="Arial"/>
          <w:sz w:val="13"/>
          <w:szCs w:val="13"/>
          <w:color w:val="auto"/>
        </w:rPr>
        <w:t xml:space="preserve"> million secured in 2025, exceeding guidance range, and bringing the three-year cumulative total to more than $200 million</w:t>
      </w:r>
    </w:p>
    <w:p>
      <w:pPr>
        <w:spacing w:after="0" w:line="11" w:lineRule="exact"/>
        <w:rPr>
          <w:rFonts w:ascii="Arial" w:cs="Arial" w:eastAsia="Arial" w:hAnsi="Arial"/>
          <w:sz w:val="13"/>
          <w:szCs w:val="13"/>
          <w:color w:val="auto"/>
        </w:rPr>
      </w:pPr>
    </w:p>
    <w:p>
      <w:pPr>
        <w:ind w:left="860" w:hanging="220"/>
        <w:spacing w:after="0"/>
        <w:tabs>
          <w:tab w:leader="none" w:pos="860" w:val="left"/>
        </w:tabs>
        <w:numPr>
          <w:ilvl w:val="1"/>
          <w:numId w:val="5"/>
        </w:numPr>
        <w:rPr>
          <w:rFonts w:ascii="Courier New" w:cs="Courier New" w:eastAsia="Courier New" w:hAnsi="Courier New"/>
          <w:sz w:val="13"/>
          <w:szCs w:val="13"/>
          <w:color w:val="auto"/>
        </w:rPr>
      </w:pPr>
      <w:r>
        <w:rPr>
          <w:rFonts w:ascii="Arial" w:cs="Arial" w:eastAsia="Arial" w:hAnsi="Arial"/>
          <w:sz w:val="13"/>
          <w:szCs w:val="13"/>
          <w:color w:val="auto"/>
        </w:rPr>
        <w:t>New wins are accretive to consolidated margin profile</w:t>
      </w:r>
    </w:p>
    <w:p>
      <w:pPr>
        <w:spacing w:after="0" w:line="82" w:lineRule="exact"/>
        <w:rPr>
          <w:rFonts w:ascii="Courier New" w:cs="Courier New" w:eastAsia="Courier New" w:hAnsi="Courier New"/>
          <w:sz w:val="13"/>
          <w:szCs w:val="13"/>
          <w:color w:val="auto"/>
        </w:rPr>
      </w:pPr>
    </w:p>
    <w:p>
      <w:pPr>
        <w:ind w:left="840" w:hanging="200"/>
        <w:spacing w:after="0"/>
        <w:tabs>
          <w:tab w:leader="none" w:pos="840" w:val="left"/>
        </w:tabs>
        <w:numPr>
          <w:ilvl w:val="1"/>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NN is achieving a &gt;20% hit rate on new business opportunities</w:t>
      </w:r>
    </w:p>
    <w:p>
      <w:pPr>
        <w:spacing w:after="0" w:line="74" w:lineRule="exact"/>
        <w:rPr>
          <w:rFonts w:ascii="Times New Roman" w:cs="Times New Roman" w:eastAsia="Times New Roman" w:hAnsi="Times New Roman"/>
          <w:sz w:val="13"/>
          <w:szCs w:val="13"/>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NN has won more than 170 new sales program awards which have launched during 2025 or will launch in 2026</w:t>
      </w:r>
    </w:p>
    <w:p>
      <w:pPr>
        <w:spacing w:after="0" w:line="84" w:lineRule="exact"/>
        <w:rPr>
          <w:rFonts w:ascii="Arial" w:cs="Arial" w:eastAsia="Arial" w:hAnsi="Arial"/>
          <w:sz w:val="13"/>
          <w:szCs w:val="13"/>
          <w:color w:val="auto"/>
        </w:rPr>
      </w:pPr>
    </w:p>
    <w:p>
      <w:pPr>
        <w:ind w:left="400" w:hanging="192"/>
        <w:spacing w:after="0"/>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NN secured its first new business win in the data center market with expanded commercial plans in the data center and electrical/power infrastructure ecosystem</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1440" w:right="299" w:bottom="1440" w:gutter="0" w:footer="0" w:header="0"/>
        </w:sectPr>
      </w:pPr>
    </w:p>
    <w:bookmarkStart w:id="4" w:name="page5"/>
    <w:bookmarkEnd w:id="4"/>
    <w:p>
      <w:pPr>
        <w:ind w:left="400" w:hanging="19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Sales pipeline of more than $800 million across more than 800 programs, concentrated in targeted areas.</w:t>
      </w:r>
    </w:p>
    <w:p>
      <w:pPr>
        <w:spacing w:after="0" w:line="84" w:lineRule="exact"/>
        <w:rPr>
          <w:rFonts w:ascii="Arial" w:cs="Arial" w:eastAsia="Arial" w:hAnsi="Arial"/>
          <w:sz w:val="13"/>
          <w:szCs w:val="13"/>
          <w:color w:val="auto"/>
        </w:rPr>
      </w:pPr>
    </w:p>
    <w:p>
      <w:pPr>
        <w:ind w:left="860" w:hanging="220"/>
        <w:spacing w:after="0"/>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During 2025, NN significantly upsized the business development team for electrical products</w:t>
      </w:r>
    </w:p>
    <w:p>
      <w:pPr>
        <w:spacing w:after="0" w:line="73" w:lineRule="exact"/>
        <w:rPr>
          <w:rFonts w:ascii="Courier New" w:cs="Courier New" w:eastAsia="Courier New" w:hAnsi="Courier New"/>
          <w:sz w:val="13"/>
          <w:szCs w:val="13"/>
          <w:color w:val="auto"/>
        </w:rPr>
      </w:pPr>
    </w:p>
    <w:p>
      <w:pPr>
        <w:ind w:left="400" w:hanging="19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NN formed a Strategic Committee of the Board of Directors in December 2025 to evaluate a range of strategic and financing alternatives to enhance shareholder value.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"NN delivered a third consecutive year of improved financial performance in 2025, and we look ahead to 2026 with increased confidence in our trajectory for sales, margins, and adjusted EBITDA," said Harold Bevis, Chief Executive Officer of NN, Inc. "In 2025 we drove adjusted EBITDA towards recent highs despite softness in automotive and commercial vehicle markets and record high precious metal prices. Importantly, we completed the most capital-intensive portion of our transformation plan that included plant closures, significant headcount realignment, and exiting dilutive business. As a result, NN enters 2026 as a healthier, leaner, and more focused company, performing on multiple fronts, while beginning our next chapter of net sales growth."</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Bevis continued, "We expect 2026 to be a meaningful inflection point, and we are guiding to a fourth consecutive year of improved adjusted EBITDA which we expect to range between $50 million to $60 million. Our forecasted sales growth is already underway in the first quarter of 2026, and we plan to launch approximately 100 new programs in 2026. These new programs carry accretive margins that will strengthen our EBITDA and cash flow profile as they ramp. Critically, the success of our new wins program, our planned launches, and more stable markets will return NN’s annual net sales growth. We expect real commercial momentum, and we are also increasing our goals for new business wins for the year to a range of $70 million to $80 million."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Bevis concluded, "The progress we have made and the momentum we are carrying into 2026 and beyond gives us increasing confidence in NN's forward net sales trajectory. Our business mix continues to shift toward higher-growth, higher-margin markets including data center power, electrical grid infrastructure, defense, and medical, and we recently secured our first direct data center win. We believe the combination of our operational transformation and accelerating sales growth positions NN to deliver meaningful and sustained value creation for shareholders both in 2026 and in the years ahead."</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Fourth Quarter Results</w:t>
      </w:r>
    </w:p>
    <w:p>
      <w:pPr>
        <w:spacing w:after="0" w:line="202"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Net sales were $ 104.7 million, a decrease of 1.7% compared to the fourth quarter of 2024 net sales of $106.5 million, which was primarily due to rationalization of underperforming business and plants and lower volumes partially offset by favorable foreign exchange impact of $2.1 million.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Loss from operations for the fourth quarter was $10.4 million compared to a loss from operations of $16.9 million for the same period of 2024. The year-over-year improvement was due to rationalization of underperforming business and plants, impairment of machinery and equipment recorded in 2024 at a plant that closed in 2025, and lower compensation expense due to decreased headcount.</w:t>
      </w:r>
    </w:p>
    <w:p>
      <w:pPr>
        <w:spacing w:after="0" w:line="123"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Net loss for the fourth quarter was $12.5 million compared to net loss of $ 21.0 million for the same period in 2024. The year-over-year improvement was due to rationalization of underperforming business and plants, impairment of machinery and equipment recorded in 2024 at a plant that closed in 2025, and lower compensation expense due to decreased headcount.</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Full-Year Results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Net sales for the year ended December 31, 2025, were $422.2 million compared to $464.3 million for the same period of 2024, a decrease of $42.1 million, or 9.1%. This was primarily due to the rationalization of underperforming business and plants, sale of our Lubbock operations, lower volumes, and unfavorable foreign exchange effects of $0.6 million. These decreases were partially offset by the contribution of new business launches and higher precious metals pass-through pricing. Power Solutions sales were up while Mobile Solutions sales were down primarily due to a decline in low-margin auto parts business.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71" w:right="29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13"/>
          <w:szCs w:val="13"/>
          <w:color w:val="auto"/>
        </w:rPr>
        <w:t>Loss from operations for the year ended December 31, 2025, was $18.9 million compared to a loss from operations of $27.5 million for the same period of 2024. The year-over-year improvement was due to rationalization of underperforming business and plants, impairment of machinery and equipment recorded in 2024 at a plant that closed in 2025, decrease in depreciation due to the</w:t>
      </w:r>
    </w:p>
    <w:p>
      <w:pPr>
        <w:spacing w:after="0" w:line="1"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impact of historical purchase accounting step-up basis being fully depreciated in the second half of 2024, and lower compensation expense due to decreased headcount. The improvement is partially offset by lower volumes.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Net loss for the year ended December 31, 2025, was $ 34.0 million compared to net loss of $38.3 million for the same period of 2024. The year-over-year improvement was primarily due to our improvement in loss from operations. The improvement is partially offset by loss on extinguishment of debt in 2025.</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Fourth Quarter Adjusted Results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Adjusted EBITDA for the fourth quarter of 2025 was $12.9 million, or 12.3% of sales, compared to $ 12.1 million, or 11.3% of sales, for the same period of 2024. Adjusted income from operations for the fourth quarter of 2025 was $3.3 million compared to adjusted income from operations of $2.4 million for the same period of 2024.</w:t>
      </w:r>
    </w:p>
    <w:p>
      <w:pPr>
        <w:spacing w:after="0" w:line="114" w:lineRule="exact"/>
        <w:rPr>
          <w:sz w:val="20"/>
          <w:szCs w:val="20"/>
          <w:color w:val="auto"/>
        </w:rPr>
      </w:pPr>
    </w:p>
    <w:p>
      <w:pPr>
        <w:ind w:right="60"/>
        <w:spacing w:after="0" w:line="356" w:lineRule="auto"/>
        <w:rPr>
          <w:sz w:val="20"/>
          <w:szCs w:val="20"/>
          <w:color w:val="auto"/>
        </w:rPr>
      </w:pPr>
      <w:r>
        <w:rPr>
          <w:rFonts w:ascii="Arial" w:cs="Arial" w:eastAsia="Arial" w:hAnsi="Arial"/>
          <w:sz w:val="13"/>
          <w:szCs w:val="13"/>
          <w:color w:val="auto"/>
        </w:rPr>
        <w:t xml:space="preserve">Adjusted net loss for the fourth quarter of 2025 was $0.1 million, or $0.00 per diluted share, compared to adjusted net loss of $0.9 million, or $0.02 per diluted share, for the same period of 2024. </w:t>
      </w:r>
      <w:r>
        <w:rPr>
          <w:rFonts w:ascii="Arial" w:cs="Arial" w:eastAsia="Arial" w:hAnsi="Arial"/>
          <w:sz w:val="13"/>
          <w:szCs w:val="13"/>
          <w:b w:val="1"/>
          <w:bCs w:val="1"/>
          <w:u w:val="single" w:color="auto"/>
          <w:color w:val="auto"/>
        </w:rPr>
        <w:t>Power Solutions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Net sales for the fourth quarter of 2025 were $45.5 million compared to $39.2 million in the same period in 2024, an increase of 16.1%. The increase was primarily due to steady volumes, higher precious metals pass-through pricing and favorable foreign exchange effects.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Loss from operations for the fourth quarter was $3.9 million compared to income from operations of $1.3 million for the same period of 2024.</w:t>
      </w:r>
    </w:p>
    <w:p>
      <w:pPr>
        <w:spacing w:after="0" w:line="166"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Adjusted income from operations for the fourth quarter was $4.9 million compared to adjusted income from operations of $4.6 million for the same period of 2024. The increase in adjusted income from operations was primarily due to lower administrative costs.</w:t>
      </w:r>
    </w:p>
    <w:p>
      <w:pPr>
        <w:spacing w:after="0" w:line="115"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Net sales for the year ended December 31, 2025, were $178.6 million compared to $180.5 million for the same period of 2024, a decrease of $1.9 million, or 1.1%. This was primarily due to the sale of our Lubbock operations, lower volumes and unfavorable foreign exchange effects of $0.8 million. These decreases were partially offset by higher precious metals pass-through pricing.</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Income from operations for the year ended December 31, 2025 was $10.3 million compared to income from operations of $13.1 million for the same period of 2024, a decrease of $2.8 million. This was primarily due to the sale of our Lubbock operations and lower volumes. The decrease is partially offset by lower administrative costs and lower depreciation and amortization expense due to sold or fully utilized assets.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Adjusted income from operations for the year ended December 31, 2025 was $26.9 million compared to adjusted income from operations of $24.7 million for the same period in 2024.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Mobile Solutions</w:t>
      </w:r>
    </w:p>
    <w:p>
      <w:pPr>
        <w:spacing w:after="0" w:line="40"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Net sales for the fourth quarter of 2025 were $59.3 million compared to $67.4 million in the fourth quarter of 2024, a decrease of 12.0%. The decrease was primarily driven by rationalization of underperforming business and plants and lower volumes and partially offset by favorable foreign exchange impact.</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Loss from operations for the fourth quarter was $1.4 million compared to loss from operations of $12.9 million for the same period of 2024. The improvement was primarily driven by rationalization of underperforming business and plants,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674" w:right="29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impairment of machinery and equipment recorded in 2024 at a plant that closed in 2025, and lower compensation expense due to decreased headcount.</w:t>
      </w:r>
    </w:p>
    <w:p>
      <w:pPr>
        <w:spacing w:after="0" w:line="175"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Adjusted income from operations for the fourth quarter was $3.1 million compared to adjusted income from operations of $2.5 million for the same period of 2024. The increase in adjusted income from operations was primarily due to the rationalization of underperforming business and plants.</w:t>
      </w:r>
    </w:p>
    <w:p>
      <w:pPr>
        <w:spacing w:after="0" w:line="106"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Net sales for the year ended December 31, 2025, were $244.0 million compared to $283.9 million for the same period of 2024, a decrease of $39.9 million, or 14.1%. This was primarily due to rationalization of underperforming business and plants, lower volume in North America, and partially offset by favorable foreign exchange effects.</w:t>
      </w:r>
    </w:p>
    <w:p>
      <w:pPr>
        <w:spacing w:after="0" w:line="10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Loss from operations for the year ended December 31, 2025, was $8.0 million compared to loss from operations of $18.1 million for the same period of 2024. The improvement was primarily driven by rationalization of underperforming business and plants, impairment of machinery and equipment recorded in 2024 at a plant that closed in 2025, lower depreciation expense due to the impact of historical purchase accounting step-up becoming fully depreciated in the second half of 2024, and lower compensation expense due to decreased headcount.</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Adjusted income from operations for the year ended December 31, 2025, was $7.3 million compared to adjusted income from operations of $1.5 million for the same period of 2024. The increase was primarily due to rationalization of underperforming business and plants and lower depreciation expense due to the impact of historical purchase accounting step-up becoming fully depreciated in the second half of 2024.</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2026 Outlook</w:t>
      </w:r>
    </w:p>
    <w:p>
      <w:pPr>
        <w:spacing w:after="0" w:line="85" w:lineRule="exact"/>
        <w:rPr>
          <w:sz w:val="20"/>
          <w:szCs w:val="20"/>
          <w:color w:val="auto"/>
        </w:rPr>
      </w:pPr>
    </w:p>
    <w:p>
      <w:pPr>
        <w:ind w:left="400" w:hanging="192"/>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Revenues are expected to range between $445 to $465 million with modest organic growth coupled with new business launches, values may vary based on metals cost</w:t>
      </w:r>
    </w:p>
    <w:p>
      <w:pPr>
        <w:spacing w:after="0" w:line="75" w:lineRule="exact"/>
        <w:rPr>
          <w:rFonts w:ascii="Arial" w:cs="Arial" w:eastAsia="Arial" w:hAnsi="Arial"/>
          <w:sz w:val="13"/>
          <w:szCs w:val="13"/>
          <w:color w:val="auto"/>
        </w:rPr>
      </w:pPr>
    </w:p>
    <w:p>
      <w:pPr>
        <w:ind w:left="400" w:hanging="192"/>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expected to range between $50 and $60 million with modest operating leverage</w:t>
      </w:r>
    </w:p>
    <w:p>
      <w:pPr>
        <w:spacing w:after="0" w:line="84" w:lineRule="exact"/>
        <w:rPr>
          <w:rFonts w:ascii="Arial" w:cs="Arial" w:eastAsia="Arial" w:hAnsi="Arial"/>
          <w:sz w:val="13"/>
          <w:szCs w:val="13"/>
          <w:color w:val="auto"/>
        </w:rPr>
      </w:pPr>
    </w:p>
    <w:p>
      <w:pPr>
        <w:ind w:left="400" w:hanging="192"/>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New business wins are expected to increase to $70 to $80 million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Chris Bohnert, Senior Vice President and Chief Financial Officer commented, “For fiscal 2026, we are guiding net sales in the range of $445 million to $465 million and adjusted EBITDA in the range of $50 million to $60 million, reflecting a return to year-over-year net sales growth, and a notable expansion versus prior year. Importantly, this top-line growth will flow through a cost structure that has been fundamentally improved over the course of our transformation. The resulting operating performance is expected to drive adjusted EBITDA growth and margin expansion.”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674"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3"/>
          <w:szCs w:val="13"/>
          <w:b w:val="1"/>
          <w:bCs w:val="1"/>
          <w:u w:val="single" w:color="auto"/>
          <w:color w:val="auto"/>
        </w:rPr>
        <w:t>Conference Call</w:t>
      </w:r>
    </w:p>
    <w:p>
      <w:pPr>
        <w:spacing w:after="0" w:line="67" w:lineRule="exact"/>
        <w:rPr>
          <w:sz w:val="20"/>
          <w:szCs w:val="20"/>
          <w:color w:val="auto"/>
        </w:rPr>
      </w:pPr>
    </w:p>
    <w:p>
      <w:pPr>
        <w:jc w:val="both"/>
        <w:ind w:left="8" w:right="20" w:hanging="8"/>
        <w:spacing w:after="0" w:line="286" w:lineRule="auto"/>
        <w:tabs>
          <w:tab w:leader="none" w:pos="268" w:val="left"/>
        </w:tabs>
        <w:numPr>
          <w:ilvl w:val="0"/>
          <w:numId w:val="8"/>
        </w:numPr>
        <w:rPr>
          <w:rFonts w:ascii="Arial" w:cs="Arial" w:eastAsia="Arial" w:hAnsi="Arial"/>
          <w:sz w:val="13"/>
          <w:szCs w:val="13"/>
          <w:color w:val="auto"/>
        </w:rPr>
      </w:pPr>
      <w:r>
        <w:rPr>
          <w:rFonts w:ascii="Arial" w:cs="Arial" w:eastAsia="Arial" w:hAnsi="Arial"/>
          <w:sz w:val="13"/>
          <w:szCs w:val="13"/>
          <w:color w:val="auto"/>
        </w:rPr>
        <w:t>will discuss its results during its quarterly investor conference call on March 5, 2026, at 9 a.m. ET. The call and supplemental presentation may be accessed via NN's website, www.nninc.com. The conference call can also be accessed by dialing 1-877-255-4315 or 1-412-317-6579. For those who are unavailable to listen to the live broadcast, a replay will be available shortly after the call until March 6, 2027.</w:t>
      </w:r>
    </w:p>
    <w:p>
      <w:pPr>
        <w:spacing w:after="0" w:line="123" w:lineRule="exact"/>
        <w:rPr>
          <w:sz w:val="20"/>
          <w:szCs w:val="20"/>
          <w:color w:val="auto"/>
        </w:rPr>
      </w:pPr>
    </w:p>
    <w:p>
      <w:pPr>
        <w:jc w:val="both"/>
        <w:ind w:left="8" w:hanging="8"/>
        <w:spacing w:after="0" w:line="293" w:lineRule="auto"/>
        <w:tabs>
          <w:tab w:leader="none" w:pos="247" w:val="left"/>
        </w:tabs>
        <w:numPr>
          <w:ilvl w:val="0"/>
          <w:numId w:val="9"/>
        </w:numPr>
        <w:rPr>
          <w:rFonts w:ascii="Arial" w:cs="Arial" w:eastAsia="Arial" w:hAnsi="Arial"/>
          <w:sz w:val="13"/>
          <w:szCs w:val="13"/>
          <w:color w:val="auto"/>
        </w:rPr>
      </w:pPr>
      <w:r>
        <w:rPr>
          <w:rFonts w:ascii="Arial" w:cs="Arial" w:eastAsia="Arial" w:hAnsi="Arial"/>
          <w:sz w:val="13"/>
          <w:szCs w:val="13"/>
          <w:color w:val="auto"/>
        </w:rPr>
        <w:t>discloses in this press release the non-GAAP financial measures of adjusted income (loss) from operations, adjusted EBITDA, adjusted net income (loss), adjusted net income (loss) per diluted common share, and free cash flow. Each of these non-GAAP financial measures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289" w:lineRule="exact"/>
        <w:rPr>
          <w:sz w:val="20"/>
          <w:szCs w:val="20"/>
          <w:color w:val="auto"/>
        </w:rPr>
      </w:pPr>
    </w:p>
    <w:p>
      <w:pPr>
        <w:jc w:val="both"/>
        <w:ind w:left="8"/>
        <w:spacing w:after="0" w:line="286" w:lineRule="auto"/>
        <w:rPr>
          <w:sz w:val="20"/>
          <w:szCs w:val="20"/>
          <w:color w:val="auto"/>
        </w:rPr>
      </w:pPr>
      <w:r>
        <w:rPr>
          <w:rFonts w:ascii="Arial" w:cs="Arial" w:eastAsia="Arial" w:hAnsi="Arial"/>
          <w:sz w:val="13"/>
          <w:szCs w:val="13"/>
          <w:color w:val="auto"/>
        </w:rPr>
        <w:t>The financial tables found later in this press release include a reconciliation of adjusted income (loss) from operations, adjusted operating margin, adjusted EBITDA, adjusted EBITDA margin, adjusted net income (loss), adjusted net income (loss) per diluted share, free cash flow to the U.S. GAAP financial measures of income (loss) from operations, net income (loss), net income (loss) per diluted common share, and cash provided (used) by operating activities.</w:t>
      </w:r>
    </w:p>
    <w:p>
      <w:pPr>
        <w:spacing w:after="0" w:line="123"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3"/>
          <w:szCs w:val="13"/>
          <w:color w:val="auto"/>
        </w:rPr>
        <w:t>The Company is unable to include a reconciliation of forward-looking Adjusted EBITDA to net loss, the most directly comparable GAAP measure, without unreasonable effort due to the high variability with respect to the impact of items such as income taxes, depreciation and amortization, stock-based compensation expense and other items that are excluded from this non-GAAP measure.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8"/>
          </w:cols>
          <w:pgMar w:left="292" w:top="683" w:right="2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auto"/>
        </w:rPr>
        <w:t>About NN, Inc</w:t>
      </w:r>
      <w:r>
        <w:rPr>
          <w:rFonts w:ascii="Arial" w:cs="Arial" w:eastAsia="Arial" w:hAnsi="Arial"/>
          <w:sz w:val="13"/>
          <w:szCs w:val="13"/>
          <w:b w:val="1"/>
          <w:bCs w:val="1"/>
          <w:color w:val="auto"/>
        </w:rPr>
        <w:t>.</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NN, Inc., a global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facilities in North America, Europe, South America, and Asia. For more information about the company and its products, please visit www.nninc.com.</w:t>
      </w:r>
    </w:p>
    <w:p>
      <w:pPr>
        <w:spacing w:after="0" w:line="91" w:lineRule="exact"/>
        <w:rPr>
          <w:sz w:val="20"/>
          <w:szCs w:val="20"/>
          <w:color w:val="auto"/>
        </w:rPr>
      </w:pPr>
    </w:p>
    <w:p>
      <w:pPr>
        <w:jc w:val="both"/>
        <w:spacing w:after="0" w:line="252" w:lineRule="auto"/>
        <w:rPr>
          <w:sz w:val="20"/>
          <w:szCs w:val="20"/>
          <w:color w:val="auto"/>
        </w:rPr>
      </w:pPr>
      <w:r>
        <w:rPr>
          <w:rFonts w:ascii="Arial" w:cs="Arial" w:eastAsia="Arial" w:hAnsi="Arial"/>
          <w:sz w:val="10"/>
          <w:szCs w:val="10"/>
          <w:i w:val="1"/>
          <w:iCs w:val="1"/>
          <w:color w:val="auto"/>
        </w:rPr>
        <w:t>This press release contains express and implied forward-looking statements within the meaning of the Private Securities Litigation Reform Act of 1995, including statements regarding our financial outlook for full year 2026, the impact of, and our ability to execute, our corporate strategies and business initiatives, the potential impact tariffs, high interest rates, high metal costs and additional economic uncertainties may have on our financial condition and results of operations, and the results and timing of our strategic review process. Forward-looking statements generally will be accompanied by words such as “anticipate,” “believe,” “could,” “estimate,” “expect,” “forecast,” “guidance,” “intend,” “may,” “will,” “possible,” “potential,” “predict,” “project”, “achieve”, “growth”, “enable”, “improve”, or the negative of those terms, and similar words, phrases or expressions that convey uncertainty of future events or outcomes.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uncertainty of government policies and actions after recent U.S. elections in respect to global trade, tariffs and international trade agreements; and cyber liability or potential liability for breaches of our or our service providers’ information technology systems or business operations disruptions. The foregoing factors should not be construed as exhaustive and should be read in conjunction with the sections entitled “Risk Factors” and “Management’s Discussion and Analysis of Financial Condition and Results of Operations” included in the Company’s filings made with the Securities and Exchange Commission. Any forward-looking statement speaks only as of the date of this press release,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151" w:lineRule="exact"/>
        <w:rPr>
          <w:sz w:val="20"/>
          <w:szCs w:val="20"/>
          <w:color w:val="auto"/>
        </w:rPr>
      </w:pPr>
    </w:p>
    <w:p>
      <w:pPr>
        <w:ind w:right="160"/>
        <w:spacing w:after="0" w:line="224" w:lineRule="auto"/>
        <w:rPr>
          <w:sz w:val="20"/>
          <w:szCs w:val="20"/>
          <w:color w:val="auto"/>
        </w:rPr>
      </w:pPr>
      <w:r>
        <w:rPr>
          <w:rFonts w:ascii="Arial" w:cs="Arial" w:eastAsia="Arial" w:hAnsi="Arial"/>
          <w:sz w:val="10"/>
          <w:szCs w:val="10"/>
          <w:i w:val="1"/>
          <w:iCs w:val="1"/>
          <w:color w:val="auto"/>
        </w:rPr>
        <w:t>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w:t>
      </w:r>
    </w:p>
    <w:p>
      <w:pPr>
        <w:ind w:right="160"/>
        <w:spacing w:after="0" w:line="234" w:lineRule="auto"/>
        <w:rPr>
          <w:sz w:val="20"/>
          <w:szCs w:val="20"/>
          <w:color w:val="auto"/>
        </w:rPr>
      </w:pPr>
      <w:r>
        <w:rPr>
          <w:rFonts w:ascii="Arial" w:cs="Arial" w:eastAsia="Arial" w:hAnsi="Arial"/>
          <w:sz w:val="10"/>
          <w:szCs w:val="10"/>
          <w:color w:val="auto"/>
        </w:rPr>
        <w:t>With respect to any non-GAAP financial measures included in the following document, the accompanying information required by SEC Regulation G can be found in the back of this document or in the “Investors” section of the Company’s web site, www.nninc.com, under the heading “News &amp; Events” and subheading “Presentations.”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&amp; Media Contacts: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Joe Caminiti or Abe Plimpton</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NNBR@alpha-ir.com</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312-445-2870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Financial Tables Follow</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683"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880" w:type="dxa"/>
            <w:vAlign w:val="bottom"/>
          </w:tcPr>
          <w:p>
            <w:pPr>
              <w:spacing w:after="0"/>
              <w:rPr>
                <w:sz w:val="10"/>
                <w:szCs w:val="10"/>
                <w:color w:val="auto"/>
              </w:rPr>
            </w:pPr>
          </w:p>
        </w:tc>
      </w:tr>
      <w:tr>
        <w:trPr>
          <w:trHeight w:val="125"/>
        </w:trPr>
        <w:tc>
          <w:tcPr>
            <w:tcW w:w="6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80" w:type="dxa"/>
            <w:vAlign w:val="bottom"/>
            <w:tcBorders>
              <w:bottom w:val="single" w:sz="8" w:color="auto"/>
            </w:tcBorders>
          </w:tcPr>
          <w:p>
            <w:pPr>
              <w:spacing w:after="0"/>
              <w:rPr>
                <w:sz w:val="10"/>
                <w:szCs w:val="10"/>
                <w:color w:val="auto"/>
              </w:rPr>
            </w:pPr>
          </w:p>
        </w:tc>
      </w:tr>
      <w:tr>
        <w:trPr>
          <w:trHeight w:val="12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4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104,715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106,513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422,207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464,290</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95,093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95,338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362,848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394,812</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11,846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12,365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46,171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49,481</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35,923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45,302</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5,528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2,243</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(27,548)</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5,850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5,452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22,367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22,095</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(4,558)</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before provision for income taxes and share of net income from joint venture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(14,554)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(39,721)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(45,434)</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w:t>
            </w:r>
          </w:p>
        </w:tc>
      </w:tr>
      <w:tr>
        <w:trPr>
          <w:trHeight w:val="15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2,271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2,974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8,870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9,571</w:t>
            </w:r>
          </w:p>
        </w:tc>
      </w:tr>
      <w:tr>
        <w:trPr>
          <w:trHeight w:val="162"/>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(12,538)</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(34,004)</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(38,273)</w:t>
            </w:r>
          </w:p>
        </w:tc>
      </w:tr>
      <w:tr>
        <w:trPr>
          <w:trHeight w:val="131"/>
        </w:trPr>
        <w:tc>
          <w:tcPr>
            <w:tcW w:w="60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9,588</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(9,405)</w:t>
            </w:r>
          </w:p>
        </w:tc>
      </w:tr>
      <w:tr>
        <w:trPr>
          <w:trHeight w:val="153"/>
        </w:trPr>
        <w:tc>
          <w:tcPr>
            <w:tcW w:w="6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Reclassification adjustments included in net loss, net of tax</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w:t>
            </w:r>
          </w:p>
        </w:tc>
      </w:tr>
      <w:tr>
        <w:trPr>
          <w:trHeight w:val="142"/>
        </w:trPr>
        <w:tc>
          <w:tcPr>
            <w:tcW w:w="60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1,203</w:t>
            </w: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(7,642)</w:t>
            </w:r>
          </w:p>
        </w:tc>
        <w:tc>
          <w:tcPr>
            <w:tcW w:w="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9,588</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(10,412)</w:t>
            </w:r>
          </w:p>
        </w:tc>
      </w:tr>
      <w:tr>
        <w:trPr>
          <w:trHeight w:val="162"/>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(11,335)</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(24,416)</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(48,685)</w:t>
            </w:r>
          </w:p>
        </w:tc>
      </w:tr>
      <w:tr>
        <w:trPr>
          <w:trHeight w:val="131"/>
        </w:trPr>
        <w:tc>
          <w:tcPr>
            <w:tcW w:w="602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Basic and diluted net loss per common share: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71"/>
        </w:trPr>
        <w:tc>
          <w:tcPr>
            <w:tcW w:w="6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8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49,624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49,039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49,437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48,653</w:t>
            </w:r>
          </w:p>
        </w:tc>
      </w:tr>
      <w:tr>
        <w:trPr>
          <w:trHeight w:val="40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r>
    </w:tbl>
    <w:p>
      <w:pPr>
        <w:sectPr>
          <w:pgSz w:w="11900" w:h="16838" w:orient="portrait"/>
          <w:cols w:equalWidth="0" w:num="1">
            <w:col w:w="11300"/>
          </w:cols>
          <w:pgMar w:left="300" w:top="674" w:right="299" w:bottom="1440" w:gutter="0" w:footer="0" w:header="0"/>
        </w:sectPr>
      </w:pPr>
    </w:p>
    <w:bookmarkStart w:id="10" w:name="page11"/>
    <w:bookmarkEnd w:id="10"/>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20" w:type="dxa"/>
            <w:vAlign w:val="bottom"/>
          </w:tcPr>
          <w:p>
            <w:pPr>
              <w:spacing w:after="0"/>
              <w:rPr>
                <w:sz w:val="10"/>
                <w:szCs w:val="1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11,377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18,128</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59,785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61,549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65,978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61,877</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13,389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12,634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2,952</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2,855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10,526</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10,519</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164,007</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167,562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158,885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162,034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35,155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39,317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30,789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44,410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42,543</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34,971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1,673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7,732</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7,270</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440,784</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49,442</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38,879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14,004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19,915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553</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5,039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6,430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6,038</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13,575</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13,382</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89,795</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83,912</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4,312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153,758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143,591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37,092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42,291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9,420</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14,111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294,377</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288,874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112,409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93,497</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439,700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455,811</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(367,625)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(333,621)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(38,579)</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(48,167)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33,998</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74,522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440,784</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96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6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(34,004)</w:t>
            </w:r>
          </w:p>
        </w:tc>
        <w:tc>
          <w:tcPr>
            <w:tcW w:w="12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(38,273)</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35,923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45,302</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2,677</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Impairments of property, plant and equipment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6,546</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 and write-off of debt issuance costs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gain,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 net of cash dividends received</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(7,154)</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4,210</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(3,894)</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(9,298)</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7,049</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5,671</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11,070</w:t>
            </w:r>
          </w:p>
        </w:tc>
      </w:tr>
      <w:tr>
        <w:trPr>
          <w:trHeight w:val="133"/>
        </w:trPr>
        <w:tc>
          <w:tcPr>
            <w:tcW w:w="8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(12,919)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(18,314)</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1,885</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received from sale of business</w:t>
            </w:r>
          </w:p>
        </w:tc>
        <w:tc>
          <w:tcPr>
            <w:tcW w:w="3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w:t>
            </w:r>
          </w:p>
        </w:tc>
      </w:tr>
      <w:tr>
        <w:trPr>
          <w:trHeight w:val="142"/>
        </w:trPr>
        <w:tc>
          <w:tcPr>
            <w:tcW w:w="84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(11,034)</w:t>
            </w: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asset backed credit facilities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63,400</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asset backed credit facilities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(53,700)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(58,000)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118,590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(115,770)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(38,031)</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(2,451)</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(13,245)</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1,063</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(3,775)</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18,128</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21,903</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11,377</w:t>
            </w: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18,128</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674" w:right="299" w:bottom="1440" w:gutter="0" w:footer="0" w:header="0"/>
        </w:sectPr>
      </w:pPr>
    </w:p>
    <w:bookmarkStart w:id="12" w:name="page13"/>
    <w:bookmarkEnd w:id="12"/>
    <w:tbl>
      <w:tblPr>
        <w:tblLayout w:type="fixed"/>
        <w:tblInd w:w="700" w:type="dxa"/>
        <w:tblCellMar>
          <w:top w:w="0" w:type="dxa"/>
          <w:left w:w="0" w:type="dxa"/>
          <w:bottom w:w="0" w:type="dxa"/>
          <w:right w:w="0" w:type="dxa"/>
        </w:tblCellMar>
      </w:tblPr>
      <w:tr>
        <w:trPr>
          <w:trHeight w:val="159"/>
        </w:trPr>
        <w:tc>
          <w:tcPr>
            <w:tcW w:w="220" w:type="dxa"/>
            <w:vAlign w:val="bottom"/>
          </w:tcPr>
          <w:p>
            <w:pPr>
              <w:spacing w:after="0"/>
              <w:rPr>
                <w:sz w:val="13"/>
                <w:szCs w:val="13"/>
                <w:color w:val="auto"/>
              </w:rPr>
            </w:pPr>
          </w:p>
        </w:tc>
        <w:tc>
          <w:tcPr>
            <w:tcW w:w="5920" w:type="dxa"/>
            <w:vAlign w:val="bottom"/>
            <w:gridSpan w:val="5"/>
          </w:tcPr>
          <w:p>
            <w:pPr>
              <w:ind w:left="1460"/>
              <w:spacing w:after="0"/>
              <w:rPr>
                <w:sz w:val="20"/>
                <w:szCs w:val="20"/>
                <w:color w:val="auto"/>
              </w:rPr>
            </w:pPr>
            <w:r>
              <w:rPr>
                <w:rFonts w:ascii="Times New Roman" w:cs="Times New Roman" w:eastAsia="Times New Roman" w:hAnsi="Times New Roman"/>
                <w:sz w:val="12"/>
                <w:szCs w:val="12"/>
                <w:b w:val="1"/>
                <w:bCs w:val="1"/>
                <w:color w:val="auto"/>
              </w:rPr>
              <w:t>Reconciliation of GAAP Gross Profit to Non-GAAP Gross Profit and Gross Margin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426"/>
        </w:trPr>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7"/>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59"/>
        </w:trPr>
        <w:tc>
          <w:tcPr>
            <w:tcW w:w="2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r>
      <w:tr>
        <w:trPr>
          <w:trHeight w:val="142"/>
        </w:trPr>
        <w:tc>
          <w:tcPr>
            <w:tcW w:w="4780" w:type="dxa"/>
            <w:vAlign w:val="bottom"/>
            <w:tcBorders>
              <w:bottom w:val="single" w:sz="8" w:color="BFE4FF"/>
            </w:tcBorders>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60" w:type="dxa"/>
            <w:vAlign w:val="bottom"/>
            <w:tcBorders>
              <w:bottom w:val="single" w:sz="8" w:color="BFE4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auto"/>
            </w:tcBorders>
          </w:tcPr>
          <w:p>
            <w:pPr>
              <w:spacing w:after="0"/>
              <w:rPr>
                <w:sz w:val="12"/>
                <w:szCs w:val="12"/>
                <w:color w:val="auto"/>
              </w:rPr>
            </w:pPr>
          </w:p>
        </w:tc>
      </w:tr>
      <w:tr>
        <w:trPr>
          <w:trHeight w:val="142"/>
        </w:trPr>
        <w:tc>
          <w:tcPr>
            <w:tcW w:w="478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sales</w:t>
            </w:r>
          </w:p>
        </w:tc>
        <w:tc>
          <w:tcPr>
            <w:tcW w:w="60" w:type="dxa"/>
            <w:vAlign w:val="bottom"/>
            <w:shd w:val="clear" w:color="auto" w:fill="BFE4FF"/>
          </w:tcPr>
          <w:p>
            <w:pPr>
              <w:spacing w:after="0"/>
              <w:rPr>
                <w:sz w:val="12"/>
                <w:szCs w:val="12"/>
                <w:color w:val="auto"/>
              </w:rPr>
            </w:pPr>
          </w:p>
        </w:tc>
        <w:tc>
          <w:tcPr>
            <w:tcW w:w="26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104,715</w:t>
            </w:r>
          </w:p>
        </w:tc>
        <w:tc>
          <w:tcPr>
            <w:tcW w:w="100" w:type="dxa"/>
            <w:vAlign w:val="bottom"/>
            <w:shd w:val="clear" w:color="auto" w:fill="BFE4FF"/>
          </w:tcPr>
          <w:p>
            <w:pPr>
              <w:spacing w:after="0"/>
              <w:rPr>
                <w:sz w:val="12"/>
                <w:szCs w:val="12"/>
                <w:color w:val="auto"/>
              </w:rPr>
            </w:pPr>
          </w:p>
        </w:tc>
        <w:tc>
          <w:tcPr>
            <w:tcW w:w="460" w:type="dxa"/>
            <w:vAlign w:val="bottom"/>
            <w:gridSpan w:val="3"/>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106,513</w:t>
            </w:r>
          </w:p>
        </w:tc>
      </w:tr>
      <w:tr>
        <w:trPr>
          <w:trHeight w:val="153"/>
        </w:trPr>
        <w:tc>
          <w:tcPr>
            <w:tcW w:w="4780" w:type="dxa"/>
            <w:vAlign w:val="bottom"/>
            <w:tcBorders>
              <w:bottom w:val="single" w:sz="8" w:color="BFE4FF"/>
            </w:tcBorders>
            <w:gridSpan w:val="2"/>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w:t>
            </w:r>
          </w:p>
        </w:tc>
        <w:tc>
          <w:tcPr>
            <w:tcW w:w="60" w:type="dxa"/>
            <w:vAlign w:val="bottom"/>
            <w:tcBorders>
              <w:bottom w:val="single" w:sz="8" w:color="BFE4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95,093</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95,338</w:t>
            </w:r>
          </w:p>
        </w:tc>
      </w:tr>
      <w:tr>
        <w:trPr>
          <w:trHeight w:val="142"/>
        </w:trPr>
        <w:tc>
          <w:tcPr>
            <w:tcW w:w="478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gross profit</w:t>
            </w:r>
          </w:p>
        </w:tc>
        <w:tc>
          <w:tcPr>
            <w:tcW w:w="60" w:type="dxa"/>
            <w:vAlign w:val="bottom"/>
            <w:shd w:val="clear" w:color="auto" w:fill="BFE4FF"/>
          </w:tcPr>
          <w:p>
            <w:pPr>
              <w:spacing w:after="0"/>
              <w:rPr>
                <w:sz w:val="12"/>
                <w:szCs w:val="12"/>
                <w:color w:val="auto"/>
              </w:rPr>
            </w:pPr>
          </w:p>
        </w:tc>
        <w:tc>
          <w:tcPr>
            <w:tcW w:w="260" w:type="dxa"/>
            <w:vAlign w:val="bottom"/>
            <w:shd w:val="clear" w:color="auto" w:fill="BFE4FF"/>
          </w:tcPr>
          <w:p>
            <w:pPr>
              <w:spacing w:after="0"/>
              <w:rPr>
                <w:sz w:val="12"/>
                <w:szCs w:val="12"/>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9,622</w:t>
            </w:r>
          </w:p>
        </w:tc>
        <w:tc>
          <w:tcPr>
            <w:tcW w:w="100" w:type="dxa"/>
            <w:vAlign w:val="bottom"/>
            <w:shd w:val="clear" w:color="auto" w:fill="BFE4FF"/>
          </w:tcPr>
          <w:p>
            <w:pPr>
              <w:spacing w:after="0"/>
              <w:rPr>
                <w:sz w:val="12"/>
                <w:szCs w:val="12"/>
                <w:color w:val="auto"/>
              </w:rPr>
            </w:pPr>
          </w:p>
        </w:tc>
        <w:tc>
          <w:tcPr>
            <w:tcW w:w="40" w:type="dxa"/>
            <w:vAlign w:val="bottom"/>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11,175</w:t>
            </w:r>
          </w:p>
        </w:tc>
      </w:tr>
      <w:tr>
        <w:trPr>
          <w:trHeight w:val="153"/>
        </w:trPr>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616</w:t>
            </w:r>
          </w:p>
        </w:tc>
      </w:tr>
      <w:tr>
        <w:trPr>
          <w:trHeight w:val="153"/>
        </w:trPr>
        <w:tc>
          <w:tcPr>
            <w:tcW w:w="478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6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6,327</w:t>
            </w:r>
          </w:p>
        </w:tc>
        <w:tc>
          <w:tcPr>
            <w:tcW w:w="10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6,341</w:t>
            </w:r>
          </w:p>
        </w:tc>
      </w:tr>
      <w:tr>
        <w:trPr>
          <w:trHeight w:val="153"/>
        </w:trPr>
        <w:tc>
          <w:tcPr>
            <w:tcW w:w="4780" w:type="dxa"/>
            <w:vAlign w:val="bottom"/>
            <w:tcBorders>
              <w:bottom w:val="single" w:sz="8" w:color="BFE4FF"/>
            </w:tcBorders>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Borders>
              <w:bottom w:val="single" w:sz="8" w:color="BFE4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778</w:t>
            </w:r>
          </w:p>
        </w:tc>
      </w:tr>
      <w:tr>
        <w:trPr>
          <w:trHeight w:val="162"/>
        </w:trPr>
        <w:tc>
          <w:tcPr>
            <w:tcW w:w="4780" w:type="dxa"/>
            <w:vAlign w:val="bottom"/>
            <w:tcBorders>
              <w:bottom w:val="single" w:sz="8" w:color="BFE4FF"/>
            </w:tcBorders>
            <w:gridSpan w:val="2"/>
            <w:shd w:val="clear" w:color="auto" w:fill="BFE4FF"/>
          </w:tcPr>
          <w:p>
            <w:pPr>
              <w:spacing w:after="0"/>
              <w:rPr>
                <w:sz w:val="20"/>
                <w:szCs w:val="20"/>
                <w:color w:val="auto"/>
              </w:rPr>
            </w:pPr>
            <w:r>
              <w:rPr>
                <w:rFonts w:ascii="Times New Roman" w:cs="Times New Roman" w:eastAsia="Times New Roman" w:hAnsi="Times New Roman"/>
                <w:sz w:val="12"/>
                <w:szCs w:val="12"/>
                <w:color w:val="auto"/>
              </w:rPr>
              <w:t>Adjusted gross profit (a)</w:t>
            </w:r>
          </w:p>
        </w:tc>
        <w:tc>
          <w:tcPr>
            <w:tcW w:w="60" w:type="dxa"/>
            <w:vAlign w:val="bottom"/>
            <w:tcBorders>
              <w:bottom w:val="single" w:sz="8" w:color="BFE4FF"/>
            </w:tcBorders>
            <w:shd w:val="clear" w:color="auto" w:fill="BFE4FF"/>
          </w:tcPr>
          <w:p>
            <w:pPr>
              <w:spacing w:after="0"/>
              <w:rPr>
                <w:sz w:val="14"/>
                <w:szCs w:val="14"/>
                <w:color w:val="auto"/>
              </w:rPr>
            </w:pPr>
          </w:p>
        </w:tc>
        <w:tc>
          <w:tcPr>
            <w:tcW w:w="260" w:type="dxa"/>
            <w:vAlign w:val="bottom"/>
            <w:tcBorders>
              <w:bottom w:val="single" w:sz="8" w:color="auto"/>
            </w:tcBorders>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19,708</w:t>
            </w:r>
          </w:p>
        </w:tc>
        <w:tc>
          <w:tcPr>
            <w:tcW w:w="100" w:type="dxa"/>
            <w:vAlign w:val="bottom"/>
            <w:tcBorders>
              <w:bottom w:val="single" w:sz="8" w:color="auto"/>
            </w:tcBorders>
            <w:shd w:val="clear" w:color="auto" w:fill="BFE4FF"/>
          </w:tcPr>
          <w:p>
            <w:pPr>
              <w:spacing w:after="0"/>
              <w:rPr>
                <w:sz w:val="14"/>
                <w:szCs w:val="14"/>
                <w:color w:val="auto"/>
              </w:rPr>
            </w:pPr>
          </w:p>
        </w:tc>
        <w:tc>
          <w:tcPr>
            <w:tcW w:w="40" w:type="dxa"/>
            <w:vAlign w:val="bottom"/>
            <w:tcBorders>
              <w:bottom w:val="single" w:sz="8" w:color="auto"/>
            </w:tcBorders>
            <w:shd w:val="clear" w:color="auto" w:fill="BFE4FF"/>
          </w:tcPr>
          <w:p>
            <w:pPr>
              <w:spacing w:after="0"/>
              <w:rPr>
                <w:sz w:val="14"/>
                <w:szCs w:val="14"/>
                <w:color w:val="auto"/>
              </w:rPr>
            </w:pPr>
          </w:p>
        </w:tc>
        <w:tc>
          <w:tcPr>
            <w:tcW w:w="100" w:type="dxa"/>
            <w:vAlign w:val="bottom"/>
            <w:tcBorders>
              <w:bottom w:val="single" w:sz="8" w:color="BFE4FF"/>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18,910</w:t>
            </w:r>
          </w:p>
        </w:tc>
      </w:tr>
      <w:tr>
        <w:trPr>
          <w:trHeight w:val="151"/>
        </w:trPr>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gross margin (3)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18.8 %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17.8 %</w:t>
            </w:r>
          </w:p>
        </w:tc>
      </w:tr>
      <w:tr>
        <w:trPr>
          <w:trHeight w:val="601"/>
        </w:trPr>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9"/>
        </w:trPr>
        <w:tc>
          <w:tcPr>
            <w:tcW w:w="2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5"/>
        </w:trPr>
        <w:tc>
          <w:tcPr>
            <w:tcW w:w="220" w:type="dxa"/>
            <w:vAlign w:val="bottom"/>
          </w:tcPr>
          <w:p>
            <w:pPr>
              <w:spacing w:after="0"/>
              <w:rPr>
                <w:sz w:val="12"/>
                <w:szCs w:val="12"/>
                <w:color w:val="auto"/>
              </w:rPr>
            </w:pPr>
          </w:p>
        </w:tc>
        <w:tc>
          <w:tcPr>
            <w:tcW w:w="45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r>
      <w:tr>
        <w:trPr>
          <w:trHeight w:val="142"/>
        </w:trPr>
        <w:tc>
          <w:tcPr>
            <w:tcW w:w="220" w:type="dxa"/>
            <w:vAlign w:val="bottom"/>
          </w:tcPr>
          <w:p>
            <w:pPr>
              <w:spacing w:after="0"/>
              <w:rPr>
                <w:sz w:val="12"/>
                <w:szCs w:val="12"/>
                <w:color w:val="auto"/>
              </w:rPr>
            </w:pPr>
          </w:p>
        </w:tc>
        <w:tc>
          <w:tcPr>
            <w:tcW w:w="45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422,207</w:t>
            </w:r>
          </w:p>
        </w:tc>
        <w:tc>
          <w:tcPr>
            <w:tcW w:w="100" w:type="dxa"/>
            <w:vAlign w:val="bottom"/>
            <w:shd w:val="clear" w:color="auto" w:fill="BFE4FF"/>
          </w:tcPr>
          <w:p>
            <w:pPr>
              <w:spacing w:after="0"/>
              <w:rPr>
                <w:sz w:val="12"/>
                <w:szCs w:val="12"/>
                <w:color w:val="auto"/>
              </w:rPr>
            </w:pPr>
          </w:p>
        </w:tc>
        <w:tc>
          <w:tcPr>
            <w:tcW w:w="140" w:type="dxa"/>
            <w:vAlign w:val="bottom"/>
            <w:gridSpan w:val="2"/>
            <w:shd w:val="clear" w:color="auto" w:fill="BFE4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BFE4FF"/>
          </w:tcPr>
          <w:p>
            <w:pPr>
              <w:spacing w:after="0"/>
              <w:rPr>
                <w:sz w:val="12"/>
                <w:szCs w:val="12"/>
                <w:color w:val="auto"/>
              </w:rPr>
            </w:pPr>
          </w:p>
        </w:tc>
        <w:tc>
          <w:tcPr>
            <w:tcW w:w="80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464,290</w:t>
            </w:r>
          </w:p>
        </w:tc>
        <w:tc>
          <w:tcPr>
            <w:tcW w:w="2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45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362,848</w:t>
            </w:r>
          </w:p>
        </w:tc>
        <w:tc>
          <w:tcPr>
            <w:tcW w:w="100" w:type="dxa"/>
            <w:vAlign w:val="bottom"/>
            <w:tcBorders>
              <w:bottom w:val="single" w:sz="8" w:color="BFE4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394,812</w:t>
            </w:r>
          </w:p>
        </w:tc>
        <w:tc>
          <w:tcPr>
            <w:tcW w:w="220" w:type="dxa"/>
            <w:vAlign w:val="bottom"/>
          </w:tcPr>
          <w:p>
            <w:pPr>
              <w:spacing w:after="0"/>
              <w:rPr>
                <w:sz w:val="13"/>
                <w:szCs w:val="13"/>
                <w:color w:val="auto"/>
              </w:rPr>
            </w:pPr>
          </w:p>
        </w:tc>
      </w:tr>
      <w:tr>
        <w:trPr>
          <w:trHeight w:val="142"/>
        </w:trPr>
        <w:tc>
          <w:tcPr>
            <w:tcW w:w="220" w:type="dxa"/>
            <w:vAlign w:val="bottom"/>
          </w:tcPr>
          <w:p>
            <w:pPr>
              <w:spacing w:after="0"/>
              <w:rPr>
                <w:sz w:val="12"/>
                <w:szCs w:val="12"/>
                <w:color w:val="auto"/>
              </w:rPr>
            </w:pPr>
          </w:p>
        </w:tc>
        <w:tc>
          <w:tcPr>
            <w:tcW w:w="45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gross profit</w:t>
            </w:r>
          </w:p>
        </w:tc>
        <w:tc>
          <w:tcPr>
            <w:tcW w:w="60" w:type="dxa"/>
            <w:vAlign w:val="bottom"/>
            <w:shd w:val="clear" w:color="auto" w:fill="BFE4FF"/>
          </w:tcPr>
          <w:p>
            <w:pPr>
              <w:spacing w:after="0"/>
              <w:rPr>
                <w:sz w:val="12"/>
                <w:szCs w:val="12"/>
                <w:color w:val="auto"/>
              </w:rPr>
            </w:pPr>
          </w:p>
        </w:tc>
        <w:tc>
          <w:tcPr>
            <w:tcW w:w="260" w:type="dxa"/>
            <w:vAlign w:val="bottom"/>
            <w:shd w:val="clear" w:color="auto" w:fill="BFE4FF"/>
          </w:tcPr>
          <w:p>
            <w:pPr>
              <w:spacing w:after="0"/>
              <w:rPr>
                <w:sz w:val="12"/>
                <w:szCs w:val="12"/>
                <w:color w:val="auto"/>
              </w:rPr>
            </w:pPr>
          </w:p>
        </w:tc>
        <w:tc>
          <w:tcPr>
            <w:tcW w:w="94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59,359</w:t>
            </w:r>
          </w:p>
        </w:tc>
        <w:tc>
          <w:tcPr>
            <w:tcW w:w="100" w:type="dxa"/>
            <w:vAlign w:val="bottom"/>
            <w:shd w:val="clear" w:color="auto" w:fill="BFE4FF"/>
          </w:tcPr>
          <w:p>
            <w:pPr>
              <w:spacing w:after="0"/>
              <w:rPr>
                <w:sz w:val="12"/>
                <w:szCs w:val="12"/>
                <w:color w:val="auto"/>
              </w:rPr>
            </w:pPr>
          </w:p>
        </w:tc>
        <w:tc>
          <w:tcPr>
            <w:tcW w:w="40" w:type="dxa"/>
            <w:vAlign w:val="bottom"/>
            <w:shd w:val="clear" w:color="auto" w:fill="BFE4FF"/>
          </w:tcPr>
          <w:p>
            <w:pPr>
              <w:spacing w:after="0"/>
              <w:rPr>
                <w:sz w:val="12"/>
                <w:szCs w:val="12"/>
                <w:color w:val="auto"/>
              </w:rPr>
            </w:pPr>
          </w:p>
        </w:tc>
        <w:tc>
          <w:tcPr>
            <w:tcW w:w="10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80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69,478</w:t>
            </w:r>
          </w:p>
        </w:tc>
        <w:tc>
          <w:tcPr>
            <w:tcW w:w="22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9,294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1,492</w:t>
            </w:r>
          </w:p>
        </w:tc>
        <w:tc>
          <w:tcPr>
            <w:tcW w:w="220" w:type="dxa"/>
            <w:vAlign w:val="bottom"/>
          </w:tcPr>
          <w:p>
            <w:pPr>
              <w:spacing w:after="0"/>
              <w:rPr>
                <w:sz w:val="13"/>
                <w:szCs w:val="13"/>
                <w:color w:val="auto"/>
              </w:rPr>
            </w:pPr>
          </w:p>
        </w:tc>
      </w:tr>
      <w:tr>
        <w:trPr>
          <w:trHeight w:val="153"/>
        </w:trPr>
        <w:tc>
          <w:tcPr>
            <w:tcW w:w="220" w:type="dxa"/>
            <w:vAlign w:val="bottom"/>
          </w:tcPr>
          <w:p>
            <w:pPr>
              <w:spacing w:after="0"/>
              <w:rPr>
                <w:sz w:val="13"/>
                <w:szCs w:val="13"/>
                <w:color w:val="auto"/>
              </w:rPr>
            </w:pPr>
          </w:p>
        </w:tc>
        <w:tc>
          <w:tcPr>
            <w:tcW w:w="45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60" w:type="dxa"/>
            <w:vAlign w:val="bottom"/>
            <w:shd w:val="clear" w:color="auto" w:fill="BFE4FF"/>
          </w:tcPr>
          <w:p>
            <w:pPr>
              <w:spacing w:after="0"/>
              <w:rPr>
                <w:sz w:val="13"/>
                <w:szCs w:val="13"/>
                <w:color w:val="auto"/>
              </w:rPr>
            </w:pPr>
          </w:p>
        </w:tc>
        <w:tc>
          <w:tcPr>
            <w:tcW w:w="260" w:type="dxa"/>
            <w:vAlign w:val="bottom"/>
            <w:shd w:val="clear" w:color="auto" w:fill="BFE4FF"/>
          </w:tcPr>
          <w:p>
            <w:pPr>
              <w:spacing w:after="0"/>
              <w:rPr>
                <w:sz w:val="13"/>
                <w:szCs w:val="13"/>
                <w:color w:val="auto"/>
              </w:rPr>
            </w:pPr>
          </w:p>
        </w:tc>
        <w:tc>
          <w:tcPr>
            <w:tcW w:w="94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6,327</w:t>
            </w:r>
          </w:p>
        </w:tc>
        <w:tc>
          <w:tcPr>
            <w:tcW w:w="100" w:type="dxa"/>
            <w:vAlign w:val="bottom"/>
            <w:shd w:val="clear" w:color="auto" w:fill="BFE4FF"/>
          </w:tcPr>
          <w:p>
            <w:pPr>
              <w:spacing w:after="0"/>
              <w:rPr>
                <w:sz w:val="13"/>
                <w:szCs w:val="13"/>
                <w:color w:val="auto"/>
              </w:rPr>
            </w:pPr>
          </w:p>
        </w:tc>
        <w:tc>
          <w:tcPr>
            <w:tcW w:w="4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80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7,292</w:t>
            </w:r>
          </w:p>
        </w:tc>
        <w:tc>
          <w:tcPr>
            <w:tcW w:w="220" w:type="dxa"/>
            <w:vAlign w:val="bottom"/>
          </w:tcPr>
          <w:p>
            <w:pPr>
              <w:spacing w:after="0"/>
              <w:rPr>
                <w:sz w:val="13"/>
                <w:szCs w:val="13"/>
                <w:color w:val="auto"/>
              </w:rPr>
            </w:pPr>
          </w:p>
        </w:tc>
      </w:tr>
      <w:tr>
        <w:trPr>
          <w:trHeight w:val="153"/>
        </w:trPr>
        <w:tc>
          <w:tcPr>
            <w:tcW w:w="220" w:type="dxa"/>
            <w:vAlign w:val="bottom"/>
          </w:tcPr>
          <w:p>
            <w:pPr>
              <w:spacing w:after="0"/>
              <w:rPr>
                <w:sz w:val="13"/>
                <w:szCs w:val="13"/>
                <w:color w:val="auto"/>
              </w:rPr>
            </w:pPr>
          </w:p>
        </w:tc>
        <w:tc>
          <w:tcPr>
            <w:tcW w:w="45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3,108</w:t>
            </w:r>
          </w:p>
        </w:tc>
        <w:tc>
          <w:tcPr>
            <w:tcW w:w="100" w:type="dxa"/>
            <w:vAlign w:val="bottom"/>
            <w:tcBorders>
              <w:bottom w:val="single" w:sz="8" w:color="BFE4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3,113</w:t>
            </w:r>
          </w:p>
        </w:tc>
        <w:tc>
          <w:tcPr>
            <w:tcW w:w="220" w:type="dxa"/>
            <w:vAlign w:val="bottom"/>
          </w:tcPr>
          <w:p>
            <w:pPr>
              <w:spacing w:after="0"/>
              <w:rPr>
                <w:sz w:val="13"/>
                <w:szCs w:val="13"/>
                <w:color w:val="auto"/>
              </w:rPr>
            </w:pPr>
          </w:p>
        </w:tc>
      </w:tr>
      <w:tr>
        <w:trPr>
          <w:trHeight w:val="162"/>
        </w:trPr>
        <w:tc>
          <w:tcPr>
            <w:tcW w:w="220" w:type="dxa"/>
            <w:vAlign w:val="bottom"/>
          </w:tcPr>
          <w:p>
            <w:pPr>
              <w:spacing w:after="0"/>
              <w:rPr>
                <w:sz w:val="14"/>
                <w:szCs w:val="14"/>
                <w:color w:val="auto"/>
              </w:rPr>
            </w:pPr>
          </w:p>
        </w:tc>
        <w:tc>
          <w:tcPr>
            <w:tcW w:w="456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Adjusted gross profit (a)</w:t>
            </w:r>
          </w:p>
        </w:tc>
        <w:tc>
          <w:tcPr>
            <w:tcW w:w="320" w:type="dxa"/>
            <w:vAlign w:val="bottom"/>
            <w:tcBorders>
              <w:bottom w:val="single" w:sz="8" w:color="auto"/>
            </w:tcBorders>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78,088</w:t>
            </w:r>
          </w:p>
        </w:tc>
        <w:tc>
          <w:tcPr>
            <w:tcW w:w="100" w:type="dxa"/>
            <w:vAlign w:val="bottom"/>
            <w:tcBorders>
              <w:bottom w:val="single" w:sz="8" w:color="BFE4FF"/>
            </w:tcBorders>
            <w:shd w:val="clear" w:color="auto" w:fill="BFE4FF"/>
          </w:tcPr>
          <w:p>
            <w:pPr>
              <w:spacing w:after="0"/>
              <w:rPr>
                <w:sz w:val="14"/>
                <w:szCs w:val="14"/>
                <w:color w:val="auto"/>
              </w:rPr>
            </w:pPr>
          </w:p>
        </w:tc>
        <w:tc>
          <w:tcPr>
            <w:tcW w:w="140" w:type="dxa"/>
            <w:vAlign w:val="bottom"/>
            <w:tcBorders>
              <w:bottom w:val="single" w:sz="8" w:color="auto"/>
            </w:tcBorders>
            <w:gridSpan w:val="2"/>
            <w:shd w:val="clear" w:color="auto" w:fill="BFE4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BFE4FF"/>
          </w:tcPr>
          <w:p>
            <w:pPr>
              <w:spacing w:after="0"/>
              <w:rPr>
                <w:sz w:val="14"/>
                <w:szCs w:val="14"/>
                <w:color w:val="auto"/>
              </w:rPr>
            </w:pPr>
          </w:p>
        </w:tc>
        <w:tc>
          <w:tcPr>
            <w:tcW w:w="800" w:type="dxa"/>
            <w:vAlign w:val="bottom"/>
            <w:tcBorders>
              <w:bottom w:val="single" w:sz="8" w:color="auto"/>
            </w:tcBorders>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81,375</w:t>
            </w:r>
          </w:p>
        </w:tc>
        <w:tc>
          <w:tcPr>
            <w:tcW w:w="220" w:type="dxa"/>
            <w:vAlign w:val="bottom"/>
          </w:tcPr>
          <w:p>
            <w:pPr>
              <w:spacing w:after="0"/>
              <w:rPr>
                <w:sz w:val="14"/>
                <w:szCs w:val="14"/>
                <w:color w:val="auto"/>
              </w:rPr>
            </w:pPr>
          </w:p>
        </w:tc>
      </w:tr>
      <w:tr>
        <w:trPr>
          <w:trHeight w:val="151"/>
        </w:trPr>
        <w:tc>
          <w:tcPr>
            <w:tcW w:w="2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Adjusted gross margin (3)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18.5 %</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17.5 %</w:t>
            </w:r>
          </w:p>
        </w:tc>
        <w:tc>
          <w:tcPr>
            <w:tcW w:w="220" w:type="dxa"/>
            <w:vAlign w:val="bottom"/>
          </w:tcPr>
          <w:p>
            <w:pPr>
              <w:spacing w:after="0"/>
              <w:rPr>
                <w:sz w:val="13"/>
                <w:szCs w:val="13"/>
                <w:color w:val="auto"/>
              </w:rPr>
            </w:pPr>
          </w:p>
        </w:tc>
      </w:tr>
    </w:tbl>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160"/>
          </w:cols>
          <w:pgMar w:left="1440" w:top="674" w:right="29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loss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334899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(10,414)</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(16,868)</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568</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1,577</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9,165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7,199</w:t>
            </w:r>
          </w:p>
        </w:tc>
      </w:tr>
      <w:tr>
        <w:trPr>
          <w:trHeight w:val="180"/>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3,406</w:t>
            </w:r>
          </w:p>
        </w:tc>
      </w:tr>
      <w:tr>
        <w:trPr>
          <w:trHeight w:val="180"/>
        </w:trPr>
        <w:tc>
          <w:tcPr>
            <w:tcW w:w="2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6,546</w:t>
            </w:r>
          </w:p>
        </w:tc>
      </w:tr>
      <w:tr>
        <w:trPr>
          <w:trHeight w:val="142"/>
        </w:trPr>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3,255</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2,428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(12,864)</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40" w:type="dxa"/>
            <w:vAlign w:val="bottom"/>
          </w:tcPr>
          <w:p>
            <w:pPr>
              <w:spacing w:after="0"/>
              <w:rPr>
                <w:sz w:val="15"/>
                <w:szCs w:val="15"/>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790</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2,986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7,148</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5"/>
                <w:szCs w:val="15"/>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Fixed asset impairments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6,546</w:t>
            </w:r>
          </w:p>
        </w:tc>
      </w:tr>
      <w:tr>
        <w:trPr>
          <w:trHeight w:val="158"/>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3,091</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2,459</w:t>
            </w:r>
          </w:p>
        </w:tc>
      </w:tr>
      <w:tr>
        <w:trPr>
          <w:trHeight w:val="126"/>
        </w:trPr>
        <w:tc>
          <w:tcPr>
            <w:tcW w:w="3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53"/>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40" w:type="dxa"/>
            <w:vAlign w:val="bottom"/>
          </w:tcPr>
          <w:p>
            <w:pPr>
              <w:spacing w:after="0"/>
              <w:rPr>
                <w:sz w:val="13"/>
                <w:szCs w:val="13"/>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2,974</w:t>
            </w:r>
          </w:p>
        </w:tc>
      </w:tr>
    </w:tbl>
    <w:p>
      <w:pPr>
        <w:spacing w:after="0" w:line="1"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2"/>
          <w:szCs w:val="12"/>
          <w:color w:val="auto"/>
        </w:rPr>
        <w:t>GAAP income (loss) from operations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34899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2.3 %</w:t>
            </w:r>
          </w:p>
        </w:tc>
      </w:tr>
      <w:tr>
        <w:trPr>
          <w:trHeight w:val="198"/>
        </w:trPr>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104,715</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106,513</w:t>
            </w:r>
          </w:p>
        </w:tc>
      </w:tr>
      <w:tr>
        <w:trPr>
          <w:trHeight w:val="846"/>
        </w:trPr>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69"/>
        </w:trPr>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7"/>
        </w:trPr>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(3,916)</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1,307</w:t>
            </w:r>
          </w:p>
        </w:tc>
      </w:tr>
      <w:tr>
        <w:trPr>
          <w:trHeight w:val="155"/>
        </w:trPr>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120" w:type="dxa"/>
            <w:vAlign w:val="bottom"/>
          </w:tcPr>
          <w:p>
            <w:pPr>
              <w:spacing w:after="0"/>
              <w:rPr>
                <w:sz w:val="15"/>
                <w:szCs w:val="15"/>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706</w:t>
            </w:r>
          </w:p>
        </w:tc>
      </w:tr>
      <w:tr>
        <w:trPr>
          <w:trHeight w:val="155"/>
        </w:trPr>
        <w:tc>
          <w:tcPr>
            <w:tcW w:w="12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6,178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51</w:t>
            </w:r>
          </w:p>
        </w:tc>
      </w:tr>
      <w:tr>
        <w:trPr>
          <w:trHeight w:val="180"/>
        </w:trPr>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2,567</w:t>
            </w:r>
          </w:p>
        </w:tc>
      </w:tr>
      <w:tr>
        <w:trPr>
          <w:trHeight w:val="142"/>
        </w:trPr>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4,854</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4,631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(a)</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5,433</w:t>
            </w:r>
          </w:p>
        </w:tc>
      </w:tr>
      <w:tr>
        <w:trPr>
          <w:trHeight w:val="126"/>
        </w:trPr>
        <w:tc>
          <w:tcPr>
            <w:tcW w:w="3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8.1 %</w:t>
            </w:r>
          </w:p>
        </w:tc>
      </w:tr>
      <w:tr>
        <w:trPr>
          <w:trHeight w:val="155"/>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59,264</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67,351</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0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660" w:type="dxa"/>
            <w:vAlign w:val="bottom"/>
            <w:shd w:val="clear" w:color="auto" w:fill="BFE4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(59)</w:t>
            </w:r>
          </w:p>
        </w:tc>
      </w:tr>
    </w:tbl>
    <w:p>
      <w:pPr>
        <w:spacing w:after="0" w:line="632"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560" w:type="dxa"/>
            <w:vAlign w:val="bottom"/>
            <w:shd w:val="clear" w:color="auto" w:fill="BFE4FF"/>
          </w:tcPr>
          <w:p>
            <w:pPr>
              <w:spacing w:after="0"/>
              <w:rPr>
                <w:sz w:val="12"/>
                <w:szCs w:val="12"/>
                <w:color w:val="auto"/>
              </w:rPr>
            </w:pPr>
          </w:p>
        </w:tc>
        <w:tc>
          <w:tcPr>
            <w:tcW w:w="860" w:type="dxa"/>
            <w:vAlign w:val="bottom"/>
            <w:shd w:val="clear" w:color="auto" w:fill="BFE4FF"/>
          </w:tcPr>
          <w:p>
            <w:pPr>
              <w:spacing w:after="0"/>
              <w:rPr>
                <w:sz w:val="12"/>
                <w:szCs w:val="12"/>
                <w:color w:val="auto"/>
              </w:rPr>
            </w:pPr>
          </w:p>
        </w:tc>
        <w:tc>
          <w:tcPr>
            <w:tcW w:w="76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720" w:type="dxa"/>
            <w:vAlign w:val="bottom"/>
            <w:shd w:val="clear" w:color="auto" w:fill="BFE4FF"/>
          </w:tcPr>
          <w:p>
            <w:pPr>
              <w:spacing w:after="0"/>
              <w:rPr>
                <w:sz w:val="12"/>
                <w:szCs w:val="12"/>
                <w:color w:val="auto"/>
              </w:rPr>
            </w:pPr>
          </w:p>
        </w:tc>
      </w:tr>
      <w:tr>
        <w:trPr>
          <w:trHeight w:val="171"/>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8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10.7 %</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11.8 %</w:t>
            </w:r>
          </w:p>
        </w:tc>
      </w:tr>
      <w:tr>
        <w:trPr>
          <w:trHeight w:val="189"/>
        </w:trPr>
        <w:tc>
          <w:tcPr>
            <w:tcW w:w="25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net sales</w:t>
            </w:r>
          </w:p>
        </w:tc>
        <w:tc>
          <w:tcPr>
            <w:tcW w:w="860" w:type="dxa"/>
            <w:vAlign w:val="bottom"/>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rPr>
              <w:t>45,529</w:t>
            </w:r>
          </w:p>
        </w:tc>
        <w:tc>
          <w:tcPr>
            <w:tcW w:w="36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39,221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674" w:right="299" w:bottom="1440" w:gutter="0" w:footer="0" w:header="0"/>
          <w:type w:val="continuous"/>
        </w:sectPr>
      </w:pPr>
    </w:p>
    <w:bookmarkStart w:id="14" w:name="page15"/>
    <w:bookmarkEnd w:id="14"/>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8"/>
          </w:cols>
          <w:pgMar w:left="292" w:top="674" w:right="299" w:bottom="1440" w:gutter="0" w:footer="0" w:header="0"/>
        </w:sectPr>
      </w:pP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1"/>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color w:val="auto"/>
              </w:rPr>
              <w:t>NN, Inc. Consolidated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loss from operations</w:t>
            </w:r>
          </w:p>
        </w:tc>
        <w:tc>
          <w:tcPr>
            <w:tcW w:w="260" w:type="dxa"/>
            <w:vAlign w:val="bottom"/>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(18,915)</w:t>
            </w:r>
          </w:p>
        </w:tc>
        <w:tc>
          <w:tcPr>
            <w:tcW w:w="100" w:type="dxa"/>
            <w:vAlign w:val="bottom"/>
            <w:shd w:val="clear" w:color="auto" w:fill="BFE4FF"/>
          </w:tcPr>
          <w:p>
            <w:pPr>
              <w:spacing w:after="0"/>
              <w:rPr>
                <w:sz w:val="12"/>
                <w:szCs w:val="12"/>
                <w:color w:val="auto"/>
              </w:rPr>
            </w:pPr>
          </w:p>
        </w:tc>
        <w:tc>
          <w:tcPr>
            <w:tcW w:w="280" w:type="dxa"/>
            <w:vAlign w:val="bottom"/>
            <w:shd w:val="clear" w:color="auto" w:fill="BFE4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(27,548)</w:t>
            </w: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648</w:t>
            </w:r>
          </w:p>
        </w:tc>
      </w:tr>
      <w:tr>
        <w:trPr>
          <w:trHeight w:val="16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Personnel costs (1)</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8,739</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3,437</w:t>
            </w: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Facility costs (2)</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9,825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8,280</w:t>
            </w:r>
          </w:p>
        </w:tc>
      </w:tr>
      <w:tr>
        <w:trPr>
          <w:trHeight w:val="16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13,621</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13,723</w:t>
            </w: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Fixed asset impairments</w:t>
            </w:r>
          </w:p>
        </w:tc>
        <w:tc>
          <w:tcPr>
            <w:tcW w:w="2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6,546</w:t>
            </w:r>
          </w:p>
        </w:tc>
      </w:tr>
      <w:tr>
        <w:trPr>
          <w:trHeight w:val="169"/>
        </w:trPr>
        <w:tc>
          <w:tcPr>
            <w:tcW w:w="2800" w:type="dxa"/>
            <w:vAlign w:val="bottom"/>
            <w:tcBorders>
              <w:top w:val="single" w:sz="8" w:color="BFE4FF"/>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tc>
        <w:tc>
          <w:tcPr>
            <w:tcW w:w="260" w:type="dxa"/>
            <w:vAlign w:val="bottom"/>
            <w:tcBorders>
              <w:top w:val="single" w:sz="8" w:color="auto"/>
              <w:bottom w:val="single" w:sz="8" w:color="auto"/>
            </w:tcBorders>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14,247</w:t>
            </w:r>
          </w:p>
        </w:tc>
        <w:tc>
          <w:tcPr>
            <w:tcW w:w="100" w:type="dxa"/>
            <w:vAlign w:val="bottom"/>
            <w:tcBorders>
              <w:top w:val="single" w:sz="8" w:color="BFE4FF"/>
              <w:bottom w:val="single" w:sz="8" w:color="BFE4FF"/>
            </w:tcBorders>
            <w:shd w:val="clear" w:color="auto" w:fill="BFE4FF"/>
          </w:tcPr>
          <w:p>
            <w:pPr>
              <w:spacing w:after="0"/>
              <w:rPr>
                <w:sz w:val="14"/>
                <w:szCs w:val="14"/>
                <w:color w:val="auto"/>
              </w:rPr>
            </w:pPr>
          </w:p>
        </w:tc>
        <w:tc>
          <w:tcPr>
            <w:tcW w:w="280" w:type="dxa"/>
            <w:vAlign w:val="bottom"/>
            <w:tcBorders>
              <w:top w:val="single" w:sz="8" w:color="auto"/>
              <w:bottom w:val="single" w:sz="8" w:color="auto"/>
            </w:tcBorders>
            <w:shd w:val="clear" w:color="auto" w:fill="BFE4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5,086</w:t>
            </w:r>
          </w:p>
        </w:tc>
      </w:tr>
      <w:tr>
        <w:trPr>
          <w:trHeight w:val="126"/>
        </w:trPr>
        <w:tc>
          <w:tcPr>
            <w:tcW w:w="2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8"/>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422,207</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464,290</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1"/>
        </w:trPr>
        <w:tc>
          <w:tcPr>
            <w:tcW w:w="25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Mobile Solutions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2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loss from operations</w:t>
            </w:r>
          </w:p>
        </w:tc>
        <w:tc>
          <w:tcPr>
            <w:tcW w:w="260" w:type="dxa"/>
            <w:vAlign w:val="bottom"/>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(8,021)</w:t>
            </w:r>
          </w:p>
        </w:tc>
        <w:tc>
          <w:tcPr>
            <w:tcW w:w="80" w:type="dxa"/>
            <w:vAlign w:val="bottom"/>
            <w:shd w:val="clear" w:color="auto" w:fill="BFE4FF"/>
          </w:tcPr>
          <w:p>
            <w:pPr>
              <w:spacing w:after="0"/>
              <w:rPr>
                <w:sz w:val="12"/>
                <w:szCs w:val="12"/>
                <w:color w:val="auto"/>
              </w:rPr>
            </w:pPr>
          </w:p>
        </w:tc>
        <w:tc>
          <w:tcPr>
            <w:tcW w:w="280" w:type="dxa"/>
            <w:vAlign w:val="bottom"/>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(18,078)</w:t>
            </w:r>
          </w:p>
        </w:tc>
      </w:tr>
      <w:tr>
        <w:trPr>
          <w:trHeight w:val="160"/>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 (1)</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8,283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1,739</w:t>
            </w:r>
          </w:p>
        </w:tc>
      </w:tr>
      <w:tr>
        <w:trPr>
          <w:trHeight w:val="164"/>
        </w:trPr>
        <w:tc>
          <w:tcPr>
            <w:tcW w:w="2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Facility costs (2)</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3,651</w:t>
            </w:r>
          </w:p>
        </w:tc>
        <w:tc>
          <w:tcPr>
            <w:tcW w:w="8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7,930</w:t>
            </w:r>
          </w:p>
        </w:tc>
      </w:tr>
      <w:tr>
        <w:trPr>
          <w:trHeight w:val="160"/>
        </w:trPr>
        <w:tc>
          <w:tcPr>
            <w:tcW w:w="2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3,353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3,354</w:t>
            </w:r>
          </w:p>
        </w:tc>
      </w:tr>
      <w:tr>
        <w:trPr>
          <w:trHeight w:val="158"/>
        </w:trPr>
        <w:tc>
          <w:tcPr>
            <w:tcW w:w="2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Fixed asset impairments</w:t>
            </w:r>
          </w:p>
        </w:tc>
        <w:tc>
          <w:tcPr>
            <w:tcW w:w="260" w:type="dxa"/>
            <w:vAlign w:val="bottom"/>
            <w:shd w:val="clear" w:color="auto" w:fill="BFE4FF"/>
          </w:tcPr>
          <w:p>
            <w:pPr>
              <w:spacing w:after="0"/>
              <w:rPr>
                <w:sz w:val="13"/>
                <w:szCs w:val="13"/>
                <w:color w:val="auto"/>
              </w:rPr>
            </w:pPr>
          </w:p>
        </w:tc>
        <w:tc>
          <w:tcPr>
            <w:tcW w:w="10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BFE4FF"/>
          </w:tcPr>
          <w:p>
            <w:pPr>
              <w:spacing w:after="0"/>
              <w:rPr>
                <w:sz w:val="13"/>
                <w:szCs w:val="13"/>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6,546</w:t>
            </w:r>
          </w:p>
        </w:tc>
      </w:tr>
      <w:tr>
        <w:trPr>
          <w:trHeight w:val="174"/>
        </w:trPr>
        <w:tc>
          <w:tcPr>
            <w:tcW w:w="25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Non-GAAP adjusted income from operations (a)</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7,266</w:t>
            </w:r>
          </w:p>
        </w:tc>
        <w:tc>
          <w:tcPr>
            <w:tcW w:w="80" w:type="dxa"/>
            <w:vAlign w:val="bottom"/>
            <w:tcBorders>
              <w:bottom w:val="single" w:sz="8" w:color="BFE4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1,491</w:t>
            </w:r>
          </w:p>
        </w:tc>
      </w:tr>
      <w:tr>
        <w:trPr>
          <w:trHeight w:val="126"/>
        </w:trPr>
        <w:tc>
          <w:tcPr>
            <w:tcW w:w="2560" w:type="dxa"/>
            <w:vAlign w:val="bottom"/>
            <w:shd w:val="clear" w:color="auto" w:fill="BFE4FF"/>
          </w:tcPr>
          <w:p>
            <w:pPr>
              <w:spacing w:after="0"/>
              <w:rPr>
                <w:sz w:val="10"/>
                <w:szCs w:val="10"/>
                <w:color w:val="auto"/>
              </w:rPr>
            </w:pPr>
          </w:p>
        </w:tc>
        <w:tc>
          <w:tcPr>
            <w:tcW w:w="260" w:type="dxa"/>
            <w:vAlign w:val="bottom"/>
            <w:shd w:val="clear" w:color="auto" w:fill="BFE4FF"/>
          </w:tcPr>
          <w:p>
            <w:pPr>
              <w:spacing w:after="0"/>
              <w:rPr>
                <w:sz w:val="10"/>
                <w:szCs w:val="10"/>
                <w:color w:val="auto"/>
              </w:rPr>
            </w:pPr>
          </w:p>
        </w:tc>
        <w:tc>
          <w:tcPr>
            <w:tcW w:w="920" w:type="dxa"/>
            <w:vAlign w:val="bottom"/>
            <w:shd w:val="clear" w:color="auto" w:fill="BFE4FF"/>
          </w:tcPr>
          <w:p>
            <w:pPr>
              <w:spacing w:after="0"/>
              <w:rPr>
                <w:sz w:val="10"/>
                <w:szCs w:val="10"/>
                <w:color w:val="auto"/>
              </w:rPr>
            </w:pPr>
          </w:p>
        </w:tc>
        <w:tc>
          <w:tcPr>
            <w:tcW w:w="8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900" w:type="dxa"/>
            <w:vAlign w:val="bottom"/>
            <w:shd w:val="clear" w:color="auto" w:fill="BFE4FF"/>
          </w:tcPr>
          <w:p>
            <w:pPr>
              <w:spacing w:after="0"/>
              <w:rPr>
                <w:sz w:val="10"/>
                <w:szCs w:val="10"/>
                <w:color w:val="auto"/>
              </w:rPr>
            </w:pPr>
          </w:p>
        </w:tc>
      </w:tr>
      <w:tr>
        <w:trPr>
          <w:trHeight w:val="155"/>
        </w:trPr>
        <w:tc>
          <w:tcPr>
            <w:tcW w:w="25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Share of net income from joint venture</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8,870</w:t>
            </w:r>
          </w:p>
        </w:tc>
        <w:tc>
          <w:tcPr>
            <w:tcW w:w="8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9,571</w:t>
            </w:r>
          </w:p>
        </w:tc>
      </w:tr>
      <w:tr>
        <w:trPr>
          <w:trHeight w:val="174"/>
        </w:trPr>
        <w:tc>
          <w:tcPr>
            <w:tcW w:w="256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w w:val="99"/>
              </w:rPr>
              <w:t>Non-GAAP adjusted income from operations with JV (a)</w:t>
            </w:r>
          </w:p>
        </w:tc>
        <w:tc>
          <w:tcPr>
            <w:tcW w:w="260" w:type="dxa"/>
            <w:vAlign w:val="bottom"/>
            <w:tcBorders>
              <w:bottom w:val="single" w:sz="8" w:color="auto"/>
            </w:tcBorders>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16,136</w:t>
            </w:r>
          </w:p>
        </w:tc>
        <w:tc>
          <w:tcPr>
            <w:tcW w:w="80" w:type="dxa"/>
            <w:vAlign w:val="bottom"/>
            <w:tcBorders>
              <w:bottom w:val="single" w:sz="8" w:color="BFE4FF"/>
            </w:tcBorders>
            <w:shd w:val="clear" w:color="auto" w:fill="BFE4FF"/>
          </w:tcPr>
          <w:p>
            <w:pPr>
              <w:spacing w:after="0"/>
              <w:rPr>
                <w:sz w:val="15"/>
                <w:szCs w:val="15"/>
                <w:color w:val="auto"/>
              </w:rPr>
            </w:pPr>
          </w:p>
        </w:tc>
        <w:tc>
          <w:tcPr>
            <w:tcW w:w="280" w:type="dxa"/>
            <w:vAlign w:val="bottom"/>
            <w:tcBorders>
              <w:bottom w:val="single" w:sz="8" w:color="auto"/>
            </w:tcBorders>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11,062</w:t>
            </w:r>
          </w:p>
        </w:tc>
      </w:tr>
      <w:tr>
        <w:trPr>
          <w:trHeight w:val="126"/>
        </w:trPr>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25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6.6 %</w:t>
            </w:r>
          </w:p>
        </w:tc>
        <w:tc>
          <w:tcPr>
            <w:tcW w:w="8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3.9 %</w:t>
            </w:r>
          </w:p>
        </w:tc>
      </w:tr>
    </w:tbl>
    <w:p>
      <w:pPr>
        <w:spacing w:after="0" w:line="9" w:lineRule="exact"/>
        <w:rPr>
          <w:sz w:val="20"/>
          <w:szCs w:val="20"/>
          <w:color w:val="auto"/>
        </w:rPr>
      </w:pPr>
    </w:p>
    <w:p>
      <w:pPr>
        <w:sectPr>
          <w:pgSz w:w="11900" w:h="16838" w:orient="portrait"/>
          <w:cols w:equalWidth="0" w:num="2">
            <w:col w:w="5268" w:space="640"/>
            <w:col w:w="5400"/>
          </w:cols>
          <w:pgMar w:left="292" w:top="674" w:right="299" w:bottom="1440" w:gutter="0" w:footer="0" w:header="0"/>
          <w:type w:val="continuous"/>
        </w:sectPr>
      </w:pPr>
    </w:p>
    <w:tbl>
      <w:tblPr>
        <w:tblLayout w:type="fixed"/>
        <w:tblInd w:w="8"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GAAP net sales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244,016</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283,944</w:t>
            </w:r>
          </w:p>
        </w:tc>
        <w:tc>
          <w:tcPr>
            <w:tcW w:w="0" w:type="dxa"/>
            <w:vAlign w:val="bottom"/>
          </w:tcPr>
          <w:p>
            <w:pPr>
              <w:spacing w:after="0"/>
              <w:rPr>
                <w:sz w:val="1"/>
                <w:szCs w:val="1"/>
                <w:color w:val="auto"/>
              </w:rPr>
            </w:pPr>
          </w:p>
        </w:tc>
      </w:tr>
      <w:tr>
        <w:trPr>
          <w:trHeight w:val="331"/>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980" w:type="dxa"/>
            <w:vAlign w:val="bottom"/>
            <w:tcBorders>
              <w:bottom w:val="single" w:sz="8" w:color="auto"/>
            </w:tcBorders>
            <w:gridSpan w:val="4"/>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color w:val="auto"/>
              </w:rPr>
              <w:t>Power Solutions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BFE4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4"/>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2"/>
        </w:trPr>
        <w:tc>
          <w:tcPr>
            <w:tcW w:w="2800" w:type="dxa"/>
            <w:vAlign w:val="bottom"/>
            <w:tcBorders>
              <w:top w:val="single" w:sz="8" w:color="BFE4FF"/>
            </w:tcBorders>
            <w:shd w:val="clear" w:color="auto" w:fill="BFE4FF"/>
          </w:tcPr>
          <w:p>
            <w:pPr>
              <w:spacing w:after="0" w:line="82" w:lineRule="exact"/>
              <w:rPr>
                <w:sz w:val="20"/>
                <w:szCs w:val="20"/>
                <w:color w:val="auto"/>
              </w:rPr>
            </w:pPr>
            <w:r>
              <w:rPr>
                <w:rFonts w:ascii="Times New Roman" w:cs="Times New Roman" w:eastAsia="Times New Roman" w:hAnsi="Times New Roman"/>
                <w:sz w:val="9"/>
                <w:szCs w:val="9"/>
                <w:color w:val="auto"/>
              </w:rPr>
              <w:t>GAAP income from operations</w:t>
            </w:r>
          </w:p>
        </w:tc>
        <w:tc>
          <w:tcPr>
            <w:tcW w:w="700" w:type="dxa"/>
            <w:vAlign w:val="bottom"/>
            <w:tcBorders>
              <w:top w:val="single" w:sz="8" w:color="BFE4FF"/>
            </w:tcBorders>
            <w:shd w:val="clear" w:color="auto" w:fill="BFE4FF"/>
          </w:tcPr>
          <w:p>
            <w:pPr>
              <w:jc w:val="right"/>
              <w:ind w:right="587"/>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BFE4FF"/>
            </w:tcBorders>
            <w:shd w:val="clear" w:color="auto" w:fill="BFE4FF"/>
          </w:tcPr>
          <w:p>
            <w:pPr>
              <w:jc w:val="right"/>
              <w:ind w:right="87"/>
              <w:spacing w:after="0" w:line="93" w:lineRule="exact"/>
              <w:rPr>
                <w:sz w:val="20"/>
                <w:szCs w:val="20"/>
                <w:color w:val="auto"/>
              </w:rPr>
            </w:pPr>
            <w:r>
              <w:rPr>
                <w:rFonts w:ascii="Times New Roman" w:cs="Times New Roman" w:eastAsia="Times New Roman" w:hAnsi="Times New Roman"/>
                <w:sz w:val="10"/>
                <w:szCs w:val="10"/>
                <w:color w:val="auto"/>
              </w:rPr>
              <w:t>10,321</w:t>
            </w:r>
          </w:p>
        </w:tc>
        <w:tc>
          <w:tcPr>
            <w:tcW w:w="100" w:type="dxa"/>
            <w:vAlign w:val="bottom"/>
            <w:tcBorders>
              <w:top w:val="single" w:sz="8" w:color="BFE4FF"/>
            </w:tcBorders>
            <w:shd w:val="clear" w:color="auto" w:fill="BFE4FF"/>
          </w:tcPr>
          <w:p>
            <w:pPr>
              <w:spacing w:after="0"/>
              <w:rPr>
                <w:sz w:val="8"/>
                <w:szCs w:val="8"/>
                <w:color w:val="auto"/>
              </w:rPr>
            </w:pPr>
          </w:p>
        </w:tc>
        <w:tc>
          <w:tcPr>
            <w:tcW w:w="700" w:type="dxa"/>
            <w:vAlign w:val="bottom"/>
            <w:tcBorders>
              <w:top w:val="single" w:sz="8" w:color="BFE4FF"/>
            </w:tcBorders>
            <w:shd w:val="clear" w:color="auto" w:fill="BFE4FF"/>
          </w:tcPr>
          <w:p>
            <w:pPr>
              <w:jc w:val="right"/>
              <w:ind w:right="587"/>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BFE4FF"/>
            </w:tcBorders>
            <w:shd w:val="clear" w:color="auto" w:fill="BFE4FF"/>
          </w:tcPr>
          <w:p>
            <w:pPr>
              <w:jc w:val="right"/>
              <w:ind w:right="67"/>
              <w:spacing w:after="0" w:line="93" w:lineRule="exact"/>
              <w:rPr>
                <w:sz w:val="20"/>
                <w:szCs w:val="20"/>
                <w:color w:val="auto"/>
              </w:rPr>
            </w:pPr>
            <w:r>
              <w:rPr>
                <w:rFonts w:ascii="Times New Roman" w:cs="Times New Roman" w:eastAsia="Times New Roman" w:hAnsi="Times New Roman"/>
                <w:sz w:val="10"/>
                <w:szCs w:val="10"/>
                <w:color w:val="auto"/>
              </w:rPr>
              <w:t>13,111</w:t>
            </w:r>
          </w:p>
        </w:tc>
        <w:tc>
          <w:tcPr>
            <w:tcW w:w="640" w:type="dxa"/>
            <w:vAlign w:val="bottom"/>
          </w:tcPr>
          <w:p>
            <w:pPr>
              <w:spacing w:after="0"/>
              <w:rPr>
                <w:sz w:val="8"/>
                <w:szCs w:val="8"/>
                <w:color w:val="auto"/>
              </w:rPr>
            </w:pPr>
          </w:p>
        </w:tc>
        <w:tc>
          <w:tcPr>
            <w:tcW w:w="164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Elimination</w:t>
            </w:r>
          </w:p>
        </w:tc>
        <w:tc>
          <w:tcPr>
            <w:tcW w:w="10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386"/>
              <w:spacing w:after="0" w:line="102"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366"/>
              <w:spacing w:after="0" w:line="102"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6"/>
        </w:trPr>
        <w:tc>
          <w:tcPr>
            <w:tcW w:w="2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Personnel costs (1)</w:t>
            </w:r>
          </w:p>
        </w:tc>
        <w:tc>
          <w:tcPr>
            <w:tcW w:w="700" w:type="dxa"/>
            <w:vAlign w:val="bottom"/>
          </w:tcPr>
          <w:p>
            <w:pPr>
              <w:spacing w:after="0"/>
              <w:rPr>
                <w:sz w:val="3"/>
                <w:szCs w:val="3"/>
                <w:color w:val="auto"/>
              </w:rPr>
            </w:pPr>
          </w:p>
        </w:tc>
        <w:tc>
          <w:tcPr>
            <w:tcW w:w="480" w:type="dxa"/>
            <w:vAlign w:val="bottom"/>
            <w:vMerge w:val="restart"/>
          </w:tcPr>
          <w:p>
            <w:pPr>
              <w:jc w:val="right"/>
              <w:ind w:right="87"/>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887</w:t>
            </w:r>
          </w:p>
        </w:tc>
        <w:tc>
          <w:tcPr>
            <w:tcW w:w="640" w:type="dxa"/>
            <w:vAlign w:val="bottom"/>
          </w:tcPr>
          <w:p>
            <w:pPr>
              <w:spacing w:after="0"/>
              <w:rPr>
                <w:sz w:val="3"/>
                <w:szCs w:val="3"/>
                <w:color w:val="auto"/>
              </w:rPr>
            </w:pPr>
          </w:p>
        </w:tc>
        <w:tc>
          <w:tcPr>
            <w:tcW w:w="1640" w:type="dxa"/>
            <w:vAlign w:val="bottom"/>
            <w:tcBorders>
              <w:bottom w:val="single" w:sz="8" w:color="BFE4FF"/>
            </w:tcBorders>
          </w:tcPr>
          <w:p>
            <w:pPr>
              <w:spacing w:after="0"/>
              <w:rPr>
                <w:sz w:val="3"/>
                <w:szCs w:val="3"/>
                <w:color w:val="auto"/>
              </w:rPr>
            </w:pPr>
          </w:p>
        </w:tc>
        <w:tc>
          <w:tcPr>
            <w:tcW w:w="1020" w:type="dxa"/>
            <w:vAlign w:val="bottom"/>
            <w:tcBorders>
              <w:bottom w:val="single" w:sz="8" w:color="BFE4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BFE4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800" w:type="dxa"/>
            <w:vAlign w:val="bottom"/>
            <w:tcBorders>
              <w:bottom w:val="single" w:sz="8" w:color="BFE4FF"/>
            </w:tcBorders>
            <w:vMerge w:val="continue"/>
          </w:tcPr>
          <w:p>
            <w:pPr>
              <w:spacing w:after="0"/>
              <w:rPr>
                <w:sz w:val="11"/>
                <w:szCs w:val="11"/>
                <w:color w:val="auto"/>
              </w:rPr>
            </w:pPr>
          </w:p>
        </w:tc>
        <w:tc>
          <w:tcPr>
            <w:tcW w:w="700" w:type="dxa"/>
            <w:vAlign w:val="bottom"/>
            <w:tcBorders>
              <w:bottom w:val="single" w:sz="8" w:color="BFE4FF"/>
            </w:tcBorders>
          </w:tcPr>
          <w:p>
            <w:pPr>
              <w:spacing w:after="0"/>
              <w:rPr>
                <w:sz w:val="11"/>
                <w:szCs w:val="11"/>
                <w:color w:val="auto"/>
              </w:rPr>
            </w:pPr>
          </w:p>
        </w:tc>
        <w:tc>
          <w:tcPr>
            <w:tcW w:w="480" w:type="dxa"/>
            <w:vAlign w:val="bottom"/>
            <w:tcBorders>
              <w:bottom w:val="single" w:sz="8" w:color="BFE4FF"/>
            </w:tcBorders>
            <w:vMerge w:val="continue"/>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700" w:type="dxa"/>
            <w:vAlign w:val="bottom"/>
            <w:tcBorders>
              <w:bottom w:val="single" w:sz="8" w:color="BFE4FF"/>
            </w:tcBorders>
          </w:tcPr>
          <w:p>
            <w:pPr>
              <w:spacing w:after="0"/>
              <w:rPr>
                <w:sz w:val="11"/>
                <w:szCs w:val="11"/>
                <w:color w:val="auto"/>
              </w:rPr>
            </w:pPr>
          </w:p>
        </w:tc>
        <w:tc>
          <w:tcPr>
            <w:tcW w:w="480" w:type="dxa"/>
            <w:vAlign w:val="bottom"/>
            <w:tcBorders>
              <w:bottom w:val="single" w:sz="8" w:color="BFE4FF"/>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sales</w:t>
            </w:r>
          </w:p>
        </w:tc>
        <w:tc>
          <w:tcPr>
            <w:tcW w:w="128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340" w:type="dxa"/>
            <w:vAlign w:val="bottom"/>
            <w:tcBorders>
              <w:bottom w:val="single" w:sz="8" w:color="BFE4FF"/>
            </w:tcBorders>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17"/>
        </w:trPr>
        <w:tc>
          <w:tcPr>
            <w:tcW w:w="2800" w:type="dxa"/>
            <w:vAlign w:val="bottom"/>
            <w:shd w:val="clear" w:color="auto" w:fill="BFE4FF"/>
          </w:tcPr>
          <w:p>
            <w:pPr>
              <w:spacing w:after="0" w:line="104" w:lineRule="exact"/>
              <w:rPr>
                <w:sz w:val="20"/>
                <w:szCs w:val="20"/>
                <w:color w:val="auto"/>
              </w:rPr>
            </w:pPr>
            <w:r>
              <w:rPr>
                <w:rFonts w:ascii="Times New Roman" w:cs="Times New Roman" w:eastAsia="Times New Roman" w:hAnsi="Times New Roman"/>
                <w:sz w:val="11"/>
                <w:szCs w:val="11"/>
                <w:color w:val="auto"/>
              </w:rPr>
              <w:t>Facility costs (2)</w:t>
            </w:r>
          </w:p>
        </w:tc>
        <w:tc>
          <w:tcPr>
            <w:tcW w:w="700" w:type="dxa"/>
            <w:vAlign w:val="bottom"/>
            <w:shd w:val="clear" w:color="auto" w:fill="BFE4FF"/>
          </w:tcPr>
          <w:p>
            <w:pPr>
              <w:spacing w:after="0"/>
              <w:rPr>
                <w:sz w:val="10"/>
                <w:szCs w:val="10"/>
                <w:color w:val="auto"/>
              </w:rPr>
            </w:pPr>
          </w:p>
        </w:tc>
        <w:tc>
          <w:tcPr>
            <w:tcW w:w="480" w:type="dxa"/>
            <w:vAlign w:val="bottom"/>
            <w:shd w:val="clear" w:color="auto" w:fill="BFE4FF"/>
          </w:tcPr>
          <w:p>
            <w:pPr>
              <w:jc w:val="right"/>
              <w:ind w:right="87"/>
              <w:spacing w:after="0" w:line="113" w:lineRule="exact"/>
              <w:rPr>
                <w:sz w:val="20"/>
                <w:szCs w:val="20"/>
                <w:color w:val="auto"/>
              </w:rPr>
            </w:pPr>
            <w:r>
              <w:rPr>
                <w:rFonts w:ascii="Times New Roman" w:cs="Times New Roman" w:eastAsia="Times New Roman" w:hAnsi="Times New Roman"/>
                <w:sz w:val="11"/>
                <w:szCs w:val="11"/>
                <w:color w:val="auto"/>
              </w:rPr>
              <w:t>6,189</w:t>
            </w:r>
          </w:p>
        </w:tc>
        <w:tc>
          <w:tcPr>
            <w:tcW w:w="100" w:type="dxa"/>
            <w:vAlign w:val="bottom"/>
            <w:shd w:val="clear" w:color="auto" w:fill="BFE4FF"/>
          </w:tcPr>
          <w:p>
            <w:pPr>
              <w:spacing w:after="0"/>
              <w:rPr>
                <w:sz w:val="10"/>
                <w:szCs w:val="10"/>
                <w:color w:val="auto"/>
              </w:rPr>
            </w:pPr>
          </w:p>
        </w:tc>
        <w:tc>
          <w:tcPr>
            <w:tcW w:w="700" w:type="dxa"/>
            <w:vAlign w:val="bottom"/>
            <w:shd w:val="clear" w:color="auto" w:fill="BFE4FF"/>
          </w:tcPr>
          <w:p>
            <w:pPr>
              <w:spacing w:after="0"/>
              <w:rPr>
                <w:sz w:val="10"/>
                <w:szCs w:val="10"/>
                <w:color w:val="auto"/>
              </w:rPr>
            </w:pPr>
          </w:p>
        </w:tc>
        <w:tc>
          <w:tcPr>
            <w:tcW w:w="480" w:type="dxa"/>
            <w:vAlign w:val="bottom"/>
            <w:shd w:val="clear" w:color="auto" w:fill="BFE4FF"/>
          </w:tcPr>
          <w:p>
            <w:pPr>
              <w:jc w:val="right"/>
              <w:ind w:right="67"/>
              <w:spacing w:after="0" w:line="113" w:lineRule="exact"/>
              <w:rPr>
                <w:sz w:val="20"/>
                <w:szCs w:val="20"/>
                <w:color w:val="auto"/>
              </w:rPr>
            </w:pPr>
            <w:r>
              <w:rPr>
                <w:rFonts w:ascii="Times New Roman" w:cs="Times New Roman" w:eastAsia="Times New Roman" w:hAnsi="Times New Roman"/>
                <w:sz w:val="11"/>
                <w:szCs w:val="11"/>
                <w:color w:val="auto"/>
              </w:rPr>
              <w:t>357</w:t>
            </w:r>
          </w:p>
        </w:tc>
        <w:tc>
          <w:tcPr>
            <w:tcW w:w="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700" w:type="dxa"/>
            <w:vAlign w:val="bottom"/>
          </w:tcPr>
          <w:p>
            <w:pPr>
              <w:spacing w:after="0"/>
              <w:rPr>
                <w:sz w:val="13"/>
                <w:szCs w:val="13"/>
                <w:color w:val="auto"/>
              </w:rPr>
            </w:pPr>
          </w:p>
        </w:tc>
        <w:tc>
          <w:tcPr>
            <w:tcW w:w="48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10,268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10,369</w:t>
            </w:r>
          </w:p>
        </w:tc>
        <w:tc>
          <w:tcPr>
            <w:tcW w:w="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Fixed asset impairments</w:t>
            </w:r>
          </w:p>
        </w:tc>
        <w:tc>
          <w:tcPr>
            <w:tcW w:w="700" w:type="dxa"/>
            <w:vAlign w:val="bottom"/>
            <w:shd w:val="clear" w:color="auto" w:fill="BFE4FF"/>
          </w:tcPr>
          <w:p>
            <w:pPr>
              <w:spacing w:after="0"/>
              <w:rPr>
                <w:sz w:val="12"/>
                <w:szCs w:val="12"/>
                <w:color w:val="auto"/>
              </w:rPr>
            </w:pPr>
          </w:p>
        </w:tc>
        <w:tc>
          <w:tcPr>
            <w:tcW w:w="580" w:type="dxa"/>
            <w:vAlign w:val="bottom"/>
            <w:gridSpan w:val="2"/>
            <w:shd w:val="clear" w:color="auto" w:fill="BFE4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tc>
        <w:tc>
          <w:tcPr>
            <w:tcW w:w="700" w:type="dxa"/>
            <w:vAlign w:val="bottom"/>
            <w:tcBorders>
              <w:top w:val="single" w:sz="8" w:color="auto"/>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26,913</w:t>
            </w:r>
          </w:p>
        </w:tc>
        <w:tc>
          <w:tcPr>
            <w:tcW w:w="100" w:type="dxa"/>
            <w:vAlign w:val="bottom"/>
            <w:tcBorders>
              <w:bottom w:val="single" w:sz="8" w:color="BFE4FF"/>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5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24,724</w:t>
            </w:r>
          </w:p>
        </w:tc>
        <w:tc>
          <w:tcPr>
            <w:tcW w:w="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BFE4FF"/>
          </w:tcPr>
          <w:p>
            <w:pPr>
              <w:spacing w:after="0"/>
              <w:rPr>
                <w:sz w:val="10"/>
                <w:szCs w:val="10"/>
                <w:color w:val="auto"/>
              </w:rPr>
            </w:pPr>
          </w:p>
        </w:tc>
        <w:tc>
          <w:tcPr>
            <w:tcW w:w="700" w:type="dxa"/>
            <w:vAlign w:val="bottom"/>
            <w:shd w:val="clear" w:color="auto" w:fill="BFE4FF"/>
          </w:tcPr>
          <w:p>
            <w:pPr>
              <w:spacing w:after="0"/>
              <w:rPr>
                <w:sz w:val="10"/>
                <w:szCs w:val="10"/>
                <w:color w:val="auto"/>
              </w:rPr>
            </w:pPr>
          </w:p>
        </w:tc>
        <w:tc>
          <w:tcPr>
            <w:tcW w:w="48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700" w:type="dxa"/>
            <w:vAlign w:val="bottom"/>
            <w:shd w:val="clear" w:color="auto" w:fill="BFE4FF"/>
          </w:tcPr>
          <w:p>
            <w:pPr>
              <w:spacing w:after="0"/>
              <w:rPr>
                <w:sz w:val="10"/>
                <w:szCs w:val="10"/>
                <w:color w:val="auto"/>
              </w:rPr>
            </w:pPr>
          </w:p>
        </w:tc>
        <w:tc>
          <w:tcPr>
            <w:tcW w:w="480" w:type="dxa"/>
            <w:vAlign w:val="bottom"/>
            <w:shd w:val="clear" w:color="auto" w:fill="BFE4FF"/>
          </w:tcPr>
          <w:p>
            <w:pPr>
              <w:spacing w:after="0"/>
              <w:rPr>
                <w:sz w:val="10"/>
                <w:szCs w:val="10"/>
                <w:color w:val="auto"/>
              </w:rPr>
            </w:pPr>
          </w:p>
        </w:tc>
        <w:tc>
          <w:tcPr>
            <w:tcW w:w="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15.1 %</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700" w:type="dxa"/>
            <w:vAlign w:val="bottom"/>
            <w:shd w:val="clear" w:color="auto" w:fill="BFE4FF"/>
          </w:tcPr>
          <w:p>
            <w:pPr>
              <w:jc w:val="right"/>
              <w:ind w:right="5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BFE4FF"/>
          </w:tcPr>
          <w:p>
            <w:pPr>
              <w:jc w:val="right"/>
              <w:ind w:right="87"/>
              <w:spacing w:after="0"/>
              <w:rPr>
                <w:sz w:val="20"/>
                <w:szCs w:val="20"/>
                <w:color w:val="auto"/>
              </w:rPr>
            </w:pPr>
            <w:r>
              <w:rPr>
                <w:rFonts w:ascii="Times New Roman" w:cs="Times New Roman" w:eastAsia="Times New Roman" w:hAnsi="Times New Roman"/>
                <w:sz w:val="11"/>
                <w:szCs w:val="11"/>
                <w:color w:val="auto"/>
                <w:w w:val="89"/>
              </w:rPr>
              <w:t>178,626</w:t>
            </w:r>
          </w:p>
        </w:tc>
        <w:tc>
          <w:tcPr>
            <w:tcW w:w="100" w:type="dxa"/>
            <w:vAlign w:val="bottom"/>
            <w:shd w:val="clear" w:color="auto" w:fill="BFE4FF"/>
          </w:tcPr>
          <w:p>
            <w:pPr>
              <w:spacing w:after="0"/>
              <w:rPr>
                <w:sz w:val="12"/>
                <w:szCs w:val="12"/>
                <w:color w:val="auto"/>
              </w:rPr>
            </w:pPr>
          </w:p>
        </w:tc>
        <w:tc>
          <w:tcPr>
            <w:tcW w:w="700" w:type="dxa"/>
            <w:vAlign w:val="bottom"/>
            <w:shd w:val="clear" w:color="auto" w:fill="BFE4FF"/>
          </w:tcPr>
          <w:p>
            <w:pPr>
              <w:jc w:val="right"/>
              <w:ind w:right="58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BFE4FF"/>
          </w:tcPr>
          <w:p>
            <w:pPr>
              <w:jc w:val="right"/>
              <w:ind w:right="67"/>
              <w:spacing w:after="0"/>
              <w:rPr>
                <w:sz w:val="20"/>
                <w:szCs w:val="20"/>
                <w:color w:val="auto"/>
              </w:rPr>
            </w:pPr>
            <w:r>
              <w:rPr>
                <w:rFonts w:ascii="Times New Roman" w:cs="Times New Roman" w:eastAsia="Times New Roman" w:hAnsi="Times New Roman"/>
                <w:sz w:val="11"/>
                <w:szCs w:val="11"/>
                <w:color w:val="auto"/>
                <w:w w:val="94"/>
              </w:rPr>
              <w:t>180,545</w:t>
            </w:r>
          </w:p>
        </w:tc>
        <w:tc>
          <w:tcPr>
            <w:tcW w:w="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208" w:hanging="208"/>
        <w:spacing w:after="0"/>
        <w:tabs>
          <w:tab w:leader="none" w:pos="20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208" w:hanging="208"/>
        <w:spacing w:after="0"/>
        <w:tabs>
          <w:tab w:leader="none" w:pos="208"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8"/>
          </w:cols>
          <w:pgMar w:left="292" w:top="674" w:right="299" w:bottom="1440" w:gutter="0" w:footer="0" w:header="0"/>
          <w:type w:val="continuous"/>
        </w:sectPr>
      </w:pPr>
    </w:p>
    <w:bookmarkStart w:id="15" w:name="page16"/>
    <w:bookmarkEnd w:id="15"/>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(12,538)</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(20,976)</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255</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1,216</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5,850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5,452</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Write-off of unamortized debt issuance cost</w:t>
            </w:r>
          </w:p>
        </w:tc>
        <w:tc>
          <w:tcPr>
            <w:tcW w:w="280" w:type="dxa"/>
            <w:vAlign w:val="bottom"/>
            <w:shd w:val="clear" w:color="auto" w:fill="BFE4FF"/>
          </w:tcPr>
          <w:p>
            <w:pPr>
              <w:spacing w:after="0"/>
              <w:rPr>
                <w:sz w:val="13"/>
                <w:szCs w:val="13"/>
                <w:color w:val="auto"/>
              </w:rPr>
            </w:pPr>
          </w:p>
        </w:tc>
        <w:tc>
          <w:tcPr>
            <w:tcW w:w="114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349</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28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(1,618)</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9,167</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9,292</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568</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676</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1,577</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9,165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7,199</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280" w:type="dxa"/>
            <w:vAlign w:val="bottom"/>
            <w:shd w:val="clear" w:color="auto" w:fill="BFE4FF"/>
          </w:tcPr>
          <w:p>
            <w:pPr>
              <w:spacing w:after="0"/>
              <w:rPr>
                <w:sz w:val="15"/>
                <w:szCs w:val="15"/>
                <w:color w:val="auto"/>
              </w:rPr>
            </w:pPr>
          </w:p>
        </w:tc>
        <w:tc>
          <w:tcPr>
            <w:tcW w:w="114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632</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28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792</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on inter-company loans</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1,031</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Fixed asset impairments</w:t>
            </w:r>
          </w:p>
        </w:tc>
        <w:tc>
          <w:tcPr>
            <w:tcW w:w="2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6,546</w:t>
            </w:r>
          </w:p>
        </w:tc>
      </w:tr>
      <w:tr>
        <w:trPr>
          <w:trHeight w:val="158"/>
        </w:trPr>
        <w:tc>
          <w:tcPr>
            <w:tcW w:w="540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280" w:type="dxa"/>
            <w:vAlign w:val="bottom"/>
            <w:tcBorders>
              <w:top w:val="single" w:sz="8" w:color="auto"/>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12,886</w:t>
            </w:r>
          </w:p>
        </w:tc>
        <w:tc>
          <w:tcPr>
            <w:tcW w:w="80" w:type="dxa"/>
            <w:vAlign w:val="bottom"/>
            <w:tcBorders>
              <w:top w:val="single" w:sz="8" w:color="BFE4FF"/>
              <w:bottom w:val="single" w:sz="8" w:color="BFE4FF"/>
            </w:tcBorders>
            <w:shd w:val="clear" w:color="auto" w:fill="BFE4FF"/>
          </w:tcPr>
          <w:p>
            <w:pPr>
              <w:spacing w:after="0"/>
              <w:rPr>
                <w:sz w:val="13"/>
                <w:szCs w:val="13"/>
                <w:color w:val="auto"/>
              </w:rPr>
            </w:pPr>
          </w:p>
        </w:tc>
        <w:tc>
          <w:tcPr>
            <w:tcW w:w="320" w:type="dxa"/>
            <w:vAlign w:val="bottom"/>
            <w:tcBorders>
              <w:top w:val="single" w:sz="8" w:color="auto"/>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12,060</w:t>
            </w:r>
          </w:p>
        </w:tc>
      </w:tr>
      <w:tr>
        <w:trPr>
          <w:trHeight w:val="153"/>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12.3 %</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11.3 %</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104,715</w:t>
            </w: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106,513</w:t>
            </w:r>
          </w:p>
        </w:tc>
      </w:tr>
    </w:tbl>
    <w:p>
      <w:pPr>
        <w:spacing w:after="0" w:line="252" w:lineRule="exact"/>
        <w:rPr>
          <w:sz w:val="20"/>
          <w:szCs w:val="20"/>
          <w:color w:val="auto"/>
        </w:rPr>
      </w:pPr>
    </w:p>
    <w:p>
      <w:pPr>
        <w:ind w:left="860" w:hanging="151"/>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160"/>
          </w:cols>
          <w:pgMar w:left="1440" w:top="674" w:right="299" w:bottom="1440" w:gutter="0" w:footer="0" w:header="0"/>
        </w:sectPr>
      </w:pPr>
    </w:p>
    <w:bookmarkStart w:id="16" w:name="page17"/>
    <w:bookmarkEnd w:id="16"/>
    <w:p>
      <w:pPr>
        <w:ind w:left="254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p>
      <w:pPr>
        <w:spacing w:after="0" w:line="200" w:lineRule="exact"/>
        <w:rPr>
          <w:sz w:val="20"/>
          <w:szCs w:val="20"/>
          <w:color w:val="auto"/>
        </w:rPr>
      </w:pP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44"/>
        </w:trPr>
        <w:tc>
          <w:tcPr>
            <w:tcW w:w="48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80" w:type="dxa"/>
            <w:vAlign w:val="bottom"/>
            <w:tcBorders>
              <w:bottom w:val="single" w:sz="8" w:color="auto"/>
            </w:tcBorders>
          </w:tcPr>
          <w:p>
            <w:pPr>
              <w:spacing w:after="0"/>
              <w:rPr>
                <w:sz w:val="12"/>
                <w:szCs w:val="12"/>
                <w:color w:val="auto"/>
              </w:rPr>
            </w:pPr>
          </w:p>
        </w:tc>
      </w:tr>
      <w:tr>
        <w:trPr>
          <w:trHeight w:val="143"/>
        </w:trPr>
        <w:tc>
          <w:tcPr>
            <w:tcW w:w="48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BFE4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143"/>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net loss</w:t>
            </w: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(34,004)</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(38,273)</w:t>
            </w:r>
          </w:p>
        </w:tc>
      </w:tr>
      <w:tr>
        <w:trPr>
          <w:trHeight w:val="17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3,153</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2,410</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22,367</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22,095</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Write-off of unamortized debt issuance cost</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3,007</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349</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Change in fair value of preferred stock derivatives and warrants</w:t>
            </w:r>
          </w:p>
        </w:tc>
        <w:tc>
          <w:tcPr>
            <w:tcW w:w="320" w:type="dxa"/>
            <w:vAlign w:val="bottom"/>
          </w:tcPr>
          <w:p>
            <w:pPr>
              <w:spacing w:after="0"/>
              <w:rPr>
                <w:sz w:val="12"/>
                <w:szCs w:val="12"/>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(3,331)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w:t>
            </w:r>
          </w:p>
        </w:tc>
      </w:tr>
      <w:tr>
        <w:trPr>
          <w:trHeight w:val="155"/>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shd w:val="clear" w:color="auto" w:fill="BFE4FF"/>
          </w:tcPr>
          <w:p>
            <w:pPr>
              <w:spacing w:after="0"/>
              <w:rPr>
                <w:sz w:val="13"/>
                <w:szCs w:val="13"/>
                <w:color w:val="auto"/>
              </w:rPr>
            </w:pPr>
          </w:p>
        </w:tc>
        <w:tc>
          <w:tcPr>
            <w:tcW w:w="11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BFE4FF"/>
          </w:tcPr>
          <w:p>
            <w:pPr>
              <w:spacing w:after="0"/>
              <w:rPr>
                <w:sz w:val="13"/>
                <w:szCs w:val="13"/>
                <w:color w:val="auto"/>
              </w:rPr>
            </w:pPr>
          </w:p>
        </w:tc>
        <w:tc>
          <w:tcPr>
            <w:tcW w:w="7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2"/>
                <w:szCs w:val="12"/>
                <w:color w:val="auto"/>
              </w:rPr>
              <w:t>(7,154)</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35,923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44,444</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977</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648</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Personnel costs (1)</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8,739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3,437</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Facility costs (2)</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9,825</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8,280</w:t>
            </w:r>
          </w:p>
        </w:tc>
      </w:tr>
      <w:tr>
        <w:trPr>
          <w:trHeight w:val="160"/>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Mexico VAT</w:t>
            </w:r>
          </w:p>
        </w:tc>
        <w:tc>
          <w:tcPr>
            <w:tcW w:w="3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632</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Non-cash stock compensation</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3,200</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3,140</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Non-cash foreign exchange (gain) loss on inter-company loans</w:t>
            </w:r>
          </w:p>
        </w:tc>
        <w:tc>
          <w:tcPr>
            <w:tcW w:w="320" w:type="dxa"/>
            <w:vAlign w:val="bottom"/>
          </w:tcPr>
          <w:p>
            <w:pPr>
              <w:spacing w:after="0"/>
              <w:rPr>
                <w:sz w:val="12"/>
                <w:szCs w:val="12"/>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(839)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1,712</w:t>
            </w:r>
          </w:p>
        </w:tc>
      </w:tr>
      <w:tr>
        <w:trPr>
          <w:trHeight w:val="14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Fixed asset and goodwill impairments</w:t>
            </w:r>
          </w:p>
        </w:tc>
        <w:tc>
          <w:tcPr>
            <w:tcW w:w="320" w:type="dxa"/>
            <w:vAlign w:val="bottom"/>
            <w:shd w:val="clear" w:color="auto" w:fill="BFE4FF"/>
          </w:tcPr>
          <w:p>
            <w:pPr>
              <w:spacing w:after="0"/>
              <w:rPr>
                <w:sz w:val="12"/>
                <w:szCs w:val="12"/>
                <w:color w:val="auto"/>
              </w:rPr>
            </w:pPr>
          </w:p>
        </w:tc>
        <w:tc>
          <w:tcPr>
            <w:tcW w:w="11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6,546</w:t>
            </w:r>
          </w:p>
        </w:tc>
      </w:tr>
      <w:tr>
        <w:trPr>
          <w:trHeight w:val="151"/>
        </w:trPr>
        <w:tc>
          <w:tcPr>
            <w:tcW w:w="48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color w:val="auto"/>
              </w:rPr>
              <w:t>Non-GAAP adjusted EBITDA (b)</w:t>
            </w: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49,017</w:t>
            </w:r>
          </w:p>
        </w:tc>
        <w:tc>
          <w:tcPr>
            <w:tcW w:w="100" w:type="dxa"/>
            <w:vAlign w:val="bottom"/>
            <w:tcBorders>
              <w:bottom w:val="single" w:sz="8" w:color="BFE4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48,338</w:t>
            </w:r>
          </w:p>
        </w:tc>
      </w:tr>
      <w:tr>
        <w:trPr>
          <w:trHeight w:val="153"/>
        </w:trPr>
        <w:tc>
          <w:tcPr>
            <w:tcW w:w="486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00" w:type="dxa"/>
            <w:vAlign w:val="bottom"/>
            <w:shd w:val="clear" w:color="auto" w:fill="BFE4FF"/>
          </w:tcPr>
          <w:p>
            <w:pPr>
              <w:spacing w:after="0"/>
              <w:rPr>
                <w:sz w:val="13"/>
                <w:szCs w:val="13"/>
                <w:color w:val="auto"/>
              </w:rPr>
            </w:pPr>
          </w:p>
        </w:tc>
        <w:tc>
          <w:tcPr>
            <w:tcW w:w="10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780" w:type="dxa"/>
            <w:vAlign w:val="bottom"/>
            <w:shd w:val="clear" w:color="auto" w:fill="BFE4FF"/>
          </w:tcPr>
          <w:p>
            <w:pPr>
              <w:spacing w:after="0"/>
              <w:rPr>
                <w:sz w:val="13"/>
                <w:szCs w:val="13"/>
                <w:color w:val="auto"/>
              </w:rPr>
            </w:pP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Non-GAAP adjusted EBITDA margin (3)</w:t>
            </w: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11.6 %</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10.4 %</w:t>
            </w:r>
          </w:p>
        </w:tc>
      </w:tr>
      <w:tr>
        <w:trPr>
          <w:trHeight w:val="16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422,207</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464,290</w:t>
            </w:r>
          </w:p>
        </w:tc>
      </w:tr>
    </w:tbl>
    <w:p>
      <w:pPr>
        <w:spacing w:after="0" w:line="243" w:lineRule="exact"/>
        <w:rPr>
          <w:sz w:val="20"/>
          <w:szCs w:val="20"/>
          <w:color w:val="auto"/>
        </w:rPr>
      </w:pPr>
    </w:p>
    <w:p>
      <w:pPr>
        <w:ind w:left="860" w:hanging="151"/>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17"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98"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160"/>
          </w:cols>
          <w:pgMar w:left="1440" w:top="67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(12,538)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(20,976)</w:t>
            </w:r>
          </w:p>
        </w:tc>
      </w:tr>
      <w:tr>
        <w:trPr>
          <w:trHeight w:val="180"/>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422</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568</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1,577</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9,165</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7,199</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write-off of unamortized debt issuance costs</w:t>
            </w:r>
          </w:p>
        </w:tc>
        <w:tc>
          <w:tcPr>
            <w:tcW w:w="300" w:type="dxa"/>
            <w:vAlign w:val="bottom"/>
            <w:shd w:val="clear" w:color="auto" w:fill="BFE4FF"/>
          </w:tcPr>
          <w:p>
            <w:pPr>
              <w:spacing w:after="0"/>
              <w:rPr>
                <w:sz w:val="13"/>
                <w:szCs w:val="13"/>
                <w:color w:val="auto"/>
              </w:rPr>
            </w:pPr>
          </w:p>
        </w:tc>
        <w:tc>
          <w:tcPr>
            <w:tcW w:w="120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349</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3,686</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3,976</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impairments of fixed asset costs</w:t>
            </w:r>
          </w:p>
        </w:tc>
        <w:tc>
          <w:tcPr>
            <w:tcW w:w="3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6,546</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300" w:type="dxa"/>
            <w:vAlign w:val="bottom"/>
            <w:shd w:val="clear" w:color="auto" w:fill="BFE4FF"/>
          </w:tcPr>
          <w:p>
            <w:pPr>
              <w:spacing w:after="0"/>
              <w:rPr>
                <w:sz w:val="13"/>
                <w:szCs w:val="13"/>
                <w:color w:val="auto"/>
              </w:rPr>
            </w:pPr>
          </w:p>
        </w:tc>
        <w:tc>
          <w:tcPr>
            <w:tcW w:w="120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632</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(c)</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w:t>
            </w:r>
          </w:p>
        </w:tc>
      </w:tr>
      <w:tr>
        <w:trPr>
          <w:trHeight w:val="158"/>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(d)</w:t>
            </w:r>
          </w:p>
        </w:tc>
        <w:tc>
          <w:tcPr>
            <w:tcW w:w="300" w:type="dxa"/>
            <w:vAlign w:val="bottom"/>
            <w:tcBorders>
              <w:bottom w:val="single" w:sz="8" w:color="auto"/>
            </w:tcBorders>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4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(923)</w:t>
            </w:r>
          </w:p>
        </w:tc>
      </w:tr>
    </w:tbl>
    <w:p>
      <w:pPr>
        <w:spacing w:after="0" w:line="156"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 per diluted common share</w:t>
            </w: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(0.35)</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(0.51)</w:t>
            </w:r>
          </w:p>
        </w:tc>
      </w:tr>
      <w:tr>
        <w:trPr>
          <w:trHeight w:val="180"/>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0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0.18</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0.15</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write-off of unamortized debt issuance costs</w:t>
            </w:r>
          </w:p>
        </w:tc>
        <w:tc>
          <w:tcPr>
            <w:tcW w:w="300" w:type="dxa"/>
            <w:vAlign w:val="bottom"/>
            <w:shd w:val="clear" w:color="auto" w:fill="BFE4FF"/>
          </w:tcPr>
          <w:p>
            <w:pPr>
              <w:spacing w:after="0"/>
              <w:rPr>
                <w:sz w:val="13"/>
                <w:szCs w:val="13"/>
                <w:color w:val="auto"/>
              </w:rPr>
            </w:pPr>
          </w:p>
        </w:tc>
        <w:tc>
          <w:tcPr>
            <w:tcW w:w="120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impairments of fixed asset costs</w:t>
            </w:r>
          </w:p>
        </w:tc>
        <w:tc>
          <w:tcPr>
            <w:tcW w:w="300" w:type="dxa"/>
            <w:vAlign w:val="bottom"/>
          </w:tcPr>
          <w:p>
            <w:pPr>
              <w:spacing w:after="0"/>
              <w:rPr>
                <w:sz w:val="13"/>
                <w:szCs w:val="1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300" w:type="dxa"/>
            <w:vAlign w:val="bottom"/>
            <w:shd w:val="clear" w:color="auto" w:fill="BFE4FF"/>
          </w:tcPr>
          <w:p>
            <w:pPr>
              <w:spacing w:after="0"/>
              <w:rPr>
                <w:sz w:val="13"/>
                <w:szCs w:val="13"/>
                <w:color w:val="auto"/>
              </w:rPr>
            </w:pPr>
          </w:p>
        </w:tc>
        <w:tc>
          <w:tcPr>
            <w:tcW w:w="120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62"/>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tc>
        <w:tc>
          <w:tcPr>
            <w:tcW w:w="300" w:type="dxa"/>
            <w:vAlign w:val="bottom"/>
            <w:tcBorders>
              <w:bottom w:val="single" w:sz="8" w:color="auto"/>
            </w:tcBorders>
            <w:shd w:val="clear" w:color="auto" w:fill="BFE4FF"/>
          </w:tcPr>
          <w:p>
            <w:pPr>
              <w:spacing w:after="0"/>
              <w:rPr>
                <w:sz w:val="14"/>
                <w:szCs w:val="14"/>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140" w:type="dxa"/>
            <w:vAlign w:val="bottom"/>
            <w:tcBorders>
              <w:bottom w:val="single" w:sz="8" w:color="BFE4FF"/>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51"/>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49,624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020"/>
          </w:cols>
          <w:pgMar w:left="580" w:top="674"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118" w:lineRule="exact"/>
        <w:rPr>
          <w:sz w:val="20"/>
          <w:szCs w:val="20"/>
          <w:color w:val="auto"/>
        </w:rPr>
      </w:pPr>
    </w:p>
    <w:tbl>
      <w:tblPr>
        <w:tblLayout w:type="fixed"/>
        <w:tblInd w:w="106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3"/>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income (loss)</w:t>
            </w: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(34,004)</w:t>
            </w:r>
          </w:p>
        </w:tc>
        <w:tc>
          <w:tcPr>
            <w:tcW w:w="80" w:type="dxa"/>
            <w:vAlign w:val="bottom"/>
            <w:shd w:val="clear" w:color="auto" w:fill="BFE4FF"/>
          </w:tcPr>
          <w:p>
            <w:pPr>
              <w:spacing w:after="0"/>
              <w:rPr>
                <w:sz w:val="11"/>
                <w:szCs w:val="11"/>
                <w:color w:val="auto"/>
              </w:rPr>
            </w:pP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(38,273)</w:t>
            </w:r>
          </w:p>
        </w:tc>
      </w:tr>
      <w:tr>
        <w:trPr>
          <w:trHeight w:val="17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foreign exchange (gain) loss on inter-company loans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(839)</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1,712</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professional fees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personnel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8,738</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3,437</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facility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9,825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8,280</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loss on extinghishment of debt &amp; write-off of unamortized debt issuance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3,007</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349</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change in gain on sale of business</w:t>
            </w:r>
          </w:p>
        </w:tc>
        <w:tc>
          <w:tcPr>
            <w:tcW w:w="300" w:type="dxa"/>
            <w:vAlign w:val="bottom"/>
            <w:shd w:val="clear" w:color="auto" w:fill="BFE4FF"/>
          </w:tcPr>
          <w:p>
            <w:pPr>
              <w:spacing w:after="0"/>
              <w:rPr>
                <w:sz w:val="12"/>
                <w:szCs w:val="12"/>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(7,154)</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amortization of intangibles and deferred financing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15,116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16,012</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impairments of fixed asset costs</w:t>
            </w:r>
          </w:p>
        </w:tc>
        <w:tc>
          <w:tcPr>
            <w:tcW w:w="300" w:type="dxa"/>
            <w:vAlign w:val="bottom"/>
            <w:shd w:val="clear" w:color="auto" w:fill="BFE4FF"/>
          </w:tcPr>
          <w:p>
            <w:pPr>
              <w:spacing w:after="0"/>
              <w:rPr>
                <w:sz w:val="12"/>
                <w:szCs w:val="12"/>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6,546</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Mexico VAT</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Tax effect of adjustments reflected above (c)</w:t>
            </w:r>
          </w:p>
        </w:tc>
        <w:tc>
          <w:tcPr>
            <w:tcW w:w="300" w:type="dxa"/>
            <w:vAlign w:val="bottom"/>
            <w:tcBorders>
              <w:bottom w:val="single" w:sz="8" w:color="auto"/>
            </w:tcBorders>
            <w:shd w:val="clear" w:color="auto" w:fill="BFE4FF"/>
          </w:tcPr>
          <w:p>
            <w:pPr>
              <w:spacing w:after="0"/>
              <w:rPr>
                <w:sz w:val="12"/>
                <w:szCs w:val="12"/>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80" w:type="dxa"/>
            <w:vAlign w:val="bottom"/>
            <w:shd w:val="clear" w:color="auto" w:fill="BFE4FF"/>
          </w:tcPr>
          <w:p>
            <w:pPr>
              <w:spacing w:after="0"/>
              <w:rPr>
                <w:sz w:val="12"/>
                <w:szCs w:val="12"/>
                <w:color w:val="auto"/>
              </w:rPr>
            </w:pPr>
          </w:p>
        </w:tc>
        <w:tc>
          <w:tcPr>
            <w:tcW w:w="320" w:type="dxa"/>
            <w:vAlign w:val="bottom"/>
            <w:tcBorders>
              <w:bottom w:val="single" w:sz="8" w:color="auto"/>
            </w:tcBorders>
            <w:shd w:val="clear" w:color="auto" w:fill="BFE4FF"/>
          </w:tcPr>
          <w:p>
            <w:pPr>
              <w:spacing w:after="0"/>
              <w:rPr>
                <w:sz w:val="12"/>
                <w:szCs w:val="12"/>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(412)</w:t>
            </w:r>
          </w:p>
        </w:tc>
      </w:tr>
      <w:tr>
        <w:trPr>
          <w:trHeight w:val="135"/>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Non-GAAP adjusted net income (loss) (d)</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(1,266)</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(8,151)</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253"/>
        </w:trPr>
        <w:tc>
          <w:tcPr>
            <w:tcW w:w="5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3"/>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(per diluted common share)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income (loss) per diluted common share</w:t>
            </w: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shd w:val="clear" w:color="auto" w:fill="BFE4FF"/>
          </w:tcPr>
          <w:p>
            <w:pPr>
              <w:spacing w:after="0"/>
              <w:rPr>
                <w:sz w:val="11"/>
                <w:szCs w:val="11"/>
                <w:color w:val="auto"/>
              </w:rPr>
            </w:pP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7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foreign exchange (gain) loss on inter-company loans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professional fees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personnel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0.18</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0.07</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facility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loss on extinghishment of debt &amp; write-off of unamortized debt issuance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0.06</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change in gain on sale of business</w:t>
            </w:r>
          </w:p>
        </w:tc>
        <w:tc>
          <w:tcPr>
            <w:tcW w:w="300" w:type="dxa"/>
            <w:vAlign w:val="bottom"/>
            <w:shd w:val="clear" w:color="auto" w:fill="BFE4FF"/>
          </w:tcPr>
          <w:p>
            <w:pPr>
              <w:spacing w:after="0"/>
              <w:rPr>
                <w:sz w:val="12"/>
                <w:szCs w:val="12"/>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(0.15)</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amortization of intangibles and deferred financing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0.31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impairments of fixed asset costs</w:t>
            </w:r>
          </w:p>
        </w:tc>
        <w:tc>
          <w:tcPr>
            <w:tcW w:w="300" w:type="dxa"/>
            <w:vAlign w:val="bottom"/>
            <w:shd w:val="clear" w:color="auto" w:fill="BFE4FF"/>
          </w:tcPr>
          <w:p>
            <w:pPr>
              <w:spacing w:after="0"/>
              <w:rPr>
                <w:sz w:val="12"/>
                <w:szCs w:val="12"/>
                <w:color w:val="auto"/>
              </w:rPr>
            </w:pPr>
          </w:p>
        </w:tc>
        <w:tc>
          <w:tcPr>
            <w:tcW w:w="108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0.13</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Mexico VAT</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Tax effect of adjustments reflected above (c)</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2"/>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Preferred stock cumulative dividends and deemed dividends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0.38</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0.32</w:t>
            </w:r>
          </w:p>
        </w:tc>
      </w:tr>
      <w:tr>
        <w:trPr>
          <w:trHeight w:val="155"/>
        </w:trPr>
        <w:tc>
          <w:tcPr>
            <w:tcW w:w="59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Non-GAAP adjusted net income (loss) per diluted common share (d)</w:t>
            </w:r>
          </w:p>
        </w:tc>
        <w:tc>
          <w:tcPr>
            <w:tcW w:w="300" w:type="dxa"/>
            <w:vAlign w:val="bottom"/>
            <w:tcBorders>
              <w:bottom w:val="single" w:sz="8" w:color="auto"/>
            </w:tcBorders>
            <w:shd w:val="clear" w:color="auto" w:fill="BFE4FF"/>
          </w:tcPr>
          <w:p>
            <w:pPr>
              <w:spacing w:after="0"/>
              <w:rPr>
                <w:sz w:val="13"/>
                <w:szCs w:val="13"/>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8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spacing w:after="0"/>
              <w:rPr>
                <w:sz w:val="13"/>
                <w:szCs w:val="13"/>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$(0.17)</w:t>
            </w:r>
          </w:p>
        </w:tc>
      </w:tr>
      <w:tr>
        <w:trPr>
          <w:trHeight w:val="136"/>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300" w:type="dxa"/>
            <w:vAlign w:val="bottom"/>
          </w:tcPr>
          <w:p>
            <w:pPr>
              <w:spacing w:after="0"/>
              <w:rPr>
                <w:sz w:val="11"/>
                <w:szCs w:val="11"/>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49,437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48,653</w:t>
            </w:r>
          </w:p>
        </w:tc>
      </w:tr>
    </w:tbl>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020"/>
          </w:cols>
          <w:pgMar w:left="580" w:top="674"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3680" w:type="dxa"/>
            <w:vAlign w:val="bottom"/>
            <w:gridSpan w:val="5"/>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Reconciliation of Operating Cash Flow to Free Cash Flow</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3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940" w:type="dxa"/>
            <w:vAlign w:val="bottom"/>
          </w:tcPr>
          <w:p>
            <w:pPr>
              <w:spacing w:after="0"/>
              <w:rPr>
                <w:sz w:val="12"/>
                <w:szCs w:val="12"/>
                <w:color w:val="auto"/>
              </w:rPr>
            </w:pPr>
          </w:p>
        </w:tc>
      </w:tr>
      <w:tr>
        <w:trPr>
          <w:trHeight w:val="159"/>
        </w:trPr>
        <w:tc>
          <w:tcPr>
            <w:tcW w:w="3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Borders>
              <w:bottom w:val="single" w:sz="8" w:color="auto"/>
            </w:tcBorders>
          </w:tcPr>
          <w:p>
            <w:pPr>
              <w:spacing w:after="0"/>
              <w:rPr>
                <w:sz w:val="13"/>
                <w:szCs w:val="13"/>
                <w:color w:val="auto"/>
              </w:rPr>
            </w:pPr>
          </w:p>
        </w:tc>
      </w:tr>
      <w:tr>
        <w:trPr>
          <w:trHeight w:val="145"/>
        </w:trPr>
        <w:tc>
          <w:tcPr>
            <w:tcW w:w="31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40" w:type="dxa"/>
            <w:vAlign w:val="bottom"/>
            <w:tcBorders>
              <w:bottom w:val="single" w:sz="8" w:color="BFE4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BFE4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BFE4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42"/>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1840" w:type="dxa"/>
            <w:vAlign w:val="bottom"/>
            <w:shd w:val="clear" w:color="auto" w:fill="BFE4FF"/>
          </w:tcPr>
          <w:p>
            <w:pPr>
              <w:spacing w:after="0"/>
              <w:rPr>
                <w:sz w:val="12"/>
                <w:szCs w:val="12"/>
                <w:color w:val="auto"/>
              </w:rPr>
            </w:pP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(1,412)</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6,681</w:t>
            </w: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5,671</w:t>
            </w:r>
          </w:p>
        </w:tc>
        <w:tc>
          <w:tcPr>
            <w:tcW w:w="80" w:type="dxa"/>
            <w:vAlign w:val="bottom"/>
            <w:shd w:val="clear" w:color="auto" w:fill="BFE4FF"/>
          </w:tcPr>
          <w:p>
            <w:pPr>
              <w:spacing w:after="0"/>
              <w:rPr>
                <w:sz w:val="12"/>
                <w:szCs w:val="12"/>
                <w:color w:val="auto"/>
              </w:rPr>
            </w:pPr>
          </w:p>
        </w:tc>
        <w:tc>
          <w:tcPr>
            <w:tcW w:w="420" w:type="dxa"/>
            <w:vAlign w:val="bottom"/>
            <w:shd w:val="clear" w:color="auto" w:fill="BFE4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11,070</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(12,919)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(18,314)</w:t>
            </w:r>
          </w:p>
        </w:tc>
      </w:tr>
      <w:tr>
        <w:trPr>
          <w:trHeight w:val="153"/>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184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1,885</w:t>
            </w:r>
          </w:p>
        </w:tc>
        <w:tc>
          <w:tcPr>
            <w:tcW w:w="8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306</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r>
      <w:tr>
        <w:trPr>
          <w:trHeight w:val="153"/>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Transaction costs incurred from sale of business</w:t>
            </w:r>
          </w:p>
        </w:tc>
        <w:tc>
          <w:tcPr>
            <w:tcW w:w="184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10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BFE4FF"/>
          </w:tcPr>
          <w:p>
            <w:pPr>
              <w:spacing w:after="0"/>
              <w:rPr>
                <w:sz w:val="13"/>
                <w:szCs w:val="13"/>
                <w:color w:val="auto"/>
              </w:rPr>
            </w:pPr>
          </w:p>
        </w:tc>
        <w:tc>
          <w:tcPr>
            <w:tcW w:w="8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BFE4FF"/>
          </w:tcPr>
          <w:p>
            <w:pPr>
              <w:spacing w:after="0"/>
              <w:rPr>
                <w:sz w:val="13"/>
                <w:szCs w:val="13"/>
                <w:color w:val="auto"/>
              </w:rPr>
            </w:pPr>
          </w:p>
        </w:tc>
        <w:tc>
          <w:tcPr>
            <w:tcW w:w="114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BFE4FF"/>
          </w:tcPr>
          <w:p>
            <w:pPr>
              <w:spacing w:after="0"/>
              <w:rPr>
                <w:sz w:val="13"/>
                <w:szCs w:val="13"/>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1,566</w:t>
            </w:r>
          </w:p>
        </w:tc>
      </w:tr>
      <w:tr>
        <w:trPr>
          <w:trHeight w:val="142"/>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18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3,759</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(3,978)</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2,952</w:t>
            </w:r>
          </w:p>
        </w:tc>
      </w:tr>
      <w:tr>
        <w:trPr>
          <w:trHeight w:val="20"/>
        </w:trPr>
        <w:tc>
          <w:tcPr>
            <w:tcW w:w="3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900"/>
          </w:cols>
          <w:pgMar w:left="700" w:top="872" w:right="299" w:bottom="1440" w:gutter="0" w:footer="0" w:header="0"/>
        </w:sectPr>
      </w:pPr>
    </w:p>
    <w:bookmarkStart w:id="20" w:name="page21"/>
    <w:bookmarkEnd w:id="20"/>
    <w:p>
      <w:pPr>
        <w:ind w:left="8"/>
        <w:spacing w:after="0" w:line="260" w:lineRule="auto"/>
        <w:rPr>
          <w:sz w:val="20"/>
          <w:szCs w:val="20"/>
          <w:color w:val="auto"/>
        </w:rPr>
      </w:pPr>
      <w:r>
        <w:rPr>
          <w:rFonts w:ascii="Arial" w:cs="Arial" w:eastAsia="Arial" w:hAnsi="Arial"/>
          <w:sz w:val="11"/>
          <w:szCs w:val="11"/>
          <w:i w:val="1"/>
          <w:iCs w:val="1"/>
          <w:color w:val="auto"/>
        </w:rPr>
        <w:t>The Company discloses in this presentation the non-GAAP financial measures of adjusted income (loss) from operations, adjusted EBITDA, adjusted net income (loss), adjusted net income (loss) per diluted common share, and free cash flow. Each of these non-GAAP financial measures provides supplementary information about the impacts of acquisition, divestiture and integration related expenses, foreign-exchange impacts on inter-company loans, reorganizational and impairment charges. The costs we incur in completing acquisitions, including the amortization of intangibles and deferred financing costs, and divestitures are excluded from these measures because their size and inconsistent frequency are unrelated to our commercial performance during the period, and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(loss) from operations, adjusted EBITDA, adjusted net income (loss), adjusted net income (loss) per diluted common share, and free cash flow provides useful information in assessing our underlying business trends and facilitates comparison of our long-term performance over given periods.</w:t>
      </w:r>
    </w:p>
    <w:p>
      <w:pPr>
        <w:spacing w:after="0" w:line="112" w:lineRule="exact"/>
        <w:rPr>
          <w:sz w:val="20"/>
          <w:szCs w:val="20"/>
          <w:color w:val="auto"/>
        </w:rPr>
      </w:pPr>
    </w:p>
    <w:p>
      <w:pPr>
        <w:ind w:left="8" w:right="200"/>
        <w:spacing w:after="0" w:line="270" w:lineRule="auto"/>
        <w:rPr>
          <w:sz w:val="20"/>
          <w:szCs w:val="20"/>
          <w:color w:val="auto"/>
        </w:rPr>
      </w:pPr>
      <w:r>
        <w:rPr>
          <w:rFonts w:ascii="Arial" w:cs="Arial" w:eastAsia="Arial" w:hAnsi="Arial"/>
          <w:sz w:val="11"/>
          <w:szCs w:val="11"/>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95" w:lineRule="exact"/>
        <w:rPr>
          <w:sz w:val="20"/>
          <w:szCs w:val="20"/>
          <w:color w:val="auto"/>
        </w:rPr>
      </w:pPr>
    </w:p>
    <w:p>
      <w:pPr>
        <w:ind w:left="8" w:right="20" w:hanging="8"/>
        <w:spacing w:after="0" w:line="300" w:lineRule="auto"/>
        <w:tabs>
          <w:tab w:leader="none" w:pos="170" w:val="left"/>
        </w:tabs>
        <w:numPr>
          <w:ilvl w:val="0"/>
          <w:numId w:val="14"/>
        </w:numPr>
        <w:rPr>
          <w:rFonts w:ascii="Arial" w:cs="Arial" w:eastAsia="Arial" w:hAnsi="Arial"/>
          <w:sz w:val="10"/>
          <w:szCs w:val="10"/>
          <w:i w:val="1"/>
          <w:iCs w:val="1"/>
          <w:color w:val="auto"/>
        </w:rPr>
      </w:pPr>
      <w:r>
        <w:rPr>
          <w:rFonts w:ascii="Arial" w:cs="Arial" w:eastAsia="Arial" w:hAnsi="Arial"/>
          <w:sz w:val="10"/>
          <w:szCs w:val="10"/>
          <w:i w:val="1"/>
          <w:iCs w:val="1"/>
          <w:color w:val="auto"/>
        </w:rPr>
        <w:t>Non-GAAP adjusted income (loss) from operations represents GAAP income (loss)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operations is not a measure of financial performance under GAAP and should not be considered as a measure of liquidity or as an alternative to GAAP income (loss) from operations.</w:t>
      </w:r>
    </w:p>
    <w:p>
      <w:pPr>
        <w:spacing w:after="0" w:line="82" w:lineRule="exact"/>
        <w:rPr>
          <w:rFonts w:ascii="Arial" w:cs="Arial" w:eastAsia="Arial" w:hAnsi="Arial"/>
          <w:sz w:val="10"/>
          <w:szCs w:val="10"/>
          <w:i w:val="1"/>
          <w:iCs w:val="1"/>
          <w:color w:val="auto"/>
        </w:rPr>
      </w:pPr>
    </w:p>
    <w:p>
      <w:pPr>
        <w:ind w:left="168" w:hanging="168"/>
        <w:spacing w:after="0"/>
        <w:tabs>
          <w:tab w:leader="none" w:pos="168"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EBITDA represents GAAP net income (loss), adjusted to include income taxes, interest expense, write-off of unamortized debt issuance costs, interest rate swap payments and change in fair value that was</w:t>
      </w:r>
    </w:p>
    <w:p>
      <w:pPr>
        <w:spacing w:after="0" w:line="15" w:lineRule="exact"/>
        <w:rPr>
          <w:rFonts w:ascii="Arial" w:cs="Arial" w:eastAsia="Arial" w:hAnsi="Arial"/>
          <w:sz w:val="11"/>
          <w:szCs w:val="11"/>
          <w:i w:val="1"/>
          <w:iCs w:val="1"/>
          <w:color w:val="auto"/>
        </w:rPr>
      </w:pPr>
    </w:p>
    <w:p>
      <w:pPr>
        <w:ind w:left="8" w:right="120"/>
        <w:spacing w:after="0" w:line="260" w:lineRule="auto"/>
        <w:rPr>
          <w:rFonts w:ascii="Arial" w:cs="Arial" w:eastAsia="Arial" w:hAnsi="Arial"/>
          <w:sz w:val="11"/>
          <w:szCs w:val="11"/>
          <w:i w:val="1"/>
          <w:iCs w:val="1"/>
          <w:color w:val="auto"/>
        </w:rPr>
      </w:pPr>
      <w:r>
        <w:rPr>
          <w:rFonts w:ascii="Arial" w:cs="Arial" w:eastAsia="Arial" w:hAnsi="Arial"/>
          <w:sz w:val="11"/>
          <w:szCs w:val="11"/>
          <w:i w:val="1"/>
          <w:iCs w:val="1"/>
          <w:color w:val="auto"/>
        </w:rPr>
        <w:t>recognized in earnings,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09" w:lineRule="exact"/>
        <w:rPr>
          <w:rFonts w:ascii="Arial" w:cs="Arial" w:eastAsia="Arial" w:hAnsi="Arial"/>
          <w:sz w:val="11"/>
          <w:szCs w:val="11"/>
          <w:i w:val="1"/>
          <w:iCs w:val="1"/>
          <w:color w:val="auto"/>
        </w:rPr>
      </w:pPr>
    </w:p>
    <w:p>
      <w:pPr>
        <w:ind w:left="8" w:right="500" w:hanging="8"/>
        <w:spacing w:after="0" w:line="285" w:lineRule="auto"/>
        <w:tabs>
          <w:tab w:leader="none" w:pos="164"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86" w:lineRule="exact"/>
        <w:rPr>
          <w:rFonts w:ascii="Arial" w:cs="Arial" w:eastAsia="Arial" w:hAnsi="Arial"/>
          <w:sz w:val="11"/>
          <w:szCs w:val="11"/>
          <w:i w:val="1"/>
          <w:iCs w:val="1"/>
          <w:color w:val="auto"/>
        </w:rPr>
      </w:pPr>
    </w:p>
    <w:p>
      <w:pPr>
        <w:ind w:left="8" w:right="340" w:hanging="8"/>
        <w:spacing w:after="0" w:line="263" w:lineRule="auto"/>
        <w:tabs>
          <w:tab w:leader="none" w:pos="170" w:val="left"/>
        </w:tabs>
        <w:numPr>
          <w:ilvl w:val="0"/>
          <w:numId w:val="14"/>
        </w:numPr>
        <w:rPr>
          <w:rFonts w:ascii="Arial" w:cs="Arial" w:eastAsia="Arial" w:hAnsi="Arial"/>
          <w:sz w:val="11"/>
          <w:szCs w:val="11"/>
          <w:i w:val="1"/>
          <w:iCs w:val="1"/>
          <w:color w:val="auto"/>
        </w:rPr>
      </w:pPr>
      <w:r>
        <w:rPr>
          <w:rFonts w:ascii="Arial" w:cs="Arial" w:eastAsia="Arial" w:hAnsi="Arial"/>
          <w:sz w:val="11"/>
          <w:szCs w:val="11"/>
          <w:i w:val="1"/>
          <w:iCs w:val="1"/>
          <w:color w:val="auto"/>
        </w:rPr>
        <w:t>Non-GAAP adjusted net income (loss) represents GAAP net income (loss) adjusted to exclude the tax-affected effects of charges related to acquisition and transition costs, foreign exchange gain (loss) on inter-company loans, restructuring and integration charges, amortization of intangibles costs for fair value step-up in values related to acquisitions and amortization of deferred financing costs, non-cash impairment charges, write-off of unamortized debt issuance costs, interest rate swap payments and change in fair value, change in fair value of preferred stock derivatives and warrants, costs related to divested businesses and litigation settlements, income (loss) from discontinued operations, and preferred stock cumulative dividends and deemed dividends. We believe this presentation is commonly used by investors and professional research analysts in the valuation, comparison, rating, and investment recommendations of companies in the industrial industry. We use this information for comparative purposes within the industry.</w:t>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8"/>
          </w:cols>
          <w:pgMar w:left="292" w:top="680" w:right="299" w:bottom="1440"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1"/>
      <w:numFmt w:val="upperLetter"/>
      <w:start w:val="40"/>
    </w:lvl>
    <w:lvl w:ilvl="1">
      <w:lvlJc w:val="left"/>
      <w:lvlText w:val="%2"/>
      <w:numFmt w:val="upp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upperLetter"/>
      <w:start w:val="40"/>
    </w:lvl>
  </w:abstractNum>
  <w:abstractNum w:abstractNumId="8">
    <w:nsid w:val="1190CDE7"/>
    <w:multiLevelType w:val="hybridMultilevel"/>
    <w:lvl w:ilvl="0">
      <w:lvlJc w:val="left"/>
      <w:lvlText w:val="%1"/>
      <w:numFmt w:val="upperLetter"/>
      <w:start w:val="40"/>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2026-03-04T15:23:15Z</dcterms:created>
  <dcterms:modified xsi:type="dcterms:W3CDTF">2026-03-04T15:23:15Z</dcterms:modified>
</cp:coreProperties>
</file>