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77" w:lineRule="exact"/>
        <w:rPr>
          <w:sz w:val="24"/>
          <w:szCs w:val="24"/>
          <w:color w:val="auto"/>
        </w:rPr>
      </w:pPr>
    </w:p>
    <w:p>
      <w:pPr>
        <w:ind w:left="4000" w:right="2460" w:hanging="3947"/>
        <w:spacing w:after="0" w:line="532" w:lineRule="auto"/>
        <w:tabs>
          <w:tab w:leader="none" w:pos="272"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2011</w:t>
      </w:r>
    </w:p>
    <w:p>
      <w:pPr>
        <w:ind w:left="558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52" w:lineRule="exact"/>
        <w:rPr>
          <w:sz w:val="24"/>
          <w:szCs w:val="24"/>
          <w:color w:val="auto"/>
        </w:rPr>
      </w:pPr>
    </w:p>
    <w:p>
      <w:pPr>
        <w:ind w:left="3700" w:right="2400" w:hanging="3602"/>
        <w:spacing w:after="0" w:line="532" w:lineRule="auto"/>
        <w:tabs>
          <w:tab w:leader="none" w:pos="326"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 to _________</w:t>
      </w:r>
    </w:p>
    <w:p>
      <w:pPr>
        <w:ind w:left="446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0-23486</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760" w:type="dxa"/>
        <w:tblCellMar>
          <w:top w:w="0" w:type="dxa"/>
          <w:left w:w="0" w:type="dxa"/>
          <w:bottom w:w="0" w:type="dxa"/>
          <w:right w:w="0" w:type="dxa"/>
        </w:tblCellMar>
      </w:tblPr>
      <w:tr>
        <w:trPr>
          <w:trHeight w:val="220"/>
        </w:trPr>
        <w:tc>
          <w:tcPr>
            <w:tcW w:w="4080" w:type="dxa"/>
            <w:vAlign w:val="bottom"/>
          </w:tcPr>
          <w:p>
            <w:pPr>
              <w:jc w:val="center"/>
              <w:ind w:right="1730"/>
              <w:spacing w:after="0"/>
              <w:rPr>
                <w:sz w:val="20"/>
                <w:szCs w:val="20"/>
                <w:color w:val="auto"/>
              </w:rPr>
            </w:pPr>
            <w:r>
              <w:rPr>
                <w:rFonts w:ascii="Arial" w:cs="Arial" w:eastAsia="Arial" w:hAnsi="Arial"/>
                <w:sz w:val="18"/>
                <w:szCs w:val="18"/>
                <w:b w:val="1"/>
                <w:bCs w:val="1"/>
                <w:color w:val="auto"/>
                <w:w w:val="93"/>
              </w:rPr>
              <w:t>Delaware</w:t>
            </w:r>
          </w:p>
        </w:tc>
        <w:tc>
          <w:tcPr>
            <w:tcW w:w="358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62-1096725</w:t>
            </w:r>
          </w:p>
        </w:tc>
      </w:tr>
      <w:tr>
        <w:trPr>
          <w:trHeight w:val="216"/>
        </w:trPr>
        <w:tc>
          <w:tcPr>
            <w:tcW w:w="4080" w:type="dxa"/>
            <w:vAlign w:val="bottom"/>
          </w:tcPr>
          <w:p>
            <w:pPr>
              <w:jc w:val="center"/>
              <w:ind w:right="1790"/>
              <w:spacing w:after="0"/>
              <w:rPr>
                <w:sz w:val="20"/>
                <w:szCs w:val="20"/>
                <w:color w:val="auto"/>
              </w:rPr>
            </w:pPr>
            <w:r>
              <w:rPr>
                <w:rFonts w:ascii="Arial" w:cs="Arial" w:eastAsia="Arial" w:hAnsi="Arial"/>
                <w:sz w:val="18"/>
                <w:szCs w:val="18"/>
                <w:color w:val="auto"/>
                <w:w w:val="92"/>
              </w:rPr>
              <w:t>(State or other jurisdiction of</w:t>
            </w:r>
          </w:p>
        </w:tc>
        <w:tc>
          <w:tcPr>
            <w:tcW w:w="3580" w:type="dxa"/>
            <w:vAlign w:val="bottom"/>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3580" w:type="dxa"/>
            <w:vAlign w:val="bottom"/>
          </w:tcPr>
          <w:p>
            <w:pPr>
              <w:jc w:val="center"/>
              <w:ind w:left="1830"/>
              <w:spacing w:after="0"/>
              <w:rPr>
                <w:sz w:val="20"/>
                <w:szCs w:val="20"/>
                <w:color w:val="auto"/>
              </w:rPr>
            </w:pPr>
            <w:r>
              <w:rPr>
                <w:rFonts w:ascii="Arial" w:cs="Arial" w:eastAsia="Arial" w:hAnsi="Arial"/>
                <w:sz w:val="18"/>
                <w:szCs w:val="18"/>
                <w:color w:val="auto"/>
                <w:w w:val="94"/>
              </w:rPr>
              <w:t>Identification Number)</w:t>
            </w:r>
          </w:p>
        </w:tc>
      </w:tr>
    </w:tbl>
    <w:p>
      <w:pPr>
        <w:spacing w:after="0" w:line="225"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2000 Waters Edge Drive</w:t>
      </w:r>
    </w:p>
    <w:p>
      <w:pPr>
        <w:spacing w:after="0" w:line="2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Building C, Suite 12</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(423) 743-9151</w:t>
      </w:r>
    </w:p>
    <w:p>
      <w:pPr>
        <w:spacing w:after="0" w:line="9"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6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1044" w:right="239" w:bottom="1440" w:gutter="0" w:footer="0" w:header="0"/>
        </w:sectPr>
      </w:pPr>
    </w:p>
    <w:p>
      <w:pPr>
        <w:spacing w:after="0" w:line="261" w:lineRule="auto"/>
        <w:rPr>
          <w:sz w:val="20"/>
          <w:szCs w:val="20"/>
          <w:color w:val="auto"/>
        </w:rPr>
      </w:pPr>
      <w:r>
        <w:rPr>
          <w:rFonts w:ascii="Arial" w:cs="Arial" w:eastAsia="Arial" w:hAnsi="Arial"/>
          <w:sz w:val="18"/>
          <w:szCs w:val="18"/>
          <w:color w:val="auto"/>
        </w:rPr>
        <w:t>Large accelerated filer o Accelerated filer x Non-accelerated filer o Smaller reporting company (Do not check if a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52" w:lineRule="exact"/>
        <w:rPr>
          <w:sz w:val="24"/>
          <w:szCs w:val="24"/>
          <w:color w:val="auto"/>
        </w:rPr>
      </w:pPr>
    </w:p>
    <w:p>
      <w:pPr>
        <w:sectPr>
          <w:pgSz w:w="11900" w:h="16838" w:orient="portrait"/>
          <w:cols w:equalWidth="0" w:num="2">
            <w:col w:w="6520" w:space="80"/>
            <w:col w:w="4820"/>
          </w:cols>
          <w:pgMar w:left="240" w:top="1044" w:right="239" w:bottom="1440" w:gutter="0" w:footer="0" w:header="0"/>
          <w:type w:val="continuous"/>
        </w:sectPr>
      </w:pPr>
    </w:p>
    <w:p>
      <w:pPr>
        <w:spacing w:after="0" w:line="227" w:lineRule="exact"/>
        <w:rPr>
          <w:sz w:val="24"/>
          <w:szCs w:val="24"/>
          <w:color w:val="auto"/>
        </w:rPr>
      </w:pPr>
    </w:p>
    <w:p>
      <w:pPr>
        <w:spacing w:after="0"/>
        <w:tabs>
          <w:tab w:leader="none" w:pos="83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 No x</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As of May 5, 2011, there were 16,802,363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259080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773430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1" w:name="page2"/>
    <w:bookmarkEnd w:id="1"/>
    <w:p>
      <w:pPr>
        <w:ind w:left="4540"/>
        <w:spacing w:after="0"/>
        <w:rPr>
          <w:sz w:val="20"/>
          <w:szCs w:val="20"/>
          <w:color w:val="auto"/>
        </w:rPr>
      </w:pPr>
      <w:r>
        <w:rPr>
          <w:rFonts w:ascii="Arial" w:cs="Arial" w:eastAsia="Arial" w:hAnsi="Arial"/>
          <w:sz w:val="17"/>
          <w:szCs w:val="17"/>
          <w:b w:val="1"/>
          <w:bCs w:val="1"/>
          <w:color w:val="auto"/>
        </w:rPr>
        <w:t>NN, Inc.</w:t>
      </w:r>
    </w:p>
    <w:p>
      <w:pPr>
        <w:spacing w:after="0" w:line="3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9520"/>
          </w:cols>
          <w:pgMar w:left="1100" w:top="513" w:right="1279" w:bottom="11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900" w:type="dxa"/>
            <w:vAlign w:val="bottom"/>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0" w:type="dxa"/>
            <w:vAlign w:val="bottom"/>
          </w:tcPr>
          <w:p>
            <w:pPr>
              <w:spacing w:after="0"/>
              <w:rPr>
                <w:sz w:val="1"/>
                <w:szCs w:val="1"/>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Item 1.</w:t>
            </w:r>
          </w:p>
        </w:tc>
        <w:tc>
          <w:tcPr>
            <w:tcW w:w="790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w w:val="92"/>
              </w:rPr>
              <w:t>Condensed Consolidated Statements of Income and Comprehensive Income (Loss) for the three months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1"/>
              </w:rPr>
              <w:t>ended March 31, 2011 and 2010 (unaudited)  . . . . . . . . . . . . . . . . . . . . . . . . . . . . . . . . . . . . . . . . . . . . . . . . .</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rPr>
              <w:t>. . . . . . . . . . . . . . . . . . . . . . . . . . . . . . . . . . . . . . . . . .</w:t>
            </w: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w w:val="89"/>
              </w:rPr>
              <w:t>Condensed Consolidated Balance Sheets at March 31, 2011 and December 31, 2010 (unaudited). . . . . . . . .</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rPr>
              <w:t>. . . . . . . . . . . . . . . . . .</w:t>
            </w: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w w:val="90"/>
              </w:rPr>
              <w:t>Condensed Consolidated Statement of Changes in Stockholders’ Equity for the three months ended March</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rPr>
              <w:t>31, 2011 (unaudited)</w:t>
            </w: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w w:val="90"/>
              </w:rPr>
              <w:t>Condensed Consolidated Statements of Cash Flows for the three months ended March 31, 2011 and 2010</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rPr>
              <w:t>(unaudited) . . . . . . .</w:t>
            </w: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w w:val="90"/>
              </w:rPr>
              <w:t>Notes to Condensed Consolidated Financial Statements (unaudited) . . . . . . . . . . . . . . . . . . . . . . . . . . . . . . .</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rPr>
              <w:t>. . . . . . . . . . . . . . . . . . .</w:t>
            </w:r>
          </w:p>
        </w:tc>
        <w:tc>
          <w:tcPr>
            <w:tcW w:w="0" w:type="dxa"/>
            <w:vAlign w:val="bottom"/>
          </w:tcPr>
          <w:p>
            <w:pPr>
              <w:spacing w:after="0"/>
              <w:rPr>
                <w:sz w:val="1"/>
                <w:szCs w:val="1"/>
                <w:color w:val="auto"/>
              </w:rPr>
            </w:pPr>
          </w:p>
        </w:tc>
      </w:tr>
      <w:tr>
        <w:trPr>
          <w:trHeight w:val="418"/>
        </w:trPr>
        <w:tc>
          <w:tcPr>
            <w:tcW w:w="68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7900" w:type="dxa"/>
            <w:vAlign w:val="bottom"/>
          </w:tcPr>
          <w:p>
            <w:pPr>
              <w:ind w:left="160"/>
              <w:spacing w:after="0"/>
              <w:rPr>
                <w:sz w:val="20"/>
                <w:szCs w:val="20"/>
                <w:color w:val="auto"/>
              </w:rPr>
            </w:pPr>
            <w:r>
              <w:rPr>
                <w:rFonts w:ascii="Arial" w:cs="Arial" w:eastAsia="Arial" w:hAnsi="Arial"/>
                <w:sz w:val="18"/>
                <w:szCs w:val="18"/>
                <w:color w:val="auto"/>
                <w:w w:val="92"/>
              </w:rPr>
              <w:t>Management’s Discussion and Analysis of Financial Condition and Results of Operations . . . . . . . . . . . . .</w:t>
            </w: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7900" w:type="dxa"/>
            <w:vAlign w:val="bottom"/>
            <w:vMerge w:val="restart"/>
          </w:tcPr>
          <w:p>
            <w:pPr>
              <w:ind w:left="120"/>
              <w:spacing w:after="0"/>
              <w:rPr>
                <w:sz w:val="20"/>
                <w:szCs w:val="20"/>
                <w:color w:val="auto"/>
              </w:rPr>
            </w:pPr>
            <w:r>
              <w:rPr>
                <w:rFonts w:ascii="Arial" w:cs="Arial" w:eastAsia="Arial" w:hAnsi="Arial"/>
                <w:sz w:val="18"/>
                <w:szCs w:val="18"/>
                <w:color w:val="auto"/>
              </w:rPr>
              <w:t>. . . . . . . . . . . . . . . . .</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68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7900" w:type="dxa"/>
            <w:vAlign w:val="bottom"/>
          </w:tcPr>
          <w:p>
            <w:pPr>
              <w:ind w:left="160"/>
              <w:spacing w:after="0"/>
              <w:rPr>
                <w:sz w:val="20"/>
                <w:szCs w:val="20"/>
                <w:color w:val="auto"/>
              </w:rPr>
            </w:pPr>
            <w:r>
              <w:rPr>
                <w:rFonts w:ascii="Arial" w:cs="Arial" w:eastAsia="Arial" w:hAnsi="Arial"/>
                <w:sz w:val="18"/>
                <w:szCs w:val="18"/>
                <w:color w:val="auto"/>
                <w:w w:val="91"/>
              </w:rPr>
              <w:t>Quantitative and Qualitative Disclosures about Market Risk  . . . . . . . . . . . . . . . . . . . . . . . . . . . . . . . . . . . . .</w:t>
            </w: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7900" w:type="dxa"/>
            <w:vAlign w:val="bottom"/>
            <w:vMerge w:val="restart"/>
          </w:tcPr>
          <w:p>
            <w:pPr>
              <w:ind w:left="120"/>
              <w:spacing w:after="0"/>
              <w:rPr>
                <w:sz w:val="20"/>
                <w:szCs w:val="20"/>
                <w:color w:val="auto"/>
              </w:rPr>
            </w:pPr>
            <w:r>
              <w:rPr>
                <w:rFonts w:ascii="Arial" w:cs="Arial" w:eastAsia="Arial" w:hAnsi="Arial"/>
                <w:sz w:val="18"/>
                <w:szCs w:val="18"/>
                <w:color w:val="auto"/>
              </w:rPr>
              <w:t>. . . . . . . . . . . . . . . . . . . .</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68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7900" w:type="dxa"/>
            <w:vAlign w:val="bottom"/>
          </w:tcPr>
          <w:p>
            <w:pPr>
              <w:ind w:left="160"/>
              <w:spacing w:after="0"/>
              <w:rPr>
                <w:sz w:val="20"/>
                <w:szCs w:val="20"/>
                <w:color w:val="auto"/>
              </w:rPr>
            </w:pPr>
            <w:r>
              <w:rPr>
                <w:rFonts w:ascii="Arial" w:cs="Arial" w:eastAsia="Arial" w:hAnsi="Arial"/>
                <w:sz w:val="18"/>
                <w:szCs w:val="18"/>
                <w:color w:val="auto"/>
                <w:w w:val="89"/>
              </w:rPr>
              <w:t>Controls and Procedures . . . . . . . . . . . . . . . . . . . . . . . . . . . . . . . . . . . . . . . . . . . . . . . . . . . . . . . . . . . . . . . . . .</w:t>
            </w: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7900" w:type="dxa"/>
            <w:vAlign w:val="bottom"/>
            <w:vMerge w:val="restart"/>
          </w:tcPr>
          <w:p>
            <w:pPr>
              <w:ind w:left="120"/>
              <w:spacing w:after="0"/>
              <w:rPr>
                <w:sz w:val="20"/>
                <w:szCs w:val="20"/>
                <w:color w:val="auto"/>
              </w:rPr>
            </w:pPr>
            <w:r>
              <w:rPr>
                <w:rFonts w:ascii="Arial" w:cs="Arial" w:eastAsia="Arial" w:hAnsi="Arial"/>
                <w:sz w:val="18"/>
                <w:szCs w:val="18"/>
                <w:color w:val="auto"/>
              </w:rPr>
              <w:t>. . . . . . . . . . . . . . . . . . . . . . .</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900" w:type="dxa"/>
            <w:vAlign w:val="bottom"/>
          </w:tcPr>
          <w:p>
            <w:pPr>
              <w:ind w:left="16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418"/>
        </w:trPr>
        <w:tc>
          <w:tcPr>
            <w:tcW w:w="68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7900" w:type="dxa"/>
            <w:vAlign w:val="bottom"/>
          </w:tcPr>
          <w:p>
            <w:pPr>
              <w:ind w:left="160"/>
              <w:spacing w:after="0"/>
              <w:rPr>
                <w:sz w:val="20"/>
                <w:szCs w:val="20"/>
                <w:color w:val="auto"/>
              </w:rPr>
            </w:pPr>
            <w:r>
              <w:rPr>
                <w:rFonts w:ascii="Arial" w:cs="Arial" w:eastAsia="Arial" w:hAnsi="Arial"/>
                <w:sz w:val="18"/>
                <w:szCs w:val="18"/>
                <w:color w:val="auto"/>
                <w:w w:val="90"/>
              </w:rPr>
              <w:t>Legal Proceedings . . . . . . . . . . . . . . . . . . . . . . . . . . . . . . . . . . . . . . . . . . . . . . . . . . . . . . . . . . . . . . . . . . . . . .</w:t>
            </w: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7900" w:type="dxa"/>
            <w:vAlign w:val="bottom"/>
            <w:vMerge w:val="restart"/>
          </w:tcPr>
          <w:p>
            <w:pPr>
              <w:ind w:left="120"/>
              <w:spacing w:after="0"/>
              <w:rPr>
                <w:sz w:val="20"/>
                <w:szCs w:val="20"/>
                <w:color w:val="auto"/>
              </w:rPr>
            </w:pPr>
            <w:r>
              <w:rPr>
                <w:rFonts w:ascii="Arial" w:cs="Arial" w:eastAsia="Arial" w:hAnsi="Arial"/>
                <w:sz w:val="18"/>
                <w:szCs w:val="18"/>
                <w:color w:val="auto"/>
              </w:rPr>
              <w:t>. . . . . . . . . . . . . . . . . . . . . . . .</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w w:val="90"/>
              </w:rPr>
              <w:t>Risk Factors . . . . . . . . . . . . . . . . . . . . . . . . . . . . . . . . . . . . . . . . . . . . . . . . . . . . . . . . . . . . . . . . . . . . . . . . . . .</w:t>
            </w:r>
          </w:p>
        </w:tc>
        <w:tc>
          <w:tcPr>
            <w:tcW w:w="0" w:type="dxa"/>
            <w:vAlign w:val="bottom"/>
          </w:tcPr>
          <w:p>
            <w:pPr>
              <w:spacing w:after="0"/>
              <w:rPr>
                <w:sz w:val="1"/>
                <w:szCs w:val="1"/>
                <w:color w:val="auto"/>
              </w:rPr>
            </w:pPr>
          </w:p>
        </w:tc>
      </w:tr>
      <w:tr>
        <w:trPr>
          <w:trHeight w:val="471"/>
        </w:trPr>
        <w:tc>
          <w:tcPr>
            <w:tcW w:w="8580" w:type="dxa"/>
            <w:vAlign w:val="bottom"/>
            <w:gridSpan w:val="2"/>
          </w:tcPr>
          <w:p>
            <w:pPr>
              <w:spacing w:after="0"/>
              <w:rPr>
                <w:sz w:val="20"/>
                <w:szCs w:val="20"/>
                <w:color w:val="auto"/>
              </w:rPr>
            </w:pPr>
            <w:r>
              <w:rPr>
                <w:rFonts w:ascii="Arial" w:cs="Arial" w:eastAsia="Arial" w:hAnsi="Arial"/>
                <w:sz w:val="36"/>
                <w:szCs w:val="36"/>
                <w:color w:val="auto"/>
                <w:vertAlign w:val="superscript"/>
              </w:rPr>
              <w:t>Item 1A.</w:t>
            </w:r>
            <w:r>
              <w:rPr>
                <w:rFonts w:ascii="Arial" w:cs="Arial" w:eastAsia="Arial" w:hAnsi="Arial"/>
                <w:sz w:val="18"/>
                <w:szCs w:val="18"/>
                <w:color w:val="auto"/>
              </w:rPr>
              <w:t xml:space="preserve">  . . . . . . . . . . . . . . . . . . . . . . . . .</w:t>
            </w:r>
          </w:p>
        </w:tc>
        <w:tc>
          <w:tcPr>
            <w:tcW w:w="0" w:type="dxa"/>
            <w:vAlign w:val="bottom"/>
          </w:tcPr>
          <w:p>
            <w:pPr>
              <w:spacing w:after="0"/>
              <w:rPr>
                <w:sz w:val="1"/>
                <w:szCs w:val="1"/>
                <w:color w:val="auto"/>
              </w:rPr>
            </w:pPr>
          </w:p>
        </w:tc>
      </w:tr>
      <w:tr>
        <w:trPr>
          <w:trHeight w:val="217"/>
        </w:trPr>
        <w:tc>
          <w:tcPr>
            <w:tcW w:w="66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7920" w:type="dxa"/>
            <w:vAlign w:val="bottom"/>
          </w:tcPr>
          <w:p>
            <w:pPr>
              <w:ind w:left="180"/>
              <w:spacing w:after="0"/>
              <w:rPr>
                <w:sz w:val="20"/>
                <w:szCs w:val="20"/>
                <w:color w:val="auto"/>
              </w:rPr>
            </w:pPr>
            <w:r>
              <w:rPr>
                <w:rFonts w:ascii="Arial" w:cs="Arial" w:eastAsia="Arial" w:hAnsi="Arial"/>
                <w:sz w:val="18"/>
                <w:szCs w:val="18"/>
                <w:color w:val="auto"/>
                <w:w w:val="90"/>
              </w:rPr>
              <w:t>Unregistered Sales of Equity Securities and Use of Proceeds . . . . . . . . . . . . . . . . . . . . . . . . . . . . . . . . . . . . .</w:t>
            </w:r>
          </w:p>
        </w:tc>
        <w:tc>
          <w:tcPr>
            <w:tcW w:w="0" w:type="dxa"/>
            <w:vAlign w:val="bottom"/>
          </w:tcPr>
          <w:p>
            <w:pPr>
              <w:spacing w:after="0"/>
              <w:rPr>
                <w:sz w:val="1"/>
                <w:szCs w:val="1"/>
                <w:color w:val="auto"/>
              </w:rPr>
            </w:pPr>
          </w:p>
        </w:tc>
      </w:tr>
      <w:tr>
        <w:trPr>
          <w:trHeight w:val="122"/>
        </w:trPr>
        <w:tc>
          <w:tcPr>
            <w:tcW w:w="660" w:type="dxa"/>
            <w:vAlign w:val="bottom"/>
            <w:vMerge w:val="continue"/>
          </w:tcPr>
          <w:p>
            <w:pPr>
              <w:spacing w:after="0"/>
              <w:rPr>
                <w:sz w:val="10"/>
                <w:szCs w:val="10"/>
                <w:color w:val="auto"/>
              </w:rPr>
            </w:pPr>
          </w:p>
        </w:tc>
        <w:tc>
          <w:tcPr>
            <w:tcW w:w="7920" w:type="dxa"/>
            <w:vAlign w:val="bottom"/>
            <w:vMerge w:val="restart"/>
          </w:tcPr>
          <w:p>
            <w:pPr>
              <w:ind w:left="140"/>
              <w:spacing w:after="0"/>
              <w:rPr>
                <w:sz w:val="20"/>
                <w:szCs w:val="20"/>
                <w:color w:val="auto"/>
              </w:rPr>
            </w:pPr>
            <w:r>
              <w:rPr>
                <w:rFonts w:ascii="Arial" w:cs="Arial" w:eastAsia="Arial" w:hAnsi="Arial"/>
                <w:sz w:val="18"/>
                <w:szCs w:val="18"/>
                <w:color w:val="auto"/>
              </w:rPr>
              <w:t>. . . . . . . . . . . . . . . . . . . .</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7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66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7920" w:type="dxa"/>
            <w:vAlign w:val="bottom"/>
          </w:tcPr>
          <w:p>
            <w:pPr>
              <w:ind w:left="180"/>
              <w:spacing w:after="0"/>
              <w:rPr>
                <w:sz w:val="20"/>
                <w:szCs w:val="20"/>
                <w:color w:val="auto"/>
              </w:rPr>
            </w:pPr>
            <w:r>
              <w:rPr>
                <w:rFonts w:ascii="Arial" w:cs="Arial" w:eastAsia="Arial" w:hAnsi="Arial"/>
                <w:sz w:val="18"/>
                <w:szCs w:val="18"/>
                <w:color w:val="auto"/>
                <w:w w:val="90"/>
              </w:rPr>
              <w:t>Defaults Upon Senior Securities . . . . . . . . . . . . . . . . . . . . . . . . . . . . . . . . . . . . . . . . . . . . . . . . . . . . . . . . . . . .</w:t>
            </w:r>
          </w:p>
        </w:tc>
        <w:tc>
          <w:tcPr>
            <w:tcW w:w="0" w:type="dxa"/>
            <w:vAlign w:val="bottom"/>
          </w:tcPr>
          <w:p>
            <w:pPr>
              <w:spacing w:after="0"/>
              <w:rPr>
                <w:sz w:val="1"/>
                <w:szCs w:val="1"/>
                <w:color w:val="auto"/>
              </w:rPr>
            </w:pPr>
          </w:p>
        </w:tc>
      </w:tr>
      <w:tr>
        <w:trPr>
          <w:trHeight w:val="122"/>
        </w:trPr>
        <w:tc>
          <w:tcPr>
            <w:tcW w:w="660" w:type="dxa"/>
            <w:vAlign w:val="bottom"/>
            <w:vMerge w:val="continue"/>
          </w:tcPr>
          <w:p>
            <w:pPr>
              <w:spacing w:after="0"/>
              <w:rPr>
                <w:sz w:val="10"/>
                <w:szCs w:val="10"/>
                <w:color w:val="auto"/>
              </w:rPr>
            </w:pPr>
          </w:p>
        </w:tc>
        <w:tc>
          <w:tcPr>
            <w:tcW w:w="7920" w:type="dxa"/>
            <w:vAlign w:val="bottom"/>
            <w:vMerge w:val="restart"/>
          </w:tcPr>
          <w:p>
            <w:pPr>
              <w:ind w:left="140"/>
              <w:spacing w:after="0"/>
              <w:rPr>
                <w:sz w:val="20"/>
                <w:szCs w:val="20"/>
                <w:color w:val="auto"/>
              </w:rPr>
            </w:pPr>
            <w:r>
              <w:rPr>
                <w:rFonts w:ascii="Arial" w:cs="Arial" w:eastAsia="Arial" w:hAnsi="Arial"/>
                <w:sz w:val="18"/>
                <w:szCs w:val="18"/>
                <w:color w:val="auto"/>
              </w:rPr>
              <w:t>. . . . . . . . . . . . . . . . . . . . . .</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7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66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7920" w:type="dxa"/>
            <w:vAlign w:val="bottom"/>
          </w:tcPr>
          <w:p>
            <w:pPr>
              <w:ind w:left="180"/>
              <w:spacing w:after="0"/>
              <w:rPr>
                <w:sz w:val="20"/>
                <w:szCs w:val="20"/>
                <w:color w:val="auto"/>
              </w:rPr>
            </w:pPr>
            <w:r>
              <w:rPr>
                <w:rFonts w:ascii="Arial" w:cs="Arial" w:eastAsia="Arial" w:hAnsi="Arial"/>
                <w:sz w:val="18"/>
                <w:szCs w:val="18"/>
                <w:color w:val="auto"/>
                <w:w w:val="90"/>
              </w:rPr>
              <w:t>(Removed and Reserved) . . . . . . . . . . . . . . . . . . . . . . . . . . . . . . . . . . . . . . . . . . . . . . . . . . . . . . . . . . . . . . . . .</w:t>
            </w:r>
          </w:p>
        </w:tc>
        <w:tc>
          <w:tcPr>
            <w:tcW w:w="0" w:type="dxa"/>
            <w:vAlign w:val="bottom"/>
          </w:tcPr>
          <w:p>
            <w:pPr>
              <w:spacing w:after="0"/>
              <w:rPr>
                <w:sz w:val="1"/>
                <w:szCs w:val="1"/>
                <w:color w:val="auto"/>
              </w:rPr>
            </w:pPr>
          </w:p>
        </w:tc>
      </w:tr>
      <w:tr>
        <w:trPr>
          <w:trHeight w:val="122"/>
        </w:trPr>
        <w:tc>
          <w:tcPr>
            <w:tcW w:w="660" w:type="dxa"/>
            <w:vAlign w:val="bottom"/>
            <w:vMerge w:val="continue"/>
          </w:tcPr>
          <w:p>
            <w:pPr>
              <w:spacing w:after="0"/>
              <w:rPr>
                <w:sz w:val="10"/>
                <w:szCs w:val="10"/>
                <w:color w:val="auto"/>
              </w:rPr>
            </w:pPr>
          </w:p>
        </w:tc>
        <w:tc>
          <w:tcPr>
            <w:tcW w:w="7920" w:type="dxa"/>
            <w:vAlign w:val="bottom"/>
            <w:vMerge w:val="restart"/>
          </w:tcPr>
          <w:p>
            <w:pPr>
              <w:ind w:left="140"/>
              <w:spacing w:after="0"/>
              <w:rPr>
                <w:sz w:val="20"/>
                <w:szCs w:val="20"/>
                <w:color w:val="auto"/>
              </w:rPr>
            </w:pPr>
            <w:r>
              <w:rPr>
                <w:rFonts w:ascii="Arial" w:cs="Arial" w:eastAsia="Arial" w:hAnsi="Arial"/>
                <w:sz w:val="18"/>
                <w:szCs w:val="18"/>
                <w:color w:val="auto"/>
              </w:rPr>
              <w:t>. . . . . . . . . . . . . . . . . . . . . . .</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7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660" w:type="dxa"/>
            <w:vAlign w:val="bottom"/>
            <w:vMerge w:val="restart"/>
          </w:tcPr>
          <w:p>
            <w:pPr>
              <w:spacing w:after="0"/>
              <w:rPr>
                <w:sz w:val="20"/>
                <w:szCs w:val="20"/>
                <w:color w:val="auto"/>
              </w:rPr>
            </w:pPr>
            <w:r>
              <w:rPr>
                <w:rFonts w:ascii="Arial" w:cs="Arial" w:eastAsia="Arial" w:hAnsi="Arial"/>
                <w:sz w:val="18"/>
                <w:szCs w:val="18"/>
                <w:color w:val="auto"/>
              </w:rPr>
              <w:t>Item 5.</w:t>
            </w:r>
          </w:p>
        </w:tc>
        <w:tc>
          <w:tcPr>
            <w:tcW w:w="7920" w:type="dxa"/>
            <w:vAlign w:val="bottom"/>
          </w:tcPr>
          <w:p>
            <w:pPr>
              <w:ind w:left="180"/>
              <w:spacing w:after="0"/>
              <w:rPr>
                <w:sz w:val="20"/>
                <w:szCs w:val="20"/>
                <w:color w:val="auto"/>
              </w:rPr>
            </w:pPr>
            <w:r>
              <w:rPr>
                <w:rFonts w:ascii="Arial" w:cs="Arial" w:eastAsia="Arial" w:hAnsi="Arial"/>
                <w:sz w:val="18"/>
                <w:szCs w:val="18"/>
                <w:color w:val="auto"/>
                <w:w w:val="91"/>
              </w:rPr>
              <w:t>Other Information. . . . . . . . . . . . . . . . . . . . . . . . . . . . . . . . . . . . . . . . . . . . . . . . . . . . . . . . . . . . . . . . . . . . . . .</w:t>
            </w:r>
          </w:p>
        </w:tc>
        <w:tc>
          <w:tcPr>
            <w:tcW w:w="0" w:type="dxa"/>
            <w:vAlign w:val="bottom"/>
          </w:tcPr>
          <w:p>
            <w:pPr>
              <w:spacing w:after="0"/>
              <w:rPr>
                <w:sz w:val="1"/>
                <w:szCs w:val="1"/>
                <w:color w:val="auto"/>
              </w:rPr>
            </w:pPr>
          </w:p>
        </w:tc>
      </w:tr>
      <w:tr>
        <w:trPr>
          <w:trHeight w:val="122"/>
        </w:trPr>
        <w:tc>
          <w:tcPr>
            <w:tcW w:w="660" w:type="dxa"/>
            <w:vAlign w:val="bottom"/>
            <w:vMerge w:val="continue"/>
          </w:tcPr>
          <w:p>
            <w:pPr>
              <w:spacing w:after="0"/>
              <w:rPr>
                <w:sz w:val="10"/>
                <w:szCs w:val="10"/>
                <w:color w:val="auto"/>
              </w:rPr>
            </w:pPr>
          </w:p>
        </w:tc>
        <w:tc>
          <w:tcPr>
            <w:tcW w:w="7920" w:type="dxa"/>
            <w:vAlign w:val="bottom"/>
            <w:vMerge w:val="restart"/>
          </w:tcPr>
          <w:p>
            <w:pPr>
              <w:ind w:left="140"/>
              <w:spacing w:after="0"/>
              <w:rPr>
                <w:sz w:val="20"/>
                <w:szCs w:val="20"/>
                <w:color w:val="auto"/>
              </w:rPr>
            </w:pPr>
            <w:r>
              <w:rPr>
                <w:rFonts w:ascii="Arial" w:cs="Arial" w:eastAsia="Arial" w:hAnsi="Arial"/>
                <w:sz w:val="18"/>
                <w:szCs w:val="18"/>
                <w:color w:val="auto"/>
              </w:rPr>
              <w:t>. . . . . . . . . . . . . . . . . . . . . . . .</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7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660" w:type="dxa"/>
            <w:vAlign w:val="bottom"/>
            <w:vMerge w:val="restart"/>
          </w:tcPr>
          <w:p>
            <w:pPr>
              <w:spacing w:after="0"/>
              <w:rPr>
                <w:sz w:val="20"/>
                <w:szCs w:val="20"/>
                <w:color w:val="auto"/>
              </w:rPr>
            </w:pPr>
            <w:r>
              <w:rPr>
                <w:rFonts w:ascii="Arial" w:cs="Arial" w:eastAsia="Arial" w:hAnsi="Arial"/>
                <w:sz w:val="18"/>
                <w:szCs w:val="18"/>
                <w:color w:val="auto"/>
              </w:rPr>
              <w:t>Item 6.</w:t>
            </w:r>
          </w:p>
        </w:tc>
        <w:tc>
          <w:tcPr>
            <w:tcW w:w="7920" w:type="dxa"/>
            <w:vAlign w:val="bottom"/>
          </w:tcPr>
          <w:p>
            <w:pPr>
              <w:ind w:left="180"/>
              <w:spacing w:after="0"/>
              <w:rPr>
                <w:sz w:val="20"/>
                <w:szCs w:val="20"/>
                <w:color w:val="auto"/>
              </w:rPr>
            </w:pPr>
            <w:r>
              <w:rPr>
                <w:rFonts w:ascii="Arial" w:cs="Arial" w:eastAsia="Arial" w:hAnsi="Arial"/>
                <w:sz w:val="18"/>
                <w:szCs w:val="18"/>
                <w:color w:val="auto"/>
                <w:w w:val="90"/>
              </w:rPr>
              <w:t>Exhibits. . . . . . . . . . . . . . . . . . . . . . . . . . . . . . . . . . . . . . . . . . . . . . . . . . . . . . . . . . . . . . . . . . . . . . . . . . . . . . .</w:t>
            </w:r>
          </w:p>
        </w:tc>
        <w:tc>
          <w:tcPr>
            <w:tcW w:w="0" w:type="dxa"/>
            <w:vAlign w:val="bottom"/>
          </w:tcPr>
          <w:p>
            <w:pPr>
              <w:spacing w:after="0"/>
              <w:rPr>
                <w:sz w:val="1"/>
                <w:szCs w:val="1"/>
                <w:color w:val="auto"/>
              </w:rPr>
            </w:pPr>
          </w:p>
        </w:tc>
      </w:tr>
      <w:tr>
        <w:trPr>
          <w:trHeight w:val="122"/>
        </w:trPr>
        <w:tc>
          <w:tcPr>
            <w:tcW w:w="660" w:type="dxa"/>
            <w:vAlign w:val="bottom"/>
            <w:vMerge w:val="continue"/>
          </w:tcPr>
          <w:p>
            <w:pPr>
              <w:spacing w:after="0"/>
              <w:rPr>
                <w:sz w:val="10"/>
                <w:szCs w:val="10"/>
                <w:color w:val="auto"/>
              </w:rPr>
            </w:pPr>
          </w:p>
        </w:tc>
        <w:tc>
          <w:tcPr>
            <w:tcW w:w="7920" w:type="dxa"/>
            <w:vAlign w:val="bottom"/>
            <w:vMerge w:val="restart"/>
          </w:tcPr>
          <w:p>
            <w:pPr>
              <w:ind w:left="140"/>
              <w:spacing w:after="0"/>
              <w:rPr>
                <w:sz w:val="20"/>
                <w:szCs w:val="20"/>
                <w:color w:val="auto"/>
              </w:rPr>
            </w:pPr>
            <w:r>
              <w:rPr>
                <w:rFonts w:ascii="Arial" w:cs="Arial" w:eastAsia="Arial" w:hAnsi="Arial"/>
                <w:sz w:val="18"/>
                <w:szCs w:val="18"/>
                <w:color w:val="auto"/>
              </w:rPr>
              <w:t>. . . . . . . . . . . . . . . . . . . . . . . . .</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7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28"/>
          <w:szCs w:val="28"/>
          <w:color w:val="auto"/>
          <w:vertAlign w:val="subscript"/>
        </w:rPr>
        <w:t>Signatures . .</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w:t>
      </w:r>
      <w:r>
        <w:rPr>
          <w:rFonts w:ascii="Arial" w:cs="Arial" w:eastAsia="Arial" w:hAnsi="Arial"/>
          <w:sz w:val="28"/>
          <w:szCs w:val="28"/>
          <w:color w:val="auto"/>
          <w:vertAlign w:val="subscript"/>
        </w:rPr>
        <w:t>.</w:t>
      </w:r>
      <w:r>
        <w:rPr>
          <w:rFonts w:ascii="Arial" w:cs="Arial" w:eastAsia="Arial" w:hAnsi="Arial"/>
          <w:sz w:val="15"/>
          <w:szCs w:val="15"/>
          <w:color w:val="auto"/>
        </w:rPr>
        <w:t>. . . . . . . . . . . . . . . . . . . . . . . . . . . . . . . . . . . . . . .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Page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w:t>
      </w:r>
    </w:p>
    <w:p>
      <w:pPr>
        <w:spacing w:after="0" w:line="33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w:t>
      </w:r>
    </w:p>
    <w:p>
      <w:pPr>
        <w:sectPr>
          <w:pgSz w:w="11900" w:h="16838" w:orient="portrait"/>
          <w:cols w:equalWidth="0" w:num="2">
            <w:col w:w="8580" w:space="280"/>
            <w:col w:w="660"/>
          </w:cols>
          <w:pgMar w:left="1100" w:top="513" w:right="1279" w:bottom="1140" w:gutter="0" w:footer="0" w:header="0"/>
          <w:type w:val="continuous"/>
        </w:sectPr>
      </w:pPr>
    </w:p>
    <w:bookmarkStart w:id="2" w:name="page3"/>
    <w:bookmarkEnd w:id="2"/>
    <w:p>
      <w:pPr>
        <w:spacing w:after="0" w:line="4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Statements of Income and Comprehensive Income (Loss)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6"/>
          </w:tcPr>
          <w:p>
            <w:pPr>
              <w:jc w:val="right"/>
              <w:ind w:right="300"/>
              <w:spacing w:after="0"/>
              <w:rPr>
                <w:sz w:val="20"/>
                <w:szCs w:val="20"/>
                <w:color w:val="auto"/>
              </w:rPr>
            </w:pPr>
            <w:r>
              <w:rPr>
                <w:rFonts w:ascii="Arial" w:cs="Arial" w:eastAsia="Arial" w:hAnsi="Arial"/>
                <w:sz w:val="18"/>
                <w:szCs w:val="18"/>
                <w:color w:val="auto"/>
                <w:w w:val="95"/>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(In Thousands of Dollars, Except Per Share Data)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111,307</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shown separately below)</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90,299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68,916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(Gain)loss on disposal of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from deconsolidation of bankrupt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subsidiary</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9,217</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Foreign statement translation gain (loss)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 (loss )</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common share: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16,664</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440" w:right="1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March 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9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Arial" w:cs="Arial" w:eastAsia="Arial" w:hAnsi="Arial"/>
                <w:sz w:val="18"/>
                <w:szCs w:val="18"/>
                <w:color w:val="auto"/>
                <w:w w:val="94"/>
              </w:rPr>
              <w:t>Accounts receivable, net of allowance for doubtful accounts of $564 and $474, respectively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84,207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Goodwill, 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273,173</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248,555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54,134</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81,887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83,587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Accrued pension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181,342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170,448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273,173</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248,555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gridSpan w:val="3"/>
          </w:tcPr>
          <w:p>
            <w:pPr>
              <w:jc w:val="center"/>
              <w:ind w:left="7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8"/>
              </w:rPr>
              <w:t>Additional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Comprehen-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ind w:left="220"/>
              <w:spacing w:after="0"/>
              <w:rPr>
                <w:sz w:val="20"/>
                <w:szCs w:val="20"/>
                <w:color w:val="auto"/>
              </w:rPr>
            </w:pPr>
            <w:r>
              <w:rPr>
                <w:rFonts w:ascii="Arial" w:cs="Arial" w:eastAsia="Arial" w:hAnsi="Arial"/>
                <w:sz w:val="18"/>
                <w:szCs w:val="18"/>
                <w:color w:val="auto"/>
              </w:rPr>
              <w:t>(In Thousands of Dollars and</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Par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0"/>
              </w:rPr>
              <w:t>Paid 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88"/>
              </w:rPr>
              <w:t>Retained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color w:val="auto"/>
                <w:w w:val="93"/>
              </w:rPr>
              <w:t>sive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5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Value</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Earnings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Income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Shares issued for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Foreign statement translation</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2680" w:type="dxa"/>
            <w:vAlign w:val="bottom"/>
            <w:gridSpan w:val="3"/>
          </w:tcPr>
          <w:p>
            <w:pPr>
              <w:spacing w:after="0"/>
              <w:rPr>
                <w:sz w:val="20"/>
                <w:szCs w:val="20"/>
                <w:color w:val="auto"/>
              </w:rPr>
            </w:pPr>
            <w:r>
              <w:rPr>
                <w:rFonts w:ascii="Arial" w:cs="Arial" w:eastAsia="Arial" w:hAnsi="Arial"/>
                <w:sz w:val="18"/>
                <w:szCs w:val="18"/>
                <w:color w:val="auto"/>
              </w:rPr>
              <w:t>gain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8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16,797</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91,831</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5"/>
          </w:tcPr>
          <w:p>
            <w:pPr>
              <w:jc w:val="right"/>
              <w:ind w:right="320"/>
              <w:spacing w:after="0"/>
              <w:rPr>
                <w:sz w:val="20"/>
                <w:szCs w:val="20"/>
                <w:color w:val="auto"/>
              </w:rPr>
            </w:pPr>
            <w:r>
              <w:rPr>
                <w:rFonts w:ascii="Arial" w:cs="Arial" w:eastAsia="Arial" w:hAnsi="Arial"/>
                <w:sz w:val="18"/>
                <w:szCs w:val="18"/>
                <w:color w:val="auto"/>
                <w:w w:val="93"/>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4"/>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Arial" w:cs="Arial" w:eastAsia="Arial" w:hAnsi="Arial"/>
                <w:sz w:val="18"/>
                <w:szCs w:val="18"/>
                <w:color w:val="auto"/>
              </w:rPr>
              <w:t>Adjustments to reconcile net income to net cash used by operating activities: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Write-off of unamortized debt issuance cost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(Gain)loss on disposal of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gain from deconsolidation of bankrupt subsidiary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interest income from long-term note receivable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(22,071)</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(1,356)</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Other assets and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(3,136)</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by operating activities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(17,714)</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(3,776)</w:t>
            </w:r>
          </w:p>
        </w:tc>
        <w:tc>
          <w:tcPr>
            <w:tcW w:w="2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lost on deconsolidation of Eltmann subsidiary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Proceeds from disposals of property, plant and equipment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by investing activities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(4,766)</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Proceeds (repayment) of short-term debt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Principal payment on capital lease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Proceeds from long term debt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issuance of stock</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Debt issuance cost paid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20,230</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flows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-119380</wp:posOffset>
            </wp:positionV>
            <wp:extent cx="579755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9" w:lineRule="exact"/>
        <w:rPr>
          <w:sz w:val="20"/>
          <w:szCs w:val="20"/>
          <w:color w:val="auto"/>
        </w:rPr>
      </w:pPr>
    </w:p>
    <w:p>
      <w:pPr>
        <w:jc w:val="both"/>
        <w:ind w:right="20" w:firstLine="42"/>
        <w:spacing w:after="0" w:line="258" w:lineRule="auto"/>
        <w:rPr>
          <w:sz w:val="20"/>
          <w:szCs w:val="20"/>
          <w:color w:val="auto"/>
        </w:rPr>
      </w:pPr>
      <w:r>
        <w:rPr>
          <w:rFonts w:ascii="Arial" w:cs="Arial" w:eastAsia="Arial" w:hAnsi="Arial"/>
          <w:sz w:val="18"/>
          <w:szCs w:val="18"/>
          <w:color w:val="auto"/>
        </w:rPr>
        <w:t>The following amounts were deconsolidated from the Condensed Consolidated Balance Sheet of NN on January 20, 2011 and are not reflected in the net cash used by operating activities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-273050</wp:posOffset>
            </wp:positionV>
            <wp:extent cx="579755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Accounts receivable of $3,388, Inventory of $2,407,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Accounts payable of $1,947 and Other assets and liabilities of $6,379.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-130810</wp:posOffset>
            </wp:positionV>
            <wp:extent cx="579755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91" w:lineRule="exact"/>
        <w:rPr>
          <w:sz w:val="20"/>
          <w:szCs w:val="20"/>
          <w:color w:val="auto"/>
        </w:rPr>
      </w:pPr>
    </w:p>
    <w:p>
      <w:pPr>
        <w:jc w:val="both"/>
        <w:ind w:firstLine="35"/>
        <w:spacing w:after="0" w:line="277" w:lineRule="auto"/>
        <w:rPr>
          <w:sz w:val="20"/>
          <w:szCs w:val="20"/>
          <w:color w:val="auto"/>
        </w:rPr>
      </w:pPr>
      <w:r>
        <w:rPr>
          <w:rFonts w:ascii="Arial" w:cs="Arial" w:eastAsia="Arial" w:hAnsi="Arial"/>
          <w:sz w:val="18"/>
          <w:szCs w:val="18"/>
          <w:color w:val="auto"/>
        </w:rPr>
        <w:t>Additionally, property, plant and equipment of $1,343 was deconsolidated from the Condensed Consolidated Balance Sheet of NN on January 20, 2011 and is not reflected in the net cash used by investing activities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-293370</wp:posOffset>
            </wp:positionV>
            <wp:extent cx="579755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Interim Financial Statements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condensed consolidated financial statements of NN, Inc. have not been audited, except that the balance sheet at December 31, 2010 was derived from the Company’s audited consolidated financial statements. In the opinion of the Company’s management, the financial statements reflect all adjustments necessary to fairly state the results of operations for the three month periods ended March 31, 2011 and 2010, the Company’s financial position at March 31, 2011 and December 31, 2010, and the cash flows for the three month periods ended March 31, 2011 and 2010.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9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2010 which we filed with the Securities and Exchange Commission on March 15, 2011. The results for the three month period ended March 31, 2011 are not necessarily indicative of results for the year ending December 31, 2011 or any other future periods.</w:t>
      </w:r>
    </w:p>
    <w:p>
      <w:pPr>
        <w:spacing w:after="0" w:line="2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and as a result became technically insolvent at which point it was required to file for bankruptcy under German bankruptcy law. The filing was made in the bankruptcy court in Germany on January 20, 2011. As of this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w:t>
      </w:r>
    </w:p>
    <w:p>
      <w:pPr>
        <w:spacing w:after="0" w:line="22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were informed that in early April 2011, the bankruptcy trustee sold the majority of the production assets of Eltmann to a non-affiliated manufacturing company. It is our understanding that the remaining assets and liabilities of Eltmann will be liquidated sometime in the future by the bankruptcy court. NN does not expect any further significant impact on our consolidated financial statements as a result of the liquidation of this subsidiary.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effects on the March 31, 2011 Condensed Consolidated Balance Sheet of the deconsolidation of Eltmann effective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20, 2011 (in thousands):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Accounts receivable</w:t>
            </w: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assets</w:t>
            </w: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Reduction of Total assets</w:t>
            </w:r>
          </w:p>
        </w:tc>
        <w:tc>
          <w:tcPr>
            <w:tcW w:w="4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Accounts payable</w:t>
            </w: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w:t>
            </w:r>
          </w:p>
        </w:tc>
        <w:tc>
          <w:tcPr>
            <w:tcW w:w="3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Accrued pension</w:t>
            </w: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9"/>
              </w:rPr>
              <w:t>Reduction of Total liabilities and stockholders’ equity</w:t>
            </w:r>
          </w:p>
        </w:tc>
        <w:tc>
          <w:tcPr>
            <w:tcW w:w="4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(8,519)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Gain from deconsolidation of bankrupt subsidiary</w:t>
            </w:r>
          </w:p>
        </w:tc>
        <w:tc>
          <w:tcPr>
            <w:tcW w:w="4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940" w:type="dxa"/>
            <w:vAlign w:val="bottom"/>
            <w:vMerge w:val="restart"/>
          </w:tcPr>
          <w:p>
            <w:pPr>
              <w:jc w:val="right"/>
              <w:ind w:right="3430"/>
              <w:spacing w:after="0"/>
              <w:rPr>
                <w:sz w:val="20"/>
                <w:szCs w:val="20"/>
                <w:color w:val="auto"/>
              </w:rPr>
            </w:pPr>
            <w:r>
              <w:rPr>
                <w:rFonts w:ascii="Arial" w:cs="Arial" w:eastAsia="Arial" w:hAnsi="Arial"/>
                <w:sz w:val="18"/>
                <w:szCs w:val="18"/>
                <w:color w:val="auto"/>
              </w:rPr>
              <w:t>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Restructuring Charges and Other</w:t>
      </w:r>
    </w:p>
    <w:p>
      <w:pPr>
        <w:spacing w:after="0" w:line="2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the first quarter of 2010, we announced the closure of the Tempe Plant. We ceased operations at this location on August 31, 2010. The closure impacted approximately 130 employees. Current economic conditions coupled with the long-term manufacturing strategy for our Whirlaway business necessitated a consolidation of our manufacturing resources into existing facilities in Ohio. During the three month period ended March 31, 2010, we incurred $533 of severance cost related to the closure. The severance costs were recognized pro-rata over the period from the announcement date until the employees’ termination date as continued employment was a requirement to receive severance payments. Additionally, during the three period ended March 31, 2010, we incurred $1,000 of accelerated depreciation related to certain fixed assets that were expected to cease to be used due to the Tempe Plant closure.</w:t>
      </w:r>
    </w:p>
    <w:p>
      <w:pPr>
        <w:spacing w:after="0" w:line="2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Long Term Notes Receivable</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property, plant and equipment of the Tempe Plant was sold on August 31, 2010, the day the Tempe Plant ceased operations, to a newly formed company not affiliated with NN. Property, plant and equipment with a net book value of $2,230 were sold in exchange for a promissory note with a fair value of $1,562, as of August 31, 2010, (described below as the Tempe Fixed Asset Note).</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Tempe Fixed Asset Note had an original face value of $2,500, a 60 month term, a 7% interest rate, interest only payments for 24 months, principal and interest payments totaling $40 per month for the next 36 months followed by a balloon payment of $1,525. The note is secured by a first lien on approximately $1,000 of the assets and a second lien on the remaining assets. As of March 31, 2011, the note had an estimated fair value and carrying value of $1,649 determined using a discounted cash flow method applying market interest rates for similar types of seller financed, partially secured promissory notes (level 3 under the U.S. GAAP fair value hierarchy). This note is reported within other current assets for the current portion and other non-current assets for the long-term portion within the 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Note 4.  Inventories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960" w:type="dxa"/>
            <w:vAlign w:val="bottom"/>
            <w:gridSpan w:val="2"/>
          </w:tcPr>
          <w:p>
            <w:pPr>
              <w:spacing w:after="0"/>
              <w:rPr>
                <w:sz w:val="20"/>
                <w:szCs w:val="20"/>
                <w:color w:val="auto"/>
              </w:rPr>
            </w:pPr>
            <w:r>
              <w:rPr>
                <w:rFonts w:ascii="Arial" w:cs="Arial" w:eastAsia="Arial" w:hAnsi="Arial"/>
                <w:sz w:val="18"/>
                <w:szCs w:val="18"/>
                <w:color w:val="auto"/>
                <w:w w:val="94"/>
              </w:rPr>
              <w:t>Inventories are stated at the lower of cost or market. Cost is determined using the first-in, first-out method.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7960" w:type="dxa"/>
            <w:vAlign w:val="bottom"/>
            <w:gridSpan w:val="2"/>
          </w:tcPr>
          <w:p>
            <w:pPr>
              <w:spacing w:after="0"/>
              <w:rPr>
                <w:sz w:val="20"/>
                <w:szCs w:val="20"/>
                <w:color w:val="auto"/>
              </w:rPr>
            </w:pPr>
            <w:r>
              <w:rPr>
                <w:rFonts w:ascii="Arial" w:cs="Arial" w:eastAsia="Arial" w:hAnsi="Arial"/>
                <w:sz w:val="18"/>
                <w:szCs w:val="18"/>
                <w:color w:val="auto"/>
              </w:rPr>
              <w:t>Inventories are comprised of the following (in thousands):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11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December</w:t>
            </w:r>
          </w:p>
        </w:tc>
      </w:tr>
      <w:tr>
        <w:trPr>
          <w:trHeight w:val="216"/>
        </w:trPr>
        <w:tc>
          <w:tcPr>
            <w:tcW w:w="1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March 31,</w:t>
            </w: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8,837</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21,467</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Less inventory reserves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(1,654)</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(1,304)</w:t>
            </w:r>
          </w:p>
        </w:tc>
      </w:tr>
      <w:tr>
        <w:trPr>
          <w:trHeight w:val="27"/>
        </w:trPr>
        <w:tc>
          <w:tcPr>
            <w:tcW w:w="116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68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41,222</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41,882</w:t>
            </w:r>
          </w:p>
        </w:tc>
        <w:tc>
          <w:tcPr>
            <w:tcW w:w="80" w:type="dxa"/>
            <w:vAlign w:val="bottom"/>
            <w:shd w:val="clear" w:color="auto" w:fill="CCEEFF"/>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March 31, 2011 and December 31, 2010 totaled $3,952 and $3,401, respectively.</w:t>
      </w:r>
    </w:p>
    <w:p>
      <w:pPr>
        <w:spacing w:after="0" w:line="2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first quarter of 2011, $2,407 of inventory at Eltmann was deconsolidated from the financial statements of NN. (See Note 1 of the Notes to Condensed Consolidated Financial Statements).</w:t>
      </w:r>
    </w:p>
    <w:p>
      <w:pPr>
        <w:spacing w:after="0" w:line="19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Note 5.  Net Income Per Share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5"/>
          </w:tcPr>
          <w:p>
            <w:pPr>
              <w:jc w:val="right"/>
              <w:ind w:right="360"/>
              <w:spacing w:after="0"/>
              <w:rPr>
                <w:sz w:val="20"/>
                <w:szCs w:val="20"/>
                <w:color w:val="auto"/>
              </w:rPr>
            </w:pPr>
            <w:r>
              <w:rPr>
                <w:rFonts w:ascii="Arial" w:cs="Arial" w:eastAsia="Arial" w:hAnsi="Arial"/>
                <w:sz w:val="18"/>
                <w:szCs w:val="18"/>
                <w:color w:val="auto"/>
                <w:w w:val="92"/>
              </w:rPr>
              <w:t>Three months ended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ind w:left="1140"/>
              <w:spacing w:after="0"/>
              <w:rPr>
                <w:sz w:val="20"/>
                <w:szCs w:val="20"/>
                <w:color w:val="auto"/>
              </w:rPr>
            </w:pPr>
            <w:r>
              <w:rPr>
                <w:rFonts w:ascii="Arial" w:cs="Arial" w:eastAsia="Arial" w:hAnsi="Arial"/>
                <w:sz w:val="18"/>
                <w:szCs w:val="18"/>
                <w:color w:val="auto"/>
              </w:rPr>
              <w:t>(In Thousands of Dollars, Except Per Share Data)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dilutive shares outstanding</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0.33</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anti-dilutive options excluded from the dilutive shares outstanding for the three month period ended March 31, 2011. Excluded from the dilutive shares outstanding for the three month period ended March 31, 2010 were 1,132 anti-dilutive options which had exercise prices ranging from $4.42 to $12.62.</w:t>
      </w:r>
    </w:p>
    <w:p>
      <w:pPr>
        <w:spacing w:after="0" w:line="2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2010. We evaluate segment performance based on segment net income or loss after income taxes. We account for inter-segment sales and transfers at current market prices. We did not have any significant inter-segment transactions during the three month periods ended March 31, 2011 and 2010.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Metal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Precision</w:t>
            </w:r>
          </w:p>
        </w:tc>
        <w:tc>
          <w:tcPr>
            <w:tcW w:w="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Plastic and</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Bearing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Metal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Rubber</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gridSpan w:val="4"/>
          </w:tcPr>
          <w:p>
            <w:pPr>
              <w:ind w:left="80"/>
              <w:spacing w:after="0"/>
              <w:rPr>
                <w:sz w:val="20"/>
                <w:szCs w:val="20"/>
                <w:color w:val="auto"/>
              </w:rPr>
            </w:pPr>
            <w:r>
              <w:rPr>
                <w:rFonts w:ascii="Arial" w:cs="Arial" w:eastAsia="Arial" w:hAnsi="Arial"/>
                <w:sz w:val="18"/>
                <w:szCs w:val="18"/>
                <w:color w:val="auto"/>
                <w:w w:val="95"/>
              </w:rPr>
              <w:t>Components</w:t>
            </w:r>
          </w:p>
        </w:tc>
        <w:tc>
          <w:tcPr>
            <w:tcW w:w="1100" w:type="dxa"/>
            <w:vAlign w:val="bottom"/>
            <w:gridSpan w:val="4"/>
          </w:tcPr>
          <w:p>
            <w:pPr>
              <w:ind w:left="80"/>
              <w:spacing w:after="0"/>
              <w:rPr>
                <w:sz w:val="20"/>
                <w:szCs w:val="20"/>
                <w:color w:val="auto"/>
              </w:rPr>
            </w:pPr>
            <w:r>
              <w:rPr>
                <w:rFonts w:ascii="Arial" w:cs="Arial" w:eastAsia="Arial" w:hAnsi="Arial"/>
                <w:sz w:val="18"/>
                <w:szCs w:val="18"/>
                <w:color w:val="auto"/>
                <w:w w:val="97"/>
              </w:rPr>
              <w:t>Components</w:t>
            </w:r>
          </w:p>
        </w:tc>
        <w:tc>
          <w:tcPr>
            <w:tcW w:w="980" w:type="dxa"/>
            <w:vAlign w:val="bottom"/>
            <w:gridSpan w:val="3"/>
          </w:tcPr>
          <w:p>
            <w:pPr>
              <w:ind w:left="60"/>
              <w:spacing w:after="0"/>
              <w:rPr>
                <w:sz w:val="20"/>
                <w:szCs w:val="20"/>
                <w:color w:val="auto"/>
              </w:rPr>
            </w:pPr>
            <w:r>
              <w:rPr>
                <w:rFonts w:ascii="Arial" w:cs="Arial" w:eastAsia="Arial" w:hAnsi="Arial"/>
                <w:sz w:val="18"/>
                <w:szCs w:val="18"/>
                <w:color w:val="auto"/>
                <w:w w:val="88"/>
              </w:rPr>
              <w:t>Components</w:t>
            </w: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Corporate and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(In Thousands of Dollars)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Segment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Segment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Segment</w:t>
            </w:r>
          </w:p>
        </w:tc>
        <w:tc>
          <w:tcPr>
            <w:tcW w:w="1340" w:type="dxa"/>
            <w:vAlign w:val="bottom"/>
            <w:gridSpan w:val="4"/>
          </w:tcPr>
          <w:p>
            <w:pPr>
              <w:ind w:left="160"/>
              <w:spacing w:after="0"/>
              <w:rPr>
                <w:sz w:val="20"/>
                <w:szCs w:val="20"/>
                <w:color w:val="auto"/>
              </w:rPr>
            </w:pPr>
            <w:r>
              <w:rPr>
                <w:rFonts w:ascii="Arial" w:cs="Arial" w:eastAsia="Arial" w:hAnsi="Arial"/>
                <w:sz w:val="18"/>
                <w:szCs w:val="18"/>
                <w:color w:val="auto"/>
                <w:w w:val="98"/>
              </w:rPr>
              <w:t>Consolidations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40" w:type="dxa"/>
            <w:vAlign w:val="bottom"/>
          </w:tcPr>
          <w:p>
            <w:pPr>
              <w:spacing w:after="0"/>
              <w:rPr>
                <w:sz w:val="24"/>
                <w:szCs w:val="24"/>
                <w:color w:val="auto"/>
              </w:rPr>
            </w:pPr>
          </w:p>
        </w:tc>
        <w:tc>
          <w:tcPr>
            <w:tcW w:w="36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Three Months ended March 31, 2011</w:t>
            </w: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 from external customers</w:t>
            </w:r>
          </w:p>
        </w:tc>
        <w:tc>
          <w:tcPr>
            <w:tcW w:w="18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83,782</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16,402</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11,123</w:t>
            </w:r>
          </w:p>
        </w:tc>
        <w:tc>
          <w:tcPr>
            <w:tcW w:w="50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111,307</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206,778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20,471</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273,173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Three Months ended March 31, 2010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 from external customers</w:t>
            </w: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62,023</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13,594</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9,723</w:t>
            </w:r>
          </w:p>
        </w:tc>
        <w:tc>
          <w:tcPr>
            <w:tcW w:w="50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85,340</w:t>
            </w: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5,034</w:t>
            </w:r>
          </w:p>
        </w:tc>
        <w:tc>
          <w:tcPr>
            <w:tcW w:w="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(1,907)</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(3,602)</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184,418</w:t>
            </w:r>
          </w:p>
        </w:tc>
        <w:tc>
          <w:tcPr>
            <w:tcW w:w="80" w:type="dxa"/>
            <w:vAlign w:val="bottom"/>
          </w:tcPr>
          <w:p>
            <w:pPr>
              <w:spacing w:after="0"/>
              <w:rPr>
                <w:sz w:val="20"/>
                <w:szCs w:val="20"/>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30,722</w:t>
            </w:r>
          </w:p>
        </w:tc>
        <w:tc>
          <w:tcPr>
            <w:tcW w:w="10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18,930</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238,480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Pensions</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Effective January 20, 2011, the defined benefit pension plan covering the employees at our Eltmann Plant is under control of the bankruptcy trustee and has been or will be taken over by the German government’s pension security fund. The plan is no longer a responsibility of NN, resulting in a reduction of Accrued pension liabilities of $5,623. (See Note 1 of the Notes to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25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In accordance with Italian law, the Company has an unfunded severance plan covering our Pinerolo Plant employees under which all employees at that location are entitled to receive severance indemnities upon termination of their employment. The table below summarizes the changes to the severance indemnity for the three month periods ended March 31, 2011 and 2010: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5"/>
          </w:tcPr>
          <w:p>
            <w:pPr>
              <w:jc w:val="right"/>
              <w:ind w:right="360"/>
              <w:spacing w:after="0"/>
              <w:rPr>
                <w:sz w:val="20"/>
                <w:szCs w:val="20"/>
                <w:color w:val="auto"/>
              </w:rPr>
            </w:pPr>
            <w:r>
              <w:rPr>
                <w:rFonts w:ascii="Arial" w:cs="Arial" w:eastAsia="Arial" w:hAnsi="Arial"/>
                <w:sz w:val="18"/>
                <w:szCs w:val="18"/>
                <w:color w:val="auto"/>
                <w:w w:val="92"/>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Amounts accrued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Payments to government managed plan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7,658</w:t>
            </w:r>
          </w:p>
        </w:tc>
        <w:tc>
          <w:tcPr>
            <w:tcW w:w="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two plans that cover our Veenendaal Plant employees. One plan provides an award for employees who achieve 25 or 40 years of service and the other plan is an award for employees upon retirement. These plans are both unfunded and the benefits are based on years of service and rate of compensation at the time the award is paid. The table below summarizes the combined changes in the two plans during the three month periods ended March 31, 2011 and 2010.</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ind w:left="1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ind w:left="440"/>
              <w:spacing w:after="0"/>
              <w:rPr>
                <w:sz w:val="20"/>
                <w:szCs w:val="20"/>
                <w:color w:val="auto"/>
              </w:rPr>
            </w:pPr>
            <w:r>
              <w:rPr>
                <w:rFonts w:ascii="Arial" w:cs="Arial" w:eastAsia="Arial" w:hAnsi="Arial"/>
                <w:sz w:val="18"/>
                <w:szCs w:val="18"/>
                <w:color w:val="auto"/>
                <w:w w:val="89"/>
              </w:rPr>
              <w:t>March 31,</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2011</w:t>
            </w: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84"/>
              </w:rPr>
              <w:t>2010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Ending balance</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2011, there are no new accounting pronouncements that are expected to significantly affect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Note 9.  Long-Term Debt and Short-Term Debt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spacing w:after="0"/>
              <w:rPr>
                <w:sz w:val="20"/>
                <w:szCs w:val="20"/>
                <w:color w:val="auto"/>
              </w:rPr>
            </w:pPr>
            <w:r>
              <w:rPr>
                <w:rFonts w:ascii="Arial" w:cs="Arial" w:eastAsia="Arial" w:hAnsi="Arial"/>
                <w:sz w:val="18"/>
                <w:szCs w:val="18"/>
                <w:color w:val="auto"/>
                <w:w w:val="95"/>
              </w:rPr>
              <w:t>Long-term debt and short-term debt at March 31, 2011 and December 31, 2010 consisted of the following:</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March 31,</w:t>
            </w:r>
          </w:p>
        </w:tc>
        <w:tc>
          <w:tcPr>
            <w:tcW w:w="180" w:type="dxa"/>
            <w:vAlign w:val="bottom"/>
          </w:tcPr>
          <w:p>
            <w:pPr>
              <w:spacing w:after="0"/>
              <w:rPr>
                <w:sz w:val="24"/>
                <w:szCs w:val="24"/>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31, 2010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Borrowings under our $100,000 revolving credit facility bearing interest at a floating rate equal</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 LIBOR (0.30% at March 31, 2011) plus an applicable margin of 3.25%, expiring</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21, 2014.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Borrowings under our $40,000 aggregate principal amount of senior notes bearing interest at a</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fixed rate of 6.70% maturing on April 26, 2014. Annual principal payments of $5,714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began on April 26, 2008 and extend through the date of maturity.</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22,857</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22,857</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Less current maturities of long-term debt</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Long-term debt, excluding current maturities of long-term debt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21, 2010, we entered into an amended and restated revolving credit facility expiring December 21, 2014 with Key Bank as administrative agent with an initial size of $75 million. The amended agreement was entered into to adjust our financial and non-financial covenants to more normalized measures and to provide greater ability to fund our capital investment plans. The interest rate was amended to LIBOR plus a margin of 1.5 to 3.5% (depending on the level of the ratio of debt to EBITDA) from LIBOR plus a margin of 4.75%. The facility may be expanded upon our request with approval of the lenders by up to $60 million, under the same terms and conditions. On March 9, 2011, we exercised an option to increase the size of the facility from $75 million to $100 million to allow additional flexibility and to fund potential growth projects.</w:t>
      </w:r>
    </w:p>
    <w:p>
      <w:pPr>
        <w:spacing w:after="0" w:line="20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loan agreement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our business including a “material adverse change” clause, which if triggered would accelerate the maturity of the debt. The facility has a $10 million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March 31, 2011, $2,153 of net capitalized loan origination costs related to the revolving credit facility were recorded on the balance sheet within other non-current assets.</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December 21, 2010, our senior note agreement with Prudential Capital was also amended. The amended agreement was entered into to adjust our financial and non-financial covenants to more normalized measures and to provide greater ability to fund our capital investment plans. There were no changes to the terms or availability of credit but the interest rate was reduced from 8.50% to 6.70%. The agreement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including a “material adverse change” clause, which if triggered would accelerate the maturity of the debt. Interest is paid semi-annually and the note matures on April 26, 2014. As of March 31, 2011, $22,857 remained outstanding. Annual principal payments of approximately $5,714 began on April 26, 2008 and extend through the date of maturity. We incurred costs as a result of issuing these notes which have been recorded as a component of other non-current assets and are being amortized over the term of the notes. The unamortized balance at March 31, 2011 was $389.</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1" w:name="page12"/>
    <w:bookmarkEnd w:id="11"/>
    <w:p>
      <w:pPr>
        <w:jc w:val="center"/>
        <w:ind w:right="-1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The specific covenants to which we are subject and the actual results achieved for the three month period ended March 31, 2011 are stated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7"/>
          </w:tcPr>
          <w:p>
            <w:pPr>
              <w:jc w:val="center"/>
              <w:ind w:right="340"/>
              <w:spacing w:after="0"/>
              <w:rPr>
                <w:sz w:val="20"/>
                <w:szCs w:val="20"/>
                <w:color w:val="auto"/>
              </w:rPr>
            </w:pPr>
            <w:r>
              <w:rPr>
                <w:rFonts w:ascii="Arial" w:cs="Arial" w:eastAsia="Arial" w:hAnsi="Arial"/>
                <w:sz w:val="18"/>
                <w:szCs w:val="18"/>
                <w:color w:val="auto"/>
                <w:w w:val="95"/>
              </w:rPr>
              <w:t>Actual</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Level</w:t>
            </w:r>
          </w:p>
        </w:tc>
        <w:tc>
          <w:tcPr>
            <w:tcW w:w="40" w:type="dxa"/>
            <w:vAlign w:val="bottom"/>
            <w:tcBorders>
              <w:top w:val="single" w:sz="8" w:color="auto"/>
            </w:tcBorders>
          </w:tcPr>
          <w:p>
            <w:pPr>
              <w:spacing w:after="0"/>
              <w:rPr>
                <w:sz w:val="17"/>
                <w:szCs w:val="17"/>
                <w:color w:val="auto"/>
              </w:rPr>
            </w:pPr>
          </w:p>
        </w:tc>
        <w:tc>
          <w:tcPr>
            <w:tcW w:w="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Financial Covenants</w:t>
            </w:r>
          </w:p>
        </w:tc>
        <w:tc>
          <w:tcPr>
            <w:tcW w:w="6060" w:type="dxa"/>
            <w:vAlign w:val="bottom"/>
            <w:gridSpan w:val="3"/>
          </w:tcPr>
          <w:p>
            <w:pPr>
              <w:ind w:left="2080"/>
              <w:spacing w:after="0" w:line="196" w:lineRule="exact"/>
              <w:rPr>
                <w:sz w:val="20"/>
                <w:szCs w:val="20"/>
                <w:color w:val="auto"/>
              </w:rPr>
            </w:pPr>
            <w:r>
              <w:rPr>
                <w:rFonts w:ascii="Arial" w:cs="Arial" w:eastAsia="Arial" w:hAnsi="Arial"/>
                <w:sz w:val="18"/>
                <w:szCs w:val="18"/>
                <w:color w:val="auto"/>
              </w:rPr>
              <w:t>Required Covenant Level</w:t>
            </w:r>
          </w:p>
        </w:tc>
        <w:tc>
          <w:tcPr>
            <w:tcW w:w="100" w:type="dxa"/>
            <w:vAlign w:val="bottom"/>
          </w:tcPr>
          <w:p>
            <w:pPr>
              <w:spacing w:after="0"/>
              <w:rPr>
                <w:sz w:val="17"/>
                <w:szCs w:val="17"/>
                <w:color w:val="auto"/>
              </w:rPr>
            </w:pPr>
          </w:p>
        </w:tc>
        <w:tc>
          <w:tcPr>
            <w:tcW w:w="980" w:type="dxa"/>
            <w:vAlign w:val="bottom"/>
            <w:gridSpan w:val="8"/>
          </w:tcPr>
          <w:p>
            <w:pPr>
              <w:jc w:val="center"/>
              <w:ind w:right="280"/>
              <w:spacing w:after="0" w:line="196" w:lineRule="exact"/>
              <w:rPr>
                <w:sz w:val="20"/>
                <w:szCs w:val="20"/>
                <w:color w:val="auto"/>
              </w:rPr>
            </w:pPr>
            <w:r>
              <w:rPr>
                <w:rFonts w:ascii="Arial" w:cs="Arial" w:eastAsia="Arial" w:hAnsi="Arial"/>
                <w:sz w:val="18"/>
                <w:szCs w:val="18"/>
                <w:color w:val="auto"/>
                <w:w w:val="94"/>
              </w:rPr>
              <w:t>Achieved</w:t>
            </w: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coverage ratio</w:t>
            </w:r>
          </w:p>
        </w:tc>
        <w:tc>
          <w:tcPr>
            <w:tcW w:w="6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Not to be less than 3.00 to 1.00 as of the last day of any fiscal quarter</w:t>
            </w:r>
          </w:p>
        </w:tc>
        <w:tc>
          <w:tcPr>
            <w:tcW w:w="1080" w:type="dxa"/>
            <w:vAlign w:val="bottom"/>
            <w:gridSpan w:val="9"/>
            <w:shd w:val="clear" w:color="auto" w:fill="CCEEFF"/>
          </w:tcPr>
          <w:p>
            <w:pPr>
              <w:jc w:val="center"/>
              <w:ind w:right="180"/>
              <w:spacing w:after="0"/>
              <w:rPr>
                <w:sz w:val="20"/>
                <w:szCs w:val="20"/>
                <w:color w:val="auto"/>
              </w:rPr>
            </w:pPr>
            <w:r>
              <w:rPr>
                <w:rFonts w:ascii="Arial" w:cs="Arial" w:eastAsia="Arial" w:hAnsi="Arial"/>
                <w:sz w:val="18"/>
                <w:szCs w:val="18"/>
                <w:color w:val="auto"/>
                <w:w w:val="90"/>
              </w:rPr>
              <w:t>4.24 to 1.00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auto"/>
              </w:rPr>
              <w:t>Fixed charge coverage</w:t>
            </w:r>
          </w:p>
        </w:tc>
        <w:tc>
          <w:tcPr>
            <w:tcW w:w="6060" w:type="dxa"/>
            <w:vAlign w:val="bottom"/>
            <w:gridSpan w:val="3"/>
          </w:tcPr>
          <w:p>
            <w:pPr>
              <w:ind w:left="120"/>
              <w:spacing w:after="0"/>
              <w:rPr>
                <w:sz w:val="20"/>
                <w:szCs w:val="20"/>
                <w:color w:val="auto"/>
              </w:rPr>
            </w:pPr>
            <w:r>
              <w:rPr>
                <w:rFonts w:ascii="Arial" w:cs="Arial" w:eastAsia="Arial" w:hAnsi="Arial"/>
                <w:sz w:val="18"/>
                <w:szCs w:val="18"/>
                <w:color w:val="auto"/>
              </w:rPr>
              <w:t>Not to be less 1.10 to 1.00 as of the last day of any fiscal quarter</w:t>
            </w:r>
          </w:p>
        </w:tc>
        <w:tc>
          <w:tcPr>
            <w:tcW w:w="1080" w:type="dxa"/>
            <w:vAlign w:val="bottom"/>
            <w:gridSpan w:val="9"/>
          </w:tcPr>
          <w:p>
            <w:pPr>
              <w:jc w:val="center"/>
              <w:ind w:right="180"/>
              <w:spacing w:after="0"/>
              <w:rPr>
                <w:sz w:val="20"/>
                <w:szCs w:val="20"/>
                <w:color w:val="auto"/>
              </w:rPr>
            </w:pPr>
            <w:r>
              <w:rPr>
                <w:rFonts w:ascii="Arial" w:cs="Arial" w:eastAsia="Arial" w:hAnsi="Arial"/>
                <w:sz w:val="18"/>
                <w:szCs w:val="18"/>
                <w:color w:val="auto"/>
                <w:w w:val="90"/>
              </w:rPr>
              <w:t>2.12 to 1.00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6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Not to exceed 3.00 to 1.00 for the most recently completed four fiscal quarters</w:t>
            </w:r>
          </w:p>
        </w:tc>
        <w:tc>
          <w:tcPr>
            <w:tcW w:w="1080" w:type="dxa"/>
            <w:vAlign w:val="bottom"/>
            <w:gridSpan w:val="9"/>
            <w:shd w:val="clear" w:color="auto" w:fill="CCEEFF"/>
          </w:tcPr>
          <w:p>
            <w:pPr>
              <w:jc w:val="center"/>
              <w:ind w:right="180"/>
              <w:spacing w:after="0"/>
              <w:rPr>
                <w:sz w:val="20"/>
                <w:szCs w:val="20"/>
                <w:color w:val="auto"/>
              </w:rPr>
            </w:pPr>
            <w:r>
              <w:rPr>
                <w:rFonts w:ascii="Arial" w:cs="Arial" w:eastAsia="Arial" w:hAnsi="Arial"/>
                <w:sz w:val="18"/>
                <w:szCs w:val="18"/>
                <w:color w:val="auto"/>
                <w:w w:val="90"/>
              </w:rPr>
              <w:t>2.30 to 1.00</w:t>
            </w: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6"/>
              </w:rPr>
              <w:t>Not to exceed 150% of Consolidated Depreciation charges for the immediate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60" w:type="dxa"/>
            <w:vAlign w:val="bottom"/>
            <w:gridSpan w:val="3"/>
          </w:tcPr>
          <w:p>
            <w:pPr>
              <w:ind w:left="120"/>
              <w:spacing w:after="0"/>
              <w:rPr>
                <w:sz w:val="20"/>
                <w:szCs w:val="20"/>
                <w:color w:val="auto"/>
              </w:rPr>
            </w:pPr>
            <w:r>
              <w:rPr>
                <w:rFonts w:ascii="Arial" w:cs="Arial" w:eastAsia="Arial" w:hAnsi="Arial"/>
                <w:sz w:val="18"/>
                <w:szCs w:val="18"/>
                <w:color w:val="auto"/>
              </w:rPr>
              <w:t>previous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100" w:type="dxa"/>
            <w:vAlign w:val="bottom"/>
            <w:gridSpan w:val="4"/>
          </w:tcPr>
          <w:p>
            <w:pPr>
              <w:ind w:left="100"/>
              <w:spacing w:after="0"/>
              <w:rPr>
                <w:sz w:val="20"/>
                <w:szCs w:val="20"/>
                <w:color w:val="auto"/>
              </w:rPr>
            </w:pPr>
            <w:r>
              <w:rPr>
                <w:rFonts w:ascii="Arial" w:cs="Arial" w:eastAsia="Arial" w:hAnsi="Arial"/>
                <w:sz w:val="18"/>
                <w:szCs w:val="18"/>
                <w:color w:val="auto"/>
              </w:rPr>
              <w:t>Capital expenditures</w:t>
            </w:r>
          </w:p>
        </w:tc>
        <w:tc>
          <w:tcPr>
            <w:tcW w:w="6060" w:type="dxa"/>
            <w:vAlign w:val="bottom"/>
            <w:gridSpan w:val="3"/>
          </w:tcPr>
          <w:p>
            <w:pPr>
              <w:ind w:left="120"/>
              <w:spacing w:after="0"/>
              <w:rPr>
                <w:sz w:val="20"/>
                <w:szCs w:val="20"/>
                <w:color w:val="auto"/>
              </w:rPr>
            </w:pPr>
            <w:r>
              <w:rPr>
                <w:rFonts w:ascii="Arial" w:cs="Arial" w:eastAsia="Arial" w:hAnsi="Arial"/>
                <w:sz w:val="18"/>
                <w:szCs w:val="18"/>
                <w:color w:val="auto"/>
              </w:rPr>
              <w:t>fiscal year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3"/>
          </w:tcPr>
          <w:p>
            <w:pPr>
              <w:jc w:val="center"/>
              <w:spacing w:after="0"/>
              <w:rPr>
                <w:sz w:val="20"/>
                <w:szCs w:val="20"/>
                <w:color w:val="auto"/>
              </w:rPr>
            </w:pPr>
            <w:r>
              <w:rPr>
                <w:rFonts w:ascii="Arial" w:cs="Arial" w:eastAsia="Arial" w:hAnsi="Arial"/>
                <w:sz w:val="18"/>
                <w:szCs w:val="18"/>
                <w:color w:val="auto"/>
                <w:w w:val="94"/>
              </w:rPr>
              <w:t>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140" w:type="dxa"/>
            <w:vAlign w:val="bottom"/>
            <w:gridSpan w:val="5"/>
          </w:tcPr>
          <w:p>
            <w:pPr>
              <w:spacing w:after="0"/>
              <w:rPr>
                <w:sz w:val="20"/>
                <w:szCs w:val="20"/>
                <w:color w:val="auto"/>
              </w:rPr>
            </w:pPr>
            <w:r>
              <w:rPr>
                <w:rFonts w:ascii="Arial" w:cs="Arial" w:eastAsia="Arial" w:hAnsi="Arial"/>
                <w:sz w:val="18"/>
                <w:szCs w:val="18"/>
                <w:b w:val="1"/>
                <w:bCs w:val="1"/>
                <w:color w:val="auto"/>
              </w:rPr>
              <w:t>Note 10.   Goodwill, net</w:t>
            </w:r>
          </w:p>
        </w:tc>
        <w:tc>
          <w:tcPr>
            <w:tcW w:w="2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00" w:type="dxa"/>
            <w:vAlign w:val="bottom"/>
            <w:gridSpan w:val="8"/>
          </w:tcPr>
          <w:p>
            <w:pPr>
              <w:spacing w:after="0"/>
              <w:rPr>
                <w:sz w:val="20"/>
                <w:szCs w:val="20"/>
                <w:color w:val="auto"/>
              </w:rPr>
            </w:pPr>
            <w:r>
              <w:rPr>
                <w:rFonts w:ascii="Arial" w:cs="Arial" w:eastAsia="Arial" w:hAnsi="Arial"/>
                <w:sz w:val="18"/>
                <w:szCs w:val="18"/>
                <w:color w:val="auto"/>
              </w:rPr>
              <w:t>The changes in the carrying amount of goodwill for the three month period ended March 31, 2011 are as follows: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140" w:type="dxa"/>
            <w:vAlign w:val="bottom"/>
            <w:gridSpan w:val="5"/>
          </w:tcPr>
          <w:p>
            <w:pPr>
              <w:spacing w:after="0"/>
              <w:rPr>
                <w:sz w:val="20"/>
                <w:szCs w:val="20"/>
                <w:color w:val="auto"/>
              </w:rPr>
            </w:pPr>
            <w:r>
              <w:rPr>
                <w:rFonts w:ascii="Arial" w:cs="Arial" w:eastAsia="Arial" w:hAnsi="Arial"/>
                <w:sz w:val="18"/>
                <w:szCs w:val="18"/>
                <w:b w:val="1"/>
                <w:bCs w:val="1"/>
                <w:color w:val="auto"/>
              </w:rPr>
              <w:t>Goodwill, net</w:t>
            </w:r>
          </w:p>
        </w:tc>
        <w:tc>
          <w:tcPr>
            <w:tcW w:w="2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5"/>
          </w:tcPr>
          <w:p>
            <w:pPr>
              <w:jc w:val="center"/>
              <w:ind w:right="260"/>
              <w:spacing w:after="0"/>
              <w:rPr>
                <w:sz w:val="20"/>
                <w:szCs w:val="20"/>
                <w:color w:val="auto"/>
              </w:rPr>
            </w:pPr>
            <w:r>
              <w:rPr>
                <w:rFonts w:ascii="Arial" w:cs="Arial" w:eastAsia="Arial" w:hAnsi="Arial"/>
                <w:sz w:val="18"/>
                <w:szCs w:val="18"/>
                <w:color w:val="auto"/>
                <w:w w:val="95"/>
              </w:rPr>
              <w:t>Metal</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Bearing</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gridSpan w:val="9"/>
          </w:tcPr>
          <w:p>
            <w:pPr>
              <w:jc w:val="center"/>
              <w:spacing w:after="0"/>
              <w:rPr>
                <w:sz w:val="20"/>
                <w:szCs w:val="20"/>
                <w:color w:val="auto"/>
              </w:rPr>
            </w:pPr>
            <w:r>
              <w:rPr>
                <w:rFonts w:ascii="Arial" w:cs="Arial" w:eastAsia="Arial" w:hAnsi="Arial"/>
                <w:sz w:val="18"/>
                <w:szCs w:val="18"/>
                <w:color w:val="auto"/>
                <w:w w:val="90"/>
              </w:rPr>
              <w:t>Components</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100" w:type="dxa"/>
            <w:vAlign w:val="bottom"/>
            <w:gridSpan w:val="4"/>
          </w:tcPr>
          <w:p>
            <w:pPr>
              <w:ind w:left="100"/>
              <w:spacing w:after="0"/>
              <w:rPr>
                <w:sz w:val="20"/>
                <w:szCs w:val="20"/>
                <w:color w:val="auto"/>
              </w:rPr>
            </w:pPr>
            <w:r>
              <w:rPr>
                <w:rFonts w:ascii="Arial" w:cs="Arial" w:eastAsia="Arial" w:hAnsi="Arial"/>
                <w:sz w:val="18"/>
                <w:szCs w:val="18"/>
                <w:color w:val="auto"/>
                <w:w w:val="97"/>
              </w:rPr>
              <w:t>(In Thousands of Dollars)</w:t>
            </w:r>
          </w:p>
        </w:tc>
        <w:tc>
          <w:tcPr>
            <w:tcW w:w="2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Segment</w:t>
            </w:r>
          </w:p>
        </w:tc>
        <w:tc>
          <w:tcPr>
            <w:tcW w:w="0" w:type="dxa"/>
            <w:vAlign w:val="bottom"/>
          </w:tcPr>
          <w:p>
            <w:pPr>
              <w:spacing w:after="0"/>
              <w:rPr>
                <w:sz w:val="1"/>
                <w:szCs w:val="1"/>
                <w:color w:val="auto"/>
              </w:rPr>
            </w:pPr>
          </w:p>
        </w:tc>
      </w:tr>
      <w:tr>
        <w:trPr>
          <w:trHeight w:val="27"/>
        </w:trPr>
        <w:tc>
          <w:tcPr>
            <w:tcW w:w="10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Balance as of January 1, 2011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40" w:type="dxa"/>
            <w:vAlign w:val="bottom"/>
            <w:gridSpan w:val="6"/>
          </w:tcPr>
          <w:p>
            <w:pPr>
              <w:ind w:left="160"/>
              <w:spacing w:after="0"/>
              <w:rPr>
                <w:sz w:val="20"/>
                <w:szCs w:val="20"/>
                <w:color w:val="auto"/>
              </w:rPr>
            </w:pPr>
            <w:r>
              <w:rPr>
                <w:rFonts w:ascii="Arial" w:cs="Arial" w:eastAsia="Arial" w:hAnsi="Arial"/>
                <w:sz w:val="18"/>
                <w:szCs w:val="18"/>
                <w:color w:val="auto"/>
              </w:rPr>
              <w:t>Currency translation impacts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Balance as of March 31, 2011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9,110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goodwill balance is tested for impairment on an annual basis during the fourth quarter and between annual tests if a triggering event occurs. During the three month periods ended March 31, 2011, the financial results of the reporting unit with a goodwill balance exceeded the forecasted results used in testing for impairment at December 31, 2010. Thus, as of March 31, 2011, there are no further indications of impairment at this reporting unit.</w:t>
      </w:r>
    </w:p>
    <w:p>
      <w:pPr>
        <w:spacing w:after="0" w:line="1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Intangible assets</w:t>
      </w:r>
    </w:p>
    <w:p>
      <w:pPr>
        <w:spacing w:after="0" w:line="256"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Precision Metal Components Segment has an intangible asset not subject to amortization of $900 related to the value of the trade names of Whirlaway. There are no indicators of impairment for this indefinite lived intangible asset as of March 31, 2011.</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Shared-Based Compensation</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three month periods ended March 31, 2011 and 2010, approximately $0 and $1,166, respectively, of compensation expense was recognized in selling, general and administrative expense for all share-based awards. There were no share awards or option awards granted during the three month period ended March 31, 2011. During the three month period ended March 31, 2010, we granted 249 shares and 26 share options to non-executive directors, officers and certain other key employees.</w:t>
      </w:r>
    </w:p>
    <w:p>
      <w:pPr>
        <w:spacing w:after="0" w:line="21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issued the aforementioned 249 shares of our common stock under our 2005 stock incentive plan. The shares were issued on March 17, 2010 and were fully vested at the date of grant. We incurred $1,101 of non-cash compensation expense, which was the entire fair value of the grant, at that date. The fair value of the shares issued was determined by using the grant date price of our common stock.</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incurred $0 and $65 of stock option expense in the three month periods ended March 31, 2011 and 2010. The fair value of the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270" w:right="4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three month period ended March 31, 2011:</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Exercise</w:t>
            </w: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tcPr>
          <w:p>
            <w:pPr>
              <w:ind w:left="2060"/>
              <w:spacing w:after="0"/>
              <w:rPr>
                <w:sz w:val="20"/>
                <w:szCs w:val="20"/>
                <w:color w:val="auto"/>
              </w:rPr>
            </w:pPr>
            <w:r>
              <w:rPr>
                <w:rFonts w:ascii="Arial" w:cs="Arial" w:eastAsia="Arial" w:hAnsi="Arial"/>
                <w:sz w:val="18"/>
                <w:szCs w:val="18"/>
                <w:b w:val="1"/>
                <w:bCs w:val="1"/>
                <w:color w:val="auto"/>
              </w:rPr>
              <w:t>Options</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(000)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Forfeited or expired</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9,291</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Exercisable at March 31, 2011</w:t>
            </w:r>
          </w:p>
        </w:tc>
        <w:tc>
          <w:tcPr>
            <w:tcW w:w="920" w:type="dxa"/>
            <w:vAlign w:val="bottom"/>
          </w:tcPr>
          <w:p>
            <w:pPr>
              <w:jc w:val="right"/>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8,333</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0" w:firstLine="8"/>
        <w:spacing w:after="0" w:line="252" w:lineRule="auto"/>
        <w:tabs>
          <w:tab w:leader="none" w:pos="192"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The intrinsic value is the amount by which the market price of our stock was greater than the exercise price of any individual option grant at March 31, 2011.</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Provision for Income Taxes</w:t>
      </w:r>
    </w:p>
    <w:p>
      <w:pPr>
        <w:spacing w:after="0" w:line="2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the three month period ended March 31, 2011, we continued to place a valuation allowance on all of the deferred tax assets of our U.S. locations, based on the negative financial performance of our U.S. operations during the global economic recession of 2008 and 2009. The determination to place a valuation allowance on the additional tax benefits, principally from net operating losses, recorded by our U.S. based operations during the second quarter of 2009 was made based upon the fact that second quarter of 2009 and cumulative 2009 results of these entities were much more unfavorable than originally forecasted. If U.S. operations return to a level of profitability sufficient to utilize these deferred tax assets, they will be used to offset future U.S. based taxable income. If we determine the probability is more likely than not, the valuation allowance will be released and deferred tax benefits will be recognized.</w:t>
      </w:r>
    </w:p>
    <w:p>
      <w:pPr>
        <w:spacing w:after="0" w:line="19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For the three month periods ended March 31, 2011 and 2010, the difference between the U.S. federal statutory tax rate of 34% and our effective tax rates of 21% and 81%, respectively, was mainly due to not recognizing tax benefits or expense for our U.S. locations, as discussed above, for the first quarter of 2010. For the first quarter of 2011, the effective rate was primarily impacted by non-U.S. based earnings taxed at lower rates. The statutory and effective income tax rates in many of the foreign countries in which we operate are lower than the U.S. federal statutory rate. Additionally, during the first quarter of 2011, the effective tax rate was reduced by recognizing deferred tax benefits totaling $631 related to the Eltmann deconsolidation. These benefits related to losses for write-offs of receivables owed by Eltmann to certain NN subsidiaries that are deductible once Eltmann is liquidated in 2012 or 2013. The table below summarizes the impacts on the effective tax rate for the three month periods ended March 31, 2011 and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Three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Months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Months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ended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18"/>
                <w:szCs w:val="18"/>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March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40" w:type="dxa"/>
            <w:vAlign w:val="bottom"/>
            <w:gridSpan w:val="2"/>
          </w:tcPr>
          <w:p>
            <w:pPr>
              <w:ind w:left="1140"/>
              <w:spacing w:after="0"/>
              <w:rPr>
                <w:sz w:val="20"/>
                <w:szCs w:val="20"/>
                <w:color w:val="auto"/>
              </w:rPr>
            </w:pPr>
            <w:r>
              <w:rPr>
                <w:rFonts w:ascii="Arial" w:cs="Arial" w:eastAsia="Arial" w:hAnsi="Arial"/>
                <w:sz w:val="18"/>
                <w:szCs w:val="18"/>
                <w:color w:val="auto"/>
              </w:rPr>
              <w:t>(In Thousands of Dollars)</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tax provision at the federal statutory rate of 34%</w:t>
            </w: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Applied U.S. valuation allowance</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Non-U.S. earnings taxed at lower rates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U.S. State income taxes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differences</w:t>
            </w:r>
          </w:p>
        </w:tc>
        <w:tc>
          <w:tcPr>
            <w:tcW w:w="2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60" w:type="dxa"/>
            <w:vAlign w:val="bottom"/>
            <w:vMerge w:val="restart"/>
          </w:tcPr>
          <w:p>
            <w:pPr>
              <w:jc w:val="right"/>
              <w:ind w:right="22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1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do not foresee any significant changes to our unrecognized tax benefits within the next twelve months.</w:t>
      </w:r>
    </w:p>
    <w:p>
      <w:pPr>
        <w:spacing w:after="0" w:line="27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As described more fully in our Form 10-K for 2010, we continue to monitor the remediation efforts at a former waste recycling vendor used by our former Walterboro, South Carolina facility. The costs associated with the chosen remediation, which has been tentatively approved by the EPA, are estimated to be approximately $10,000 of which our allocated share is approximately $143 which has been fully accrued for as of March 31, 2011. While there can be no assurances, we believe that the $143 is the maximum amount for which we will be liable under the tentatively accepted remediation plan.</w:t>
      </w:r>
    </w:p>
    <w:p>
      <w:pPr>
        <w:spacing w:after="0" w:line="1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Property Plant and Equipment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quarter of 2011, $1,343 of property, plant and equipment at Eltmann was deconsolidated from the financial statements of NN. (See Note 1 of the Notes to the Condensed Consolidated Financial Statements).</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first quarter of 2010, we incurred $1,000 of accelerated depreciation to adjust certain assets that ceased to be used as of part of the Tempe Plant closure to the new estimated salvage values. (See Note 2 of the Notes to Consolidated Financial Statements).</w:t>
      </w:r>
    </w:p>
    <w:p>
      <w:pPr>
        <w:spacing w:after="0" w:line="2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Fair Value of Financial Instruments</w:t>
      </w:r>
    </w:p>
    <w:p>
      <w:pPr>
        <w:spacing w:after="0" w:line="25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fair values of the Company’s fixed rate long-term borrowings are calculated by using a discounted cash flow analysis factoring in current market borrowing rates for similar types of borrowing arrangements under our credit profile. The current market borrowing rates are Level 2 inputs under the U.S. GAAP fair value hierarchy. The carrying amounts and fair values of the Company’s long-term debt are in the table below:</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4"/>
          </w:tcPr>
          <w:p>
            <w:pPr>
              <w:ind w:left="340"/>
              <w:spacing w:after="0"/>
              <w:rPr>
                <w:sz w:val="20"/>
                <w:szCs w:val="20"/>
                <w:color w:val="auto"/>
              </w:rPr>
            </w:pPr>
            <w:r>
              <w:rPr>
                <w:rFonts w:ascii="Arial" w:cs="Arial" w:eastAsia="Arial" w:hAnsi="Arial"/>
                <w:sz w:val="18"/>
                <w:szCs w:val="18"/>
                <w:b w:val="1"/>
                <w:bCs w:val="1"/>
                <w:color w:val="auto"/>
              </w:rPr>
              <w:t>March 31, 2011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8"/>
              </w:rPr>
              <w:t>December 31, 2010</w:t>
            </w: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w:t>
            </w:r>
          </w:p>
        </w:tc>
      </w:tr>
      <w:tr>
        <w:trPr>
          <w:trHeight w:val="241"/>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Value</w:t>
            </w:r>
          </w:p>
        </w:tc>
      </w:tr>
      <w:tr>
        <w:trPr>
          <w:trHeight w:val="418"/>
        </w:trPr>
        <w:tc>
          <w:tcPr>
            <w:tcW w:w="4760" w:type="dxa"/>
            <w:vAlign w:val="bottom"/>
          </w:tcPr>
          <w:p>
            <w:pPr>
              <w:spacing w:after="0"/>
              <w:rPr>
                <w:sz w:val="20"/>
                <w:szCs w:val="20"/>
                <w:color w:val="auto"/>
              </w:rPr>
            </w:pPr>
            <w:r>
              <w:rPr>
                <w:rFonts w:ascii="Arial" w:cs="Arial" w:eastAsia="Arial" w:hAnsi="Arial"/>
                <w:sz w:val="18"/>
                <w:szCs w:val="18"/>
                <w:color w:val="auto"/>
              </w:rPr>
              <w:t>Variable rate long-term debt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69,393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69,393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50,500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50,500</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Fixed rate long-term debt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22,857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22,482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22,857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22,195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70"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2010 under Item 1.A. “Risk Factors.” There have been no material changes to these risk factors since December 31,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2011 Compared to the Three Months Ended March 31, 2010.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OVERALL RESULTS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NN, Inc.</w:t>
            </w: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ind w:left="1140"/>
              <w:spacing w:after="0"/>
              <w:rPr>
                <w:sz w:val="20"/>
                <w:szCs w:val="20"/>
                <w:color w:val="auto"/>
              </w:rPr>
            </w:pPr>
            <w:r>
              <w:rPr>
                <w:rFonts w:ascii="Arial" w:cs="Arial" w:eastAsia="Arial" w:hAnsi="Arial"/>
                <w:sz w:val="18"/>
                <w:szCs w:val="18"/>
                <w:color w:val="auto"/>
              </w:rPr>
              <w:t>(In Thousands of Dollars)</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111,307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85,340</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25,967</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Foreign exchange effects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Volume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Mix</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Material inflation pass-through</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2,940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00" w:type="dxa"/>
            <w:vAlign w:val="bottom"/>
          </w:tcPr>
          <w:p>
            <w:pPr>
              <w:ind w:left="80"/>
              <w:spacing w:after="0"/>
              <w:rPr>
                <w:sz w:val="20"/>
                <w:szCs w:val="20"/>
                <w:color w:val="auto"/>
              </w:rPr>
            </w:pPr>
            <w:r>
              <w:rPr>
                <w:rFonts w:ascii="Arial" w:cs="Arial" w:eastAsia="Arial" w:hAnsi="Arial"/>
                <w:sz w:val="18"/>
                <w:szCs w:val="18"/>
                <w:color w:val="auto"/>
              </w:rPr>
              <w:t>shown separately below)</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90,299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68,916</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21,383</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Foreign exchange effects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Volume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Cost reduction</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Mix</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Inflation</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200" w:type="dxa"/>
            <w:vAlign w:val="bottom"/>
          </w:tcPr>
          <w:p>
            <w:pPr>
              <w:ind w:left="260"/>
              <w:spacing w:after="0" w:line="201" w:lineRule="exact"/>
              <w:rPr>
                <w:sz w:val="20"/>
                <w:szCs w:val="20"/>
                <w:color w:val="auto"/>
              </w:rPr>
            </w:pPr>
            <w:r>
              <w:rPr>
                <w:rFonts w:ascii="Arial" w:cs="Arial" w:eastAsia="Arial" w:hAnsi="Arial"/>
                <w:sz w:val="18"/>
                <w:szCs w:val="18"/>
                <w:color w:val="auto"/>
              </w:rPr>
              <w:t>New sales program start-up costs and other</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00" w:type="dxa"/>
            <w:vAlign w:val="bottom"/>
          </w:tcPr>
          <w:p>
            <w:pPr>
              <w:ind w:left="440"/>
              <w:spacing w:after="0"/>
              <w:rPr>
                <w:sz w:val="20"/>
                <w:szCs w:val="20"/>
                <w:color w:val="auto"/>
              </w:rPr>
            </w:pPr>
            <w:r>
              <w:rPr>
                <w:rFonts w:ascii="Arial" w:cs="Arial" w:eastAsia="Arial" w:hAnsi="Arial"/>
                <w:sz w:val="18"/>
                <w:szCs w:val="18"/>
                <w:color w:val="auto"/>
              </w:rPr>
              <w:t>specific costs increases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4,267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7,890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Foreign exchange effects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ind w:left="260"/>
              <w:spacing w:after="0"/>
              <w:rPr>
                <w:sz w:val="20"/>
                <w:szCs w:val="20"/>
                <w:color w:val="auto"/>
              </w:rPr>
            </w:pPr>
            <w:r>
              <w:rPr>
                <w:rFonts w:ascii="Arial" w:cs="Arial" w:eastAsia="Arial" w:hAnsi="Arial"/>
                <w:sz w:val="18"/>
                <w:szCs w:val="18"/>
                <w:color w:val="auto"/>
              </w:rPr>
              <w:t>Increase in spending</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6,120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1000"/>
              <w:spacing w:after="0"/>
              <w:rPr>
                <w:sz w:val="20"/>
                <w:szCs w:val="20"/>
                <w:color w:val="auto"/>
              </w:rPr>
            </w:pPr>
            <w:r>
              <w:rPr>
                <w:rFonts w:ascii="Arial" w:cs="Arial" w:eastAsia="Arial" w:hAnsi="Arial"/>
                <w:sz w:val="18"/>
                <w:szCs w:val="18"/>
                <w:color w:val="auto"/>
              </w:rPr>
              <w:t>(2,085)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Foreign exchange effects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200" w:type="dxa"/>
            <w:vAlign w:val="bottom"/>
          </w:tcPr>
          <w:p>
            <w:pPr>
              <w:ind w:left="300"/>
              <w:spacing w:after="0" w:line="201" w:lineRule="exact"/>
              <w:rPr>
                <w:sz w:val="20"/>
                <w:szCs w:val="20"/>
                <w:color w:val="auto"/>
              </w:rPr>
            </w:pPr>
            <w:r>
              <w:rPr>
                <w:rFonts w:ascii="Arial" w:cs="Arial" w:eastAsia="Arial" w:hAnsi="Arial"/>
                <w:sz w:val="18"/>
                <w:szCs w:val="18"/>
                <w:color w:val="auto"/>
              </w:rPr>
              <w:t>Accelerated depreciation due to plant closure</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00" w:type="dxa"/>
            <w:vAlign w:val="bottom"/>
          </w:tcPr>
          <w:p>
            <w:pPr>
              <w:ind w:left="440"/>
              <w:spacing w:after="0"/>
              <w:rPr>
                <w:sz w:val="20"/>
                <w:szCs w:val="20"/>
                <w:color w:val="auto"/>
              </w:rPr>
            </w:pPr>
            <w:r>
              <w:rPr>
                <w:rFonts w:ascii="Arial" w:cs="Arial" w:eastAsia="Arial" w:hAnsi="Arial"/>
                <w:sz w:val="18"/>
                <w:szCs w:val="18"/>
                <w:color w:val="auto"/>
              </w:rPr>
              <w:t>during 2010 that did not repeat in 2011</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2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Elimination of depreciation expense on fully</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depreciated assets</w:t>
            </w: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rPr>
              <w:t>Gain from deconsolidation of bankrupt</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subsidiary</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right"/>
              <w:ind w:right="100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(Gain)loss on disposal of assets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10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(1,188)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2,224</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during the first quarter of 2011 from the first quarter of 2010 due to sales growth in the customer end markets we serve. Both</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and industrial end markets have experienced strong year over year sales growth due to the overall macro economic growth and higher consumer demand. The increase in sales due to price was the result of targeted price increases to our customers across all businesses and product lines. The increase in sales from material inflation pass-through was due to increasing sales prices to our customers to recover actual material inflation incurred during the first quarter of 2011.</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15" w:name="page16"/>
    <w:bookmarkEnd w:id="15"/>
    <w:p>
      <w:pPr>
        <w:spacing w:after="0" w:line="255" w:lineRule="auto"/>
        <w:rPr>
          <w:sz w:val="20"/>
          <w:szCs w:val="20"/>
          <w:color w:val="auto"/>
        </w:rPr>
      </w:pPr>
      <w:r>
        <w:rPr>
          <w:rFonts w:ascii="Arial" w:cs="Arial" w:eastAsia="Arial" w:hAnsi="Arial"/>
          <w:sz w:val="18"/>
          <w:szCs w:val="18"/>
          <w:i w:val="1"/>
          <w:iCs w:val="1"/>
          <w:color w:val="auto"/>
        </w:rPr>
        <w:t xml:space="preserve">Cost of Products Sold (exclusive of depreciation). </w:t>
      </w:r>
      <w:r>
        <w:rPr>
          <w:rFonts w:ascii="Arial" w:cs="Arial" w:eastAsia="Arial" w:hAnsi="Arial"/>
          <w:sz w:val="18"/>
          <w:szCs w:val="18"/>
          <w:color w:val="auto"/>
        </w:rPr>
        <w:t>The majority of the increase was due to the same sales volume increases discussed above. Cost of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sold increased $2.5 million due to production inefficiencies and additional incurred costs from starting up production on new multi-year sales programs at our Wellington Plants of the Precision Metal Components Segment (discussed below). Additionally, cost of products sold increased due to specific costs added during the first quarter of 2011 for incentive compensation ($0.7 million) and from higher levels of spending on scheduled repairs and maintenance and for manufacturing supplies ($0.6 million). During the first quarter of 2010, spending was greatly depressed in these areas due to the global recession. Finally, there were various one time benefits during the first quarter of 2010 related to labor concessions ($0.6 million) in Europe as a result of the global recession that did not repeat in the first quarter of 2011.</w:t>
      </w:r>
    </w:p>
    <w:p>
      <w:pPr>
        <w:spacing w:after="0" w:line="21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During the first quarter of 2011, our cost of products sold as a percentage of sales was approximately 81.1%, which is slightly higher than our historical range. The higher cost of products sold was due to operational inefficiencies related to the new sales program start-ups and additional specific costs mentioned above. In general, as sales increase, we are better able to leverage our existing fixed cost base, thereby reducing cost of products sold as a percentage of sales.</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increase in spending in selling, general and administrative expenses was due to the addition of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that was not in place in the first quarter of 2010. This was mostly offset by the one-time share based compensation expense incurred in the first quarter of 2010 from the immediate vesting of certain share awards granted during the first quarter of 2010.</w:t>
      </w:r>
    </w:p>
    <w:p>
      <w:pPr>
        <w:spacing w:after="0" w:line="2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A large portion of the decrease in depreciation and amortization expense was due to the accelerated depreciation of $1.0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on certain fixed assets at our Tempe Plant during the first quarter of 2010, which did not repeat during 2011, and the elimination of the Tempe Plant depreciation due to ceasing operations in August 2010. The remainder of the reduction was due to certain assets, which are still in use, at our Pinerolo Plant becoming fully depreciated from the second quarter of 2010 onward.</w:t>
      </w:r>
    </w:p>
    <w:p>
      <w:pPr>
        <w:spacing w:after="0" w:line="21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lower primarily due to decreases in the interest rate spread charged on our LIBOR credit facility and our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These savings were achieved under the new credit agreement entered into in December 2010.</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three month period ended March 31, 2010, we incurred $0.6 million in restructuring charges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closure of our Tempe Plant. (See Note 2 of the Notes to Condensed Consolidated Financial Statements).</w:t>
      </w:r>
    </w:p>
    <w:p>
      <w:pPr>
        <w:spacing w:after="0" w:line="19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i w:val="1"/>
          <w:iCs w:val="1"/>
          <w:color w:val="auto"/>
        </w:rPr>
        <w:t xml:space="preserve">Other expense ( income), net. </w:t>
      </w:r>
      <w:r>
        <w:rPr>
          <w:rFonts w:ascii="Arial" w:cs="Arial" w:eastAsia="Arial" w:hAnsi="Arial"/>
          <w:sz w:val="17"/>
          <w:szCs w:val="17"/>
          <w:color w:val="auto"/>
        </w:rPr>
        <w:t>Included in other expense (income), net, during the three months ended March 31, 2011, was $0.9 million related to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losses on inter-company loans. During the three months ended March 31, 2010, inter-company loans generated foreign exchange gains of $1.1 million. The gains and losses are a function of the appreciation or depreciation of the Euro versus the U.S. Dollar.</w:t>
      </w:r>
    </w:p>
    <w:p>
      <w:pPr>
        <w:spacing w:after="0" w:line="193" w:lineRule="exact"/>
        <w:rPr>
          <w:sz w:val="20"/>
          <w:szCs w:val="20"/>
          <w:color w:val="auto"/>
        </w:rPr>
      </w:pPr>
    </w:p>
    <w:p>
      <w:pPr>
        <w:ind w:right="900"/>
        <w:spacing w:after="0" w:line="291"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For the three months ended March 31, 2011 and 2010, the difference between the effective tax rates of 21% and 81%,</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was mainly due to a valuation allowance placed on U.S. deferred tax benefits during the second quarter of 2009 that is still in</w:t>
      </w:r>
    </w:p>
    <w:p>
      <w:pPr>
        <w:ind w:right="200"/>
        <w:spacing w:after="0" w:line="290" w:lineRule="auto"/>
        <w:rPr>
          <w:sz w:val="20"/>
          <w:szCs w:val="20"/>
          <w:color w:val="auto"/>
        </w:rPr>
      </w:pPr>
      <w:r>
        <w:rPr>
          <w:rFonts w:ascii="Arial" w:cs="Arial" w:eastAsia="Arial" w:hAnsi="Arial"/>
          <w:sz w:val="17"/>
          <w:szCs w:val="17"/>
          <w:color w:val="auto"/>
        </w:rPr>
        <w:t>effect. Additionally, during 2011 the tax rate was reduced due to a greater portion of non-U.S. earnings being taxed at lower rates and from recognizing tax benefits related to the Eltmann deconsolidation. (See Note 13 of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RESULTS BY SEGMENT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116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right"/>
              <w:ind w:right="1440"/>
              <w:spacing w:after="0"/>
              <w:rPr>
                <w:sz w:val="20"/>
                <w:szCs w:val="20"/>
                <w:color w:val="auto"/>
              </w:rPr>
            </w:pPr>
            <w:r>
              <w:rPr>
                <w:rFonts w:ascii="Arial" w:cs="Arial" w:eastAsia="Arial" w:hAnsi="Arial"/>
                <w:sz w:val="18"/>
                <w:szCs w:val="18"/>
                <w:color w:val="auto"/>
                <w:w w:val="92"/>
              </w:rPr>
              <w:t>Three months ended</w:t>
            </w:r>
          </w:p>
        </w:tc>
        <w:tc>
          <w:tcPr>
            <w:tcW w:w="0" w:type="dxa"/>
            <w:vAlign w:val="bottom"/>
          </w:tcPr>
          <w:p>
            <w:pPr>
              <w:spacing w:after="0"/>
              <w:rPr>
                <w:sz w:val="1"/>
                <w:szCs w:val="1"/>
                <w:color w:val="auto"/>
              </w:rPr>
            </w:pPr>
          </w:p>
        </w:tc>
      </w:tr>
      <w:tr>
        <w:trPr>
          <w:trHeight w:val="237"/>
        </w:trPr>
        <w:tc>
          <w:tcPr>
            <w:tcW w:w="5900" w:type="dxa"/>
            <w:vAlign w:val="bottom"/>
            <w:gridSpan w:val="3"/>
          </w:tcPr>
          <w:p>
            <w:pPr>
              <w:ind w:left="1140"/>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March 31,</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62,023</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21,759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Foreign exchange effects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Volume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Price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Material inflation pass-through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4,797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majority of our sales volume increase has been in our core Metal Bearings Component Segment. This growth has been across all geographic regions and all end markets served, principally automotive and industrial. Sales continue to grow incrementally from the fourth quarter of 2010 as macro economic forces have improved and consumer demand has been more robust than during 2010.</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segment net income was impacted primarily by the large increase in sales volume and the related production efficiencies and leveraging of fixed production costs. The impact of fixed costs and related leveraging of production capacity is significant in this segment because a large portion of our installed capacity is in Western Europe, where labor cost is semi-variable. Additionally, the segment results were favorably impacted by the implementation of planned cost reduction projects. The 2010 segment net income includes $0.9 million in after-tax foreign exchange gains on certain inter-company loans as discussed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16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6"/>
          </w:tcPr>
          <w:p>
            <w:pPr>
              <w:ind w:left="8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5900" w:type="dxa"/>
            <w:vAlign w:val="bottom"/>
            <w:gridSpan w:val="3"/>
          </w:tcPr>
          <w:p>
            <w:pPr>
              <w:ind w:left="1140"/>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March 31,</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2,808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Price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net loss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(2,208)</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(1,907)</w:t>
            </w: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91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majority of the increase in sales at this segment was due to higher customer demand within a new multi-year sales program. Partially offsetting the volume increases from the new sales program was volume lost due to ceasing operations at the Tempe Plant during the third quarter of 2010.</w:t>
      </w:r>
    </w:p>
    <w:p>
      <w:pPr>
        <w:spacing w:after="0" w:line="15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segment net loss in the first quarter of 2011 was affected by $2.5 million in operational inefficiencies and additional incurred costs related to ramping up production for two new large multi-year sales programs. We have begun to see reductions in start-up costs on the first major sales program from the levels experienced during the fourth quarter of 2010. However, we have begun to incur substantial start up costs on the second major multi-year sales program as production of these products began during the first quarter of 2011. The start-up costs for these two programs more than offset the benefits from the additional sales volume during the first quarter of 2011.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PLASTIC AND RUBBER COMPONENTS SEGMENT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116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8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5900" w:type="dxa"/>
            <w:vAlign w:val="bottom"/>
            <w:gridSpan w:val="3"/>
          </w:tcPr>
          <w:p>
            <w:pPr>
              <w:ind w:left="1140"/>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March 31,</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260"/>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Price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220"/>
              <w:spacing w:after="0"/>
              <w:rPr>
                <w:sz w:val="20"/>
                <w:szCs w:val="20"/>
                <w:color w:val="auto"/>
              </w:rPr>
            </w:pPr>
            <w:r>
              <w:rPr>
                <w:rFonts w:ascii="Arial" w:cs="Arial" w:eastAsia="Arial" w:hAnsi="Arial"/>
                <w:sz w:val="18"/>
                <w:szCs w:val="18"/>
                <w:color w:val="auto"/>
              </w:rPr>
              <w:t>Material inflation pass-through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volume increase for this segment was related to increased U.S. automotive end market demand as the economy and consumer demand has returned to more normalized levels.</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increase in segment net income for the first quarter of 2011 resulted from the 14% increase in sales and the related operational efficiencies from higher levels of production.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From December 31, 2010 to March 31, 2011, our total assets increased $24.6 million and our current assets increased $21.3 million. The appreciation in the value of Euro denominated account balances relative to the U.S. Dollar caused total assets and current assets to increase approximately $8.2 million and $3.8 million, respectively, from December 31, 2010. Excluding the foreign exchange effects, accounts receivable was higher by $18.6 million due to the 30% increase in sales volume experienced in March and February 2011 from sales levels in December and November of 2010. Additionally, the days sales outstanding have increased 4 days as of March 31, 2011 due to timing of certain customer receipts and higher mix of export customers with payment terms greater than 30 days at March 31, 2011. Partially offsetting these increases was a $3.4 million reduction from the deconsolidation of Eltmann’s accounts receivable balances effective January 20, 2011. Net overdue receivables remained unchanged at approximately 10% of total accounts receivable at December 31, 2010 and at March 31, 2011. Excluding the foreign exchange effects, inventories decreased by $1.8 million from December 31, 2010, primarily from the deconsolidation of Eltmann’s inventory balances totaling $2.4 million effective January 20, 2011. Excluding the foreign exchange effects, property, plant and equipment decreased $1.5 million as year to date capital spending was slightly lower than depreciation and machinery at Eltmann with a net book value of $1.3 million was deconsolidated effective January 20, 2011.</w:t>
      </w:r>
    </w:p>
    <w:p>
      <w:pPr>
        <w:spacing w:after="0" w:line="2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From December 31, 2010 to March 31, 2011, our total liabilities increased $10.9 million. The appreciation in the value of Euro denominated account balances relative to the U.S. Dollar caused total liabilities to increase approximately $3.7 million from December 31, 2010. The majority of the increase in liabilities was due to the increase in short-term and long-term portions of long-term debt. Debt increased by $18.9 million in part to fund working capital due to the large growth in sales and production volumes experienced during the first quarter of 2011. Partially offsetting this increase in debt was the elimination of the Eltmann accrued pension liability totaling $5.6 million due to deconsolidation of Eltmann. Finally, excluding foreign exchange effects, accounts payable decreased $3.3 million due deconsolidating Eltmann accounts payable of $1.9 million and due to timing of payments to certain vendors.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which consists principally of accounts receivable and inventories offset by accounts payable and current maturities of long-term debt, was</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$55.1 million at March 31, 2011 as compared to $32.1 million at December 31, 2010. The ratio of current assets to current liabilities increased from 1.38:1 at December 31, 2010 to 1.67:1 at March 31, 2011. The increase in working capital was due primarily to the growth in accounts receivable from the 30% increase in sales volume experienced during the first quarter of 2011.</w:t>
      </w:r>
    </w:p>
    <w:p>
      <w:pPr>
        <w:spacing w:after="0" w:line="2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Cash flow used by operations was $17.7 million for 2011 compared with cash flow used by operations of $0.2 million for the same period in 2010. The unfavorable variance in cash flow used by operations was principally due to the large increase in accounts receivable, as discussed above, from the increased sales volumes experienced during the first quarter of 2011.</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0"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Amounts outstanding under our $100.0 million credit facility and our $40.0 million senior notes as of March 31, 2011 were $69.4 million, including $1.7 million under our swing line of credit, and $22.9 million, respectively. As of March 31, 2011, we can borrow up to an additional $29.9 million under the $100.0 million credit facility, including $8.3 million under our swing line of credit, subject to limitations based on existing financial covenants. However, based on current forecasts we do not expect any limitations on access to this available credit. The $29.9 million is net of $0.7 million of outstanding letters of credit at March 31, 2011 which are considered as usage of the facility. We were in compliance with all covenants related to the amended and restated $100.0 million credit facility and the amended and restated $40.0 million senior notes as of March 31, 2011. The specific covenants to which we are subject and our actual results compared to those covenants are disclosed in Note 9 of the Notes to Condensed Consolidated Financial Statements.</w:t>
      </w:r>
    </w:p>
    <w:p>
      <w:pPr>
        <w:spacing w:after="0" w:line="19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Many of our locations use the Euro as their functional currency. In 2011, the fluctuation of the Euro against the U.S. Dollar unfavorably impacted revenue, increased the value of assets and liabilities of certain foreign subsidiaries and had an unfavorable impact on net income due to losses on translation of intercompany loans. As of March 31, 2011, no currency hedges were in place. Changes in value of the U.S. Dollar and/or Euro against foreign currencies could impair our ability to compete with international competitors for foreign as well as domestic sales.</w:t>
      </w:r>
    </w:p>
    <w:p>
      <w:pPr>
        <w:spacing w:after="0" w:line="198"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We have made planned capital expenditures totaling $3.8 million as of March 31, 2011. During 2011, we expect to spend approximately $23.0 million on capital expenditures, the majority of which relate to new or expanded business. We believe that funds generated from operations and borrowings from the credit facilities will be sufficient to finance our capital expenditures and working capital needs through March 2012. We base this assertion on our current availability for borrowing of up to $29.9 million and our forecasted positive cash flow from operations for the remaining quarters of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our annual report on Form 10-K for the year ended December 31, 2010, including those policies as discussed in Note 1 to the annual report. There have been no changes to these policies during the three month period ended March 31, 2011.</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18"/>
          <w:szCs w:val="18"/>
          <w:b w:val="1"/>
          <w:bCs w:val="1"/>
          <w:color w:val="auto"/>
        </w:rPr>
        <w:t>Quantitative and Qualitative Disclosures About Market Risk</w:t>
      </w:r>
    </w:p>
    <w:p>
      <w:pPr>
        <w:spacing w:after="0" w:line="24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March 31, 2011, we had $69.4 million outstanding under our variable rate revolving credit facilities and $22.9 million fixed rate senior notes outstanding. See Note 9 of the Notes to Condensed Consolidated Financial Statements. At March 31, 2011, a one-percent increase in the interest rate charged on our outstanding variable rate borrowings would result in interest expense increasing annually by approximately $0.7 million.</w:t>
      </w:r>
    </w:p>
    <w:p>
      <w:pPr>
        <w:spacing w:after="0" w:line="2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March 31, 2011.</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19" w:name="page20"/>
    <w:bookmarkEnd w:id="19"/>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March 31, 2011, the end of the period covered by this quarterly report.</w:t>
      </w:r>
    </w:p>
    <w:p>
      <w:pPr>
        <w:spacing w:after="0" w:line="1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have been no changes in the fiscal quarter ended March 31, 2011 in our internal control over financial reporting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46"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As described more fully in our Form 10-K for 2010, we continue to monitor the remediation efforts at a former waste recycling vendor used by our former Walterboro, South Carolina facility. The costs associated with the chosen remediation, which has been tentatively approved by the EPA, are estimated to be approximately $10,000 of which our allocated share is approximately $143 which has been fully accrued for as of March 31, 2011. While there can be no assurances, we believe that the $143 is the maximum amount for which we will be liable under the tentatively accepted remediation plan.</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2010 under Item 1.A. “Risk Factors.” There have been no material changes to these risk factors since December 31, 2010.</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(Removed and Reserved)</w:t>
      </w:r>
    </w:p>
    <w:p>
      <w:pPr>
        <w:spacing w:after="0" w:line="23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20" w:name="page21"/>
    <w:bookmarkEnd w:id="20"/>
    <w:p>
      <w:pPr>
        <w:spacing w:after="0"/>
        <w:tabs>
          <w:tab w:leader="none" w:pos="11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Exhibits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31.1  Certification Pursuant to Rules 13a-14(a) and 15d-14(a) under the Securities Exchange Act of 1934, as amended.</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31.2  Certification Pursuant to Rules 13a-14(a) and 15d-14(a) under the Securities Exchange Act of 1934, as amended.</w:t>
      </w:r>
    </w:p>
    <w:p>
      <w:pPr>
        <w:spacing w:after="0" w:line="248"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32.2 Certification of Chief Financial Officer pursuant to Section 906 of Sarbanes-Oxley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47" w:right="1440" w:bottom="1440" w:gutter="0" w:footer="0" w:header="0"/>
        </w:sectPr>
      </w:pPr>
    </w:p>
    <w:bookmarkStart w:id="21" w:name="page22"/>
    <w:bookmarkEnd w:id="21"/>
    <w:p>
      <w:pPr>
        <w:jc w:val="center"/>
        <w:ind w:right="-2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20"/>
          </w:cols>
          <w:pgMar w:left="240" w:top="27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7"/>
              </w:rPr>
              <w:t>Date:</w:t>
            </w: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May 10,</w:t>
            </w:r>
          </w:p>
        </w:tc>
      </w:tr>
      <w:tr>
        <w:trPr>
          <w:trHeight w:val="196"/>
        </w:trPr>
        <w:tc>
          <w:tcPr>
            <w:tcW w:w="6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84"/>
              </w:rPr>
              <w:t>2011</w:t>
            </w:r>
          </w:p>
        </w:tc>
        <w:tc>
          <w:tcPr>
            <w:tcW w:w="820" w:type="dxa"/>
            <w:vAlign w:val="bottom"/>
            <w:tcBorders>
              <w:top w:val="single" w:sz="8" w:color="auto"/>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7"/>
              </w:rPr>
              <w:t>Date:</w:t>
            </w:r>
          </w:p>
        </w:tc>
        <w:tc>
          <w:tcPr>
            <w:tcW w:w="3660" w:type="dxa"/>
            <w:vAlign w:val="bottom"/>
            <w:gridSpan w:val="2"/>
          </w:tcPr>
          <w:p>
            <w:pPr>
              <w:ind w:left="280"/>
              <w:spacing w:after="0"/>
              <w:rPr>
                <w:sz w:val="20"/>
                <w:szCs w:val="20"/>
                <w:color w:val="auto"/>
              </w:rPr>
            </w:pPr>
            <w:r>
              <w:rPr>
                <w:rFonts w:ascii="Arial" w:cs="Arial" w:eastAsia="Arial" w:hAnsi="Arial"/>
                <w:sz w:val="18"/>
                <w:szCs w:val="18"/>
                <w:color w:val="auto"/>
              </w:rPr>
              <w:t>May 10,</w:t>
            </w:r>
          </w:p>
        </w:tc>
      </w:tr>
      <w:tr>
        <w:trPr>
          <w:trHeight w:val="196"/>
        </w:trPr>
        <w:tc>
          <w:tcPr>
            <w:tcW w:w="6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84"/>
              </w:rPr>
              <w:t>2011</w:t>
            </w:r>
          </w:p>
        </w:tc>
        <w:tc>
          <w:tcPr>
            <w:tcW w:w="880" w:type="dxa"/>
            <w:vAlign w:val="bottom"/>
            <w:tcBorders>
              <w:top w:val="single" w:sz="8" w:color="auto"/>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jc w:val="right"/>
              <w:ind w:right="190"/>
              <w:spacing w:after="0"/>
              <w:rPr>
                <w:sz w:val="20"/>
                <w:szCs w:val="20"/>
                <w:color w:val="auto"/>
              </w:rPr>
            </w:pPr>
            <w:r>
              <w:rPr>
                <w:rFonts w:ascii="Arial" w:cs="Arial" w:eastAsia="Arial" w:hAnsi="Arial"/>
                <w:sz w:val="18"/>
                <w:szCs w:val="18"/>
                <w:color w:val="auto"/>
                <w:w w:val="97"/>
              </w:rPr>
              <w:t>Date:</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May 10,</w:t>
            </w:r>
          </w:p>
        </w:tc>
      </w:tr>
      <w:tr>
        <w:trPr>
          <w:trHeight w:val="196"/>
        </w:trPr>
        <w:tc>
          <w:tcPr>
            <w:tcW w:w="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84"/>
              </w:rPr>
              <w:t>2011</w:t>
            </w:r>
          </w:p>
        </w:tc>
        <w:tc>
          <w:tcPr>
            <w:tcW w:w="820" w:type="dxa"/>
            <w:vAlign w:val="bottom"/>
            <w:tcBorders>
              <w:top w:val="single" w:sz="8" w:color="auto"/>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97"/>
              </w:rPr>
              <w:t>Date:</w:t>
            </w: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0"/>
              </w:rPr>
              <w:t>May 10,</w:t>
            </w:r>
          </w:p>
        </w:tc>
        <w:tc>
          <w:tcPr>
            <w:tcW w:w="2700" w:type="dxa"/>
            <w:vAlign w:val="bottom"/>
          </w:tcPr>
          <w:p>
            <w:pPr>
              <w:spacing w:after="0"/>
              <w:rPr>
                <w:sz w:val="18"/>
                <w:szCs w:val="18"/>
                <w:color w:val="auto"/>
              </w:rPr>
            </w:pPr>
          </w:p>
        </w:tc>
      </w:tr>
      <w:tr>
        <w:trPr>
          <w:trHeight w:val="196"/>
        </w:trPr>
        <w:tc>
          <w:tcPr>
            <w:tcW w:w="8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84"/>
              </w:rPr>
              <w:t>2011</w:t>
            </w:r>
          </w:p>
        </w:tc>
        <w:tc>
          <w:tcPr>
            <w:tcW w:w="8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-10160</wp:posOffset>
            </wp:positionV>
            <wp:extent cx="3533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33775" cy="889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40" w:right="1900"/>
        <w:spacing w:after="0" w:line="261" w:lineRule="auto"/>
        <w:rPr>
          <w:sz w:val="20"/>
          <w:szCs w:val="20"/>
          <w:color w:val="auto"/>
        </w:rPr>
      </w:pPr>
      <w:r>
        <w:rPr>
          <w:rFonts w:ascii="Arial" w:cs="Arial" w:eastAsia="Arial" w:hAnsi="Arial"/>
          <w:sz w:val="18"/>
          <w:szCs w:val="18"/>
          <w:color w:val="auto"/>
        </w:rPr>
        <w:t>Chairman, President and Chief Executive Officer (Duly Authorized Officer)</w:t>
      </w: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-10160</wp:posOffset>
            </wp:positionV>
            <wp:extent cx="35083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08375" cy="889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 Corporate Development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(Duly Authorized Officer)</w:t>
      </w:r>
    </w:p>
    <w:p>
      <w:pPr>
        <w:spacing w:after="0" w:line="3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-10160</wp:posOffset>
            </wp:positionV>
            <wp:extent cx="34772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77260" cy="889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C. Kelly, Jr.,</w:t>
      </w:r>
    </w:p>
    <w:p>
      <w:pPr>
        <w:spacing w:after="0" w:line="23" w:lineRule="exact"/>
        <w:rPr>
          <w:sz w:val="20"/>
          <w:szCs w:val="20"/>
          <w:color w:val="auto"/>
        </w:rPr>
      </w:pPr>
    </w:p>
    <w:p>
      <w:pPr>
        <w:ind w:left="40" w:right="1980" w:hanging="2"/>
        <w:spacing w:after="0" w:line="261" w:lineRule="auto"/>
        <w:rPr>
          <w:sz w:val="20"/>
          <w:szCs w:val="20"/>
          <w:color w:val="auto"/>
        </w:rPr>
      </w:pPr>
      <w:r>
        <w:rPr>
          <w:rFonts w:ascii="Arial" w:cs="Arial" w:eastAsia="Arial" w:hAnsi="Arial"/>
          <w:sz w:val="18"/>
          <w:szCs w:val="18"/>
          <w:color w:val="auto"/>
        </w:rPr>
        <w:t>Vice President and Chief Administrative Officer (Duly Authorized Officer)</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-10160</wp:posOffset>
            </wp:positionV>
            <wp:extent cx="33972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97250" cy="889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5000" w:space="720"/>
            <w:col w:w="5500"/>
          </w:cols>
          <w:pgMar w:left="240" w:top="27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270" w:right="439" w:bottom="1440" w:gutter="0" w:footer="0" w:header="0"/>
          <w:type w:val="continuous"/>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ind w:left="1048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252" w:lineRule="exact"/>
        <w:rPr>
          <w:sz w:val="20"/>
          <w:szCs w:val="20"/>
          <w:color w:val="auto"/>
        </w:rPr>
      </w:pPr>
    </w:p>
    <w:p>
      <w:pPr>
        <w:ind w:left="340" w:hanging="24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52"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May 10, 2011</w:t>
      </w:r>
      <w:r>
        <w:rPr>
          <w:sz w:val="20"/>
          <w:szCs w:val="20"/>
          <w:color w:val="auto"/>
        </w:rPr>
        <w:tab/>
      </w:r>
      <w:r>
        <w:rPr>
          <w:rFonts w:ascii="Arial" w:cs="Arial" w:eastAsia="Arial" w:hAnsi="Arial"/>
          <w:sz w:val="16"/>
          <w:szCs w:val="16"/>
          <w:u w:val="single" w:color="auto"/>
          <w:color w:val="auto"/>
        </w:rPr>
        <w:t>/s/ Roderick R. Baty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Roderick R. Baty</w:t>
      </w:r>
    </w:p>
    <w:p>
      <w:pPr>
        <w:spacing w:after="0" w:line="2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ind w:left="1048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52" w:lineRule="exact"/>
        <w:rPr>
          <w:sz w:val="20"/>
          <w:szCs w:val="20"/>
          <w:color w:val="auto"/>
        </w:rPr>
      </w:pPr>
    </w:p>
    <w:p>
      <w:pPr>
        <w:ind w:left="340" w:hanging="24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52"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3"/>
          </w:tcPr>
          <w:p>
            <w:pPr>
              <w:spacing w:after="0"/>
              <w:rPr>
                <w:sz w:val="20"/>
                <w:szCs w:val="20"/>
                <w:color w:val="auto"/>
              </w:rPr>
            </w:pPr>
            <w:r>
              <w:rPr>
                <w:rFonts w:ascii="Arial" w:cs="Arial" w:eastAsia="Arial" w:hAnsi="Arial"/>
                <w:sz w:val="18"/>
                <w:szCs w:val="18"/>
                <w:color w:val="auto"/>
              </w:rPr>
              <w:t>Date: May 10, 2011</w:t>
            </w:r>
          </w:p>
        </w:tc>
        <w:tc>
          <w:tcPr>
            <w:tcW w:w="296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 James H. Dorton</w:t>
            </w:r>
          </w:p>
        </w:tc>
      </w:tr>
      <w:tr>
        <w:trPr>
          <w:trHeight w:val="20"/>
        </w:trPr>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2"/>
        </w:trPr>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900" w:type="dxa"/>
            <w:vAlign w:val="bottom"/>
            <w:gridSpan w:val="3"/>
          </w:tcPr>
          <w:p>
            <w:pPr>
              <w:ind w:left="1980"/>
              <w:spacing w:after="0"/>
              <w:rPr>
                <w:sz w:val="20"/>
                <w:szCs w:val="20"/>
                <w:color w:val="auto"/>
              </w:rPr>
            </w:pPr>
            <w:r>
              <w:rPr>
                <w:rFonts w:ascii="Arial" w:cs="Arial" w:eastAsia="Arial" w:hAnsi="Arial"/>
                <w:sz w:val="18"/>
                <w:szCs w:val="18"/>
                <w:color w:val="auto"/>
              </w:rPr>
              <w:t>James H. Dorton</w:t>
            </w:r>
          </w:p>
        </w:tc>
      </w:tr>
      <w:tr>
        <w:trPr>
          <w:trHeight w:val="216"/>
        </w:trPr>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900" w:type="dxa"/>
            <w:vAlign w:val="bottom"/>
            <w:gridSpan w:val="3"/>
          </w:tcPr>
          <w:p>
            <w:pPr>
              <w:ind w:left="2420"/>
              <w:spacing w:after="0"/>
              <w:rPr>
                <w:sz w:val="20"/>
                <w:szCs w:val="20"/>
                <w:color w:val="auto"/>
              </w:rPr>
            </w:pPr>
            <w:r>
              <w:rPr>
                <w:rFonts w:ascii="Arial" w:cs="Arial" w:eastAsia="Arial" w:hAnsi="Arial"/>
                <w:sz w:val="18"/>
                <w:szCs w:val="18"/>
                <w:color w:val="auto"/>
                <w:w w:val="90"/>
              </w:rPr>
              <w:t>Senior Vice President – Corporate Development</w:t>
            </w:r>
          </w:p>
        </w:tc>
      </w:tr>
      <w:tr>
        <w:trPr>
          <w:trHeight w:val="230"/>
        </w:trPr>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900" w:type="dxa"/>
            <w:vAlign w:val="bottom"/>
            <w:gridSpan w:val="3"/>
          </w:tcPr>
          <w:p>
            <w:pPr>
              <w:ind w:left="2420"/>
              <w:spacing w:after="0"/>
              <w:rPr>
                <w:sz w:val="20"/>
                <w:szCs w:val="20"/>
                <w:color w:val="auto"/>
              </w:rPr>
            </w:pPr>
            <w:r>
              <w:rPr>
                <w:rFonts w:ascii="Arial" w:cs="Arial" w:eastAsia="Arial" w:hAnsi="Arial"/>
                <w:sz w:val="18"/>
                <w:szCs w:val="18"/>
                <w:color w:val="auto"/>
              </w:rPr>
              <w:t>and Chief Financial Officer</w:t>
            </w:r>
          </w:p>
        </w:tc>
      </w:tr>
    </w:tbl>
    <w:p>
      <w:pPr>
        <w:sectPr>
          <w:pgSz w:w="11900" w:h="16838" w:orient="portrait"/>
          <w:cols w:equalWidth="0" w:num="1">
            <w:col w:w="11420"/>
          </w:cols>
          <w:pgMar w:left="240" w:top="36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March 31, 2011,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gridSpan w:val="3"/>
          </w:tcPr>
          <w:p>
            <w:pPr>
              <w:spacing w:after="0"/>
              <w:rPr>
                <w:sz w:val="20"/>
                <w:szCs w:val="20"/>
                <w:color w:val="auto"/>
              </w:rPr>
            </w:pPr>
            <w:r>
              <w:rPr>
                <w:rFonts w:ascii="Arial" w:cs="Arial" w:eastAsia="Arial" w:hAnsi="Arial"/>
                <w:sz w:val="18"/>
                <w:szCs w:val="18"/>
                <w:color w:val="auto"/>
              </w:rPr>
              <w:t>Date: May 10, 2011</w:t>
            </w:r>
          </w:p>
        </w:tc>
        <w:tc>
          <w:tcPr>
            <w:tcW w:w="3560" w:type="dxa"/>
            <w:vAlign w:val="bottom"/>
            <w:gridSpan w:val="2"/>
          </w:tcPr>
          <w:p>
            <w:pPr>
              <w:ind w:left="2100"/>
              <w:spacing w:after="0"/>
              <w:rPr>
                <w:sz w:val="20"/>
                <w:szCs w:val="20"/>
                <w:color w:val="auto"/>
              </w:rPr>
            </w:pPr>
            <w:r>
              <w:rPr>
                <w:rFonts w:ascii="Arial" w:cs="Arial" w:eastAsia="Arial" w:hAnsi="Arial"/>
                <w:sz w:val="18"/>
                <w:szCs w:val="18"/>
                <w:color w:val="auto"/>
                <w:w w:val="90"/>
              </w:rPr>
              <w:t>/s/ Roderick R. Baty</w:t>
            </w:r>
          </w:p>
        </w:tc>
      </w:tr>
      <w:tr>
        <w:trPr>
          <w:trHeight w:val="20"/>
        </w:trPr>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22"/>
        </w:trPr>
        <w:tc>
          <w:tcPr>
            <w:tcW w:w="4340" w:type="dxa"/>
            <w:vAlign w:val="bottom"/>
            <w:gridSpan w:val="3"/>
          </w:tcPr>
          <w:p>
            <w:pPr>
              <w:spacing w:after="0"/>
              <w:rPr>
                <w:sz w:val="20"/>
                <w:szCs w:val="20"/>
                <w:color w:val="auto"/>
              </w:rPr>
            </w:pPr>
            <w:r>
              <w:rPr>
                <w:rFonts w:ascii="Arial" w:cs="Arial" w:eastAsia="Arial" w:hAnsi="Arial"/>
                <w:sz w:val="18"/>
                <w:szCs w:val="18"/>
                <w:color w:val="auto"/>
              </w:rPr>
              <w:t>Roderick R. Baty</w:t>
            </w:r>
          </w:p>
        </w:tc>
        <w:tc>
          <w:tcPr>
            <w:tcW w:w="2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color w:val="auto"/>
              </w:rPr>
              <w:t>Chairman, President and Chief</w:t>
            </w:r>
          </w:p>
        </w:tc>
        <w:tc>
          <w:tcPr>
            <w:tcW w:w="2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Executive Officer</w:t>
            </w:r>
          </w:p>
        </w:tc>
        <w:tc>
          <w:tcPr>
            <w:tcW w:w="210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27" w:name="page28"/>
    <w:bookmarkEnd w:id="27"/>
    <w:p>
      <w:pPr>
        <w:spacing w:after="0" w:line="277" w:lineRule="auto"/>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March 31, 2011,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3"/>
          </w:tcPr>
          <w:p>
            <w:pPr>
              <w:spacing w:after="0"/>
              <w:rPr>
                <w:sz w:val="20"/>
                <w:szCs w:val="20"/>
                <w:color w:val="auto"/>
              </w:rPr>
            </w:pPr>
            <w:r>
              <w:rPr>
                <w:rFonts w:ascii="Arial" w:cs="Arial" w:eastAsia="Arial" w:hAnsi="Arial"/>
                <w:sz w:val="18"/>
                <w:szCs w:val="18"/>
                <w:color w:val="auto"/>
              </w:rPr>
              <w:t>Date: May 10, 2011</w:t>
            </w:r>
          </w:p>
        </w:tc>
        <w:tc>
          <w:tcPr>
            <w:tcW w:w="336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/s/ James H. Dorton</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James H. Dorton</w:t>
            </w:r>
          </w:p>
        </w:tc>
        <w:tc>
          <w:tcPr>
            <w:tcW w:w="5160" w:type="dxa"/>
            <w:vAlign w:val="bottom"/>
            <w:gridSpan w:val="3"/>
            <w:vMerge w:val="restart"/>
          </w:tcPr>
          <w:p>
            <w:pPr>
              <w:ind w:left="1120"/>
              <w:spacing w:after="0"/>
              <w:rPr>
                <w:sz w:val="20"/>
                <w:szCs w:val="20"/>
                <w:color w:val="auto"/>
              </w:rPr>
            </w:pPr>
            <w:r>
              <w:rPr>
                <w:rFonts w:ascii="Arial" w:cs="Arial" w:eastAsia="Arial" w:hAnsi="Arial"/>
                <w:sz w:val="18"/>
                <w:szCs w:val="18"/>
                <w:color w:val="auto"/>
              </w:rPr>
              <w:t>Senior Vice President – Corporate Development</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160" w:type="dxa"/>
            <w:vAlign w:val="bottom"/>
            <w:gridSpan w:val="3"/>
          </w:tcPr>
          <w:p>
            <w:pPr>
              <w:ind w:left="3180"/>
              <w:spacing w:after="0"/>
              <w:rPr>
                <w:sz w:val="20"/>
                <w:szCs w:val="20"/>
                <w:color w:val="auto"/>
              </w:rPr>
            </w:pPr>
            <w:r>
              <w:rPr>
                <w:rFonts w:ascii="Arial" w:cs="Arial" w:eastAsia="Arial" w:hAnsi="Arial"/>
                <w:sz w:val="18"/>
                <w:szCs w:val="18"/>
                <w:color w:val="auto"/>
                <w:w w:val="92"/>
              </w:rPr>
              <w:t>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2019-12-10T13:03:36Z</dcterms:created>
  <dcterms:modified xsi:type="dcterms:W3CDTF">2019-12-10T13:03:36Z</dcterms:modified>
</cp:coreProperties>
</file>