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44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489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Holder Richard D</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03/14/2019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38"/>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8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7"/>
                <w:szCs w:val="17"/>
                <w:color w:val="0000FF"/>
              </w:rPr>
              <w:t>CHARLOTTE   NC</w:t>
            </w:r>
          </w:p>
        </w:tc>
        <w:tc>
          <w:tcPr>
            <w:tcW w:w="920" w:type="dxa"/>
            <w:vAlign w:val="bottom"/>
          </w:tcPr>
          <w:p>
            <w:pPr>
              <w:spacing w:after="0"/>
              <w:rPr>
                <w:sz w:val="21"/>
                <w:szCs w:val="21"/>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0000FF"/>
              </w:rPr>
              <w:t>28277</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ind w:left="8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2"/>
          </w:tcPr>
          <w:p>
            <w:pPr>
              <w:jc w:val="center"/>
              <w:ind w:left="7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726"/>
              <w:spacing w:after="0"/>
              <w:rPr>
                <w:sz w:val="20"/>
                <w:szCs w:val="20"/>
                <w:color w:val="auto"/>
              </w:rPr>
            </w:pPr>
            <w:r>
              <w:rPr>
                <w:rFonts w:ascii="Arial" w:cs="Arial" w:eastAsia="Arial" w:hAnsi="Arial"/>
                <w:sz w:val="17"/>
                <w:szCs w:val="17"/>
                <w:color w:val="0000FF"/>
                <w:w w:val="91"/>
              </w:rPr>
              <w:t>03/14/2019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102,143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280,109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726"/>
              <w:spacing w:after="0"/>
              <w:rPr>
                <w:sz w:val="20"/>
                <w:szCs w:val="20"/>
                <w:color w:val="auto"/>
              </w:rPr>
            </w:pPr>
            <w:r>
              <w:rPr>
                <w:rFonts w:ascii="Arial" w:cs="Arial" w:eastAsia="Arial" w:hAnsi="Arial"/>
                <w:sz w:val="17"/>
                <w:szCs w:val="17"/>
                <w:color w:val="0000FF"/>
                <w:w w:val="91"/>
              </w:rPr>
              <w:t>03/14/2019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5"/>
              </w:rPr>
              <w:t>3,002</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7.93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277,107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726"/>
              <w:spacing w:after="0"/>
              <w:rPr>
                <w:sz w:val="20"/>
                <w:szCs w:val="20"/>
                <w:color w:val="auto"/>
              </w:rPr>
            </w:pPr>
            <w:r>
              <w:rPr>
                <w:rFonts w:ascii="Arial" w:cs="Arial" w:eastAsia="Arial" w:hAnsi="Arial"/>
                <w:sz w:val="17"/>
                <w:szCs w:val="17"/>
                <w:color w:val="0000FF"/>
                <w:w w:val="91"/>
              </w:rPr>
              <w:t>03/16/2019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5"/>
              </w:rPr>
              <w:t>3,563</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7.61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273,544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726"/>
              <w:spacing w:after="0"/>
              <w:rPr>
                <w:sz w:val="20"/>
                <w:szCs w:val="20"/>
                <w:color w:val="auto"/>
              </w:rPr>
            </w:pPr>
            <w:r>
              <w:rPr>
                <w:rFonts w:ascii="Arial" w:cs="Arial" w:eastAsia="Arial" w:hAnsi="Arial"/>
                <w:sz w:val="17"/>
                <w:szCs w:val="17"/>
                <w:color w:val="0000FF"/>
                <w:w w:val="91"/>
              </w:rPr>
              <w:t>03/17/2019</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5"/>
              </w:rPr>
              <w:t>2,446</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7.61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271,098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1"/>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920" w:type="dxa"/>
            <w:vAlign w:val="bottom"/>
          </w:tcPr>
          <w:p>
            <w:pPr>
              <w:ind w:left="240"/>
              <w:spacing w:after="0"/>
              <w:rPr>
                <w:sz w:val="20"/>
                <w:szCs w:val="20"/>
                <w:color w:val="auto"/>
              </w:rPr>
            </w:pPr>
            <w:r>
              <w:rPr>
                <w:rFonts w:ascii="Arial" w:cs="Arial" w:eastAsia="Arial" w:hAnsi="Arial"/>
                <w:sz w:val="13"/>
                <w:szCs w:val="13"/>
                <w:color w:val="0000FF"/>
              </w:rPr>
              <w:t>03/14/2019</w:t>
            </w:r>
          </w:p>
        </w:tc>
        <w:tc>
          <w:tcPr>
            <w:tcW w:w="132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79,675</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26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79,675</w:t>
            </w:r>
          </w:p>
        </w:tc>
        <w:tc>
          <w:tcPr>
            <w:tcW w:w="6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79,675</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2020.</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2016 Omnibus Incentive Plan and the applicable Performance Share Unit Award Agreement based on the relative total shareholder return ("TSR") of the Issuer, as compared to the TSR of the S&amp;P SmallCap 600 Index over the period beginning on January 1, 2019 and ending December 31, 2021.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color w:val="0000FF"/>
        </w:rPr>
        <w:t>03/18/2019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059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2019-12-23T16:03:38Z</dcterms:created>
  <dcterms:modified xsi:type="dcterms:W3CDTF">2019-12-23T16:03:38Z</dcterms:modified>
</cp:coreProperties>
</file>