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92710</wp:posOffset>
            </wp:positionV>
            <wp:extent cx="26974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7480" cy="571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71120</wp:posOffset>
            </wp:positionV>
            <wp:extent cx="26974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7480" cy="571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November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69850</wp:posOffset>
            </wp:positionV>
            <wp:extent cx="26974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7480" cy="571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115570</wp:posOffset>
            </wp:positionV>
            <wp:extent cx="491490" cy="36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1490" cy="3657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ectPr>
          <w:pgSz w:w="11900" w:h="16838" w:orient="portrait"/>
          <w:cols w:equalWidth="0" w:num="1">
            <w:col w:w="11300"/>
          </w:cols>
          <w:pgMar w:left="300" w:top="916" w:right="299" w:bottom="1440" w:gutter="0" w:footer="0" w:header="0"/>
        </w:sectPr>
      </w:pPr>
    </w:p>
    <w:p>
      <w:pPr>
        <w:spacing w:after="0" w:line="55" w:lineRule="exact"/>
        <w:rPr>
          <w:sz w:val="24"/>
          <w:szCs w:val="24"/>
          <w:color w:val="auto"/>
        </w:rPr>
      </w:pPr>
    </w:p>
    <w:tbl>
      <w:tblPr>
        <w:tblLayout w:type="fixed"/>
        <w:tblInd w:w="1340" w:type="dxa"/>
        <w:tblCellMar>
          <w:top w:w="0" w:type="dxa"/>
          <w:left w:w="0" w:type="dxa"/>
          <w:bottom w:w="0" w:type="dxa"/>
          <w:right w:w="0" w:type="dxa"/>
        </w:tblCellMar>
      </w:tblPr>
      <w:tr>
        <w:trPr>
          <w:trHeight w:val="142"/>
        </w:trPr>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60" w:type="dxa"/>
            <w:vAlign w:val="bottom"/>
            <w:gridSpan w:val="2"/>
          </w:tcPr>
          <w:p>
            <w:pPr>
              <w:ind w:left="1480"/>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r>
      <w:tr>
        <w:trPr>
          <w:trHeight w:val="67"/>
        </w:trPr>
        <w:tc>
          <w:tcPr>
            <w:tcW w:w="38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r>
      <w:tr>
        <w:trPr>
          <w:trHeight w:val="363"/>
        </w:trPr>
        <w:tc>
          <w:tcPr>
            <w:tcW w:w="380" w:type="dxa"/>
            <w:vAlign w:val="bottom"/>
          </w:tcPr>
          <w:p>
            <w:pPr>
              <w:spacing w:after="0"/>
              <w:rPr>
                <w:sz w:val="24"/>
                <w:szCs w:val="24"/>
                <w:color w:val="auto"/>
              </w:rPr>
            </w:pPr>
          </w:p>
        </w:tc>
        <w:tc>
          <w:tcPr>
            <w:tcW w:w="1260" w:type="dxa"/>
            <w:vAlign w:val="bottom"/>
          </w:tcPr>
          <w:p>
            <w:pPr>
              <w:jc w:val="center"/>
              <w:ind w:right="72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98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001-39268</w:t>
            </w:r>
          </w:p>
        </w:tc>
        <w:tc>
          <w:tcPr>
            <w:tcW w:w="880" w:type="dxa"/>
            <w:vAlign w:val="bottom"/>
          </w:tcPr>
          <w:p>
            <w:pPr>
              <w:spacing w:after="0"/>
              <w:rPr>
                <w:sz w:val="24"/>
                <w:szCs w:val="24"/>
                <w:color w:val="auto"/>
              </w:rPr>
            </w:pPr>
          </w:p>
        </w:tc>
      </w:tr>
      <w:tr>
        <w:trPr>
          <w:trHeight w:val="164"/>
        </w:trPr>
        <w:tc>
          <w:tcPr>
            <w:tcW w:w="1640" w:type="dxa"/>
            <w:vAlign w:val="bottom"/>
            <w:gridSpan w:val="2"/>
          </w:tcPr>
          <w:p>
            <w:pPr>
              <w:jc w:val="center"/>
              <w:ind w:right="326"/>
              <w:spacing w:after="0"/>
              <w:rPr>
                <w:sz w:val="20"/>
                <w:szCs w:val="20"/>
                <w:color w:val="auto"/>
              </w:rPr>
            </w:pPr>
            <w:r>
              <w:rPr>
                <w:rFonts w:ascii="Times New Roman" w:cs="Times New Roman" w:eastAsia="Times New Roman" w:hAnsi="Times New Roman"/>
                <w:sz w:val="11"/>
                <w:szCs w:val="11"/>
                <w:i w:val="1"/>
                <w:iCs w:val="1"/>
                <w:color w:val="auto"/>
                <w:w w:val="97"/>
              </w:rPr>
              <w:t>(State or other jurisdiction of</w:t>
            </w:r>
          </w:p>
        </w:tc>
        <w:tc>
          <w:tcPr>
            <w:tcW w:w="3860" w:type="dxa"/>
            <w:vAlign w:val="bottom"/>
            <w:gridSpan w:val="2"/>
          </w:tcPr>
          <w:p>
            <w:pPr>
              <w:jc w:val="center"/>
              <w:ind w:left="466"/>
              <w:spacing w:after="0"/>
              <w:rPr>
                <w:sz w:val="20"/>
                <w:szCs w:val="20"/>
                <w:color w:val="auto"/>
              </w:rPr>
            </w:pPr>
            <w:r>
              <w:rPr>
                <w:rFonts w:ascii="Times New Roman" w:cs="Times New Roman" w:eastAsia="Times New Roman" w:hAnsi="Times New Roman"/>
                <w:sz w:val="11"/>
                <w:szCs w:val="11"/>
                <w:i w:val="1"/>
                <w:iCs w:val="1"/>
                <w:color w:val="auto"/>
                <w:w w:val="97"/>
              </w:rPr>
              <w:t>(Commission File Number)</w:t>
            </w:r>
          </w:p>
        </w:tc>
      </w:tr>
      <w:tr>
        <w:trPr>
          <w:trHeight w:val="142"/>
        </w:trPr>
        <w:tc>
          <w:tcPr>
            <w:tcW w:w="1640" w:type="dxa"/>
            <w:vAlign w:val="bottom"/>
            <w:gridSpan w:val="2"/>
          </w:tcPr>
          <w:p>
            <w:pPr>
              <w:jc w:val="center"/>
              <w:ind w:right="346"/>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9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441"/>
        </w:trPr>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6210 Ardrey Kell Road, Suite 120</w:t>
            </w:r>
          </w:p>
        </w:tc>
      </w:tr>
      <w:tr>
        <w:trPr>
          <w:trHeight w:val="216"/>
        </w:trPr>
        <w:tc>
          <w:tcPr>
            <w:tcW w:w="380" w:type="dxa"/>
            <w:vAlign w:val="bottom"/>
          </w:tcPr>
          <w:p>
            <w:pPr>
              <w:spacing w:after="0"/>
              <w:rPr>
                <w:sz w:val="18"/>
                <w:szCs w:val="18"/>
                <w:color w:val="auto"/>
              </w:rPr>
            </w:pPr>
          </w:p>
        </w:tc>
        <w:tc>
          <w:tcPr>
            <w:tcW w:w="1260" w:type="dxa"/>
            <w:vAlign w:val="bottom"/>
          </w:tcPr>
          <w:p>
            <w:pPr>
              <w:ind w:left="760"/>
              <w:spacing w:after="0"/>
              <w:rPr>
                <w:sz w:val="20"/>
                <w:szCs w:val="20"/>
                <w:color w:val="auto"/>
              </w:rPr>
            </w:pPr>
            <w:r>
              <w:rPr>
                <w:rFonts w:ascii="Times New Roman" w:cs="Times New Roman" w:eastAsia="Times New Roman" w:hAnsi="Times New Roman"/>
                <w:sz w:val="11"/>
                <w:szCs w:val="11"/>
                <w:b w:val="1"/>
                <w:bCs w:val="1"/>
                <w:color w:val="auto"/>
              </w:rPr>
              <w:t>Charlotte</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1"/>
                <w:szCs w:val="11"/>
                <w:b w:val="1"/>
                <w:bCs w:val="1"/>
                <w:color w:val="auto"/>
              </w:rPr>
              <w:t>North Carolina</w:t>
            </w:r>
          </w:p>
        </w:tc>
      </w:tr>
    </w:tbl>
    <w:p>
      <w:pPr>
        <w:spacing w:after="0" w:line="1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offices)</w:t>
      </w:r>
    </w:p>
    <w:p>
      <w:pPr>
        <w:spacing w:after="0" w:line="270" w:lineRule="exact"/>
        <w:rPr>
          <w:sz w:val="24"/>
          <w:szCs w:val="24"/>
          <w:color w:val="auto"/>
        </w:rPr>
      </w:pPr>
    </w:p>
    <w:p>
      <w:pPr>
        <w:jc w:val="center"/>
        <w:ind w:left="4380"/>
        <w:spacing w:after="0"/>
        <w:rPr>
          <w:sz w:val="20"/>
          <w:szCs w:val="20"/>
          <w:color w:val="auto"/>
        </w:rPr>
      </w:pPr>
      <w:r>
        <w:rPr>
          <w:rFonts w:ascii="Times New Roman" w:cs="Times New Roman" w:eastAsia="Times New Roman" w:hAnsi="Times New Roman"/>
          <w:sz w:val="11"/>
          <w:szCs w:val="11"/>
          <w:b w:val="1"/>
          <w:bCs w:val="1"/>
          <w:color w:val="auto"/>
        </w:rPr>
        <w:t>(980) 264-4300</w:t>
      </w:r>
    </w:p>
    <w:p>
      <w:pPr>
        <w:spacing w:after="0" w:line="18" w:lineRule="exact"/>
        <w:rPr>
          <w:sz w:val="24"/>
          <w:szCs w:val="24"/>
          <w:color w:val="auto"/>
        </w:rPr>
      </w:pPr>
    </w:p>
    <w:p>
      <w:pPr>
        <w:jc w:val="center"/>
        <w:ind w:left="4340"/>
        <w:spacing w:after="0"/>
        <w:rPr>
          <w:sz w:val="20"/>
          <w:szCs w:val="20"/>
          <w:color w:val="auto"/>
        </w:rPr>
      </w:pPr>
      <w:r>
        <w:rPr>
          <w:rFonts w:ascii="Times New Roman" w:cs="Times New Roman" w:eastAsia="Times New Roman" w:hAnsi="Times New Roman"/>
          <w:sz w:val="11"/>
          <w:szCs w:val="11"/>
          <w:i w:val="1"/>
          <w:iCs w:val="1"/>
          <w:color w:val="auto"/>
        </w:rPr>
        <w:t>(Registrant’s telephone number, including area code)</w:t>
      </w:r>
    </w:p>
    <w:p>
      <w:pPr>
        <w:spacing w:after="0" w:line="1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1366520</wp:posOffset>
            </wp:positionH>
            <wp:positionV relativeFrom="paragraph">
              <wp:posOffset>22860</wp:posOffset>
            </wp:positionV>
            <wp:extent cx="17316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1"/>
          <w:szCs w:val="11"/>
          <w:b w:val="1"/>
          <w:bCs w:val="1"/>
          <w:color w:val="auto"/>
        </w:rPr>
        <w:t>62-1096725</w:t>
      </w:r>
    </w:p>
    <w:p>
      <w:pPr>
        <w:spacing w:after="0" w:line="7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1"/>
          <w:szCs w:val="11"/>
          <w:i w:val="1"/>
          <w:iCs w:val="1"/>
          <w:color w:val="auto"/>
        </w:rPr>
        <w:t>(I.R.S. Employer</w:t>
      </w:r>
    </w:p>
    <w:p>
      <w:pPr>
        <w:spacing w:after="0" w:line="16" w:lineRule="exact"/>
        <w:rPr>
          <w:sz w:val="24"/>
          <w:szCs w:val="24"/>
          <w:color w:val="auto"/>
        </w:rPr>
      </w:pPr>
    </w:p>
    <w:p>
      <w:pPr>
        <w:jc w:val="right"/>
        <w:ind w:right="2540"/>
        <w:spacing w:after="0"/>
        <w:rPr>
          <w:sz w:val="20"/>
          <w:szCs w:val="20"/>
          <w:color w:val="auto"/>
        </w:rPr>
      </w:pPr>
      <w:r>
        <w:rPr>
          <w:rFonts w:ascii="Times New Roman" w:cs="Times New Roman" w:eastAsia="Times New Roman" w:hAnsi="Times New Roman"/>
          <w:sz w:val="11"/>
          <w:szCs w:val="11"/>
          <w:i w:val="1"/>
          <w:iCs w:val="1"/>
          <w:color w:val="auto"/>
        </w:rPr>
        <w:t>Identification No.)</w:t>
      </w:r>
    </w:p>
    <w:p>
      <w:pPr>
        <w:spacing w:after="0" w:line="200" w:lineRule="exact"/>
        <w:rPr>
          <w:sz w:val="24"/>
          <w:szCs w:val="24"/>
          <w:color w:val="auto"/>
        </w:rPr>
      </w:pPr>
    </w:p>
    <w:p>
      <w:pPr>
        <w:spacing w:after="0" w:line="305" w:lineRule="exact"/>
        <w:rPr>
          <w:sz w:val="24"/>
          <w:szCs w:val="24"/>
          <w:color w:val="auto"/>
        </w:rPr>
      </w:pPr>
    </w:p>
    <w:p>
      <w:pPr>
        <w:jc w:val="center"/>
        <w:ind w:right="3420"/>
        <w:spacing w:after="0"/>
        <w:rPr>
          <w:sz w:val="20"/>
          <w:szCs w:val="20"/>
          <w:color w:val="auto"/>
        </w:rPr>
      </w:pPr>
      <w:r>
        <w:rPr>
          <w:rFonts w:ascii="Times New Roman" w:cs="Times New Roman" w:eastAsia="Times New Roman" w:hAnsi="Times New Roman"/>
          <w:sz w:val="11"/>
          <w:szCs w:val="11"/>
          <w:b w:val="1"/>
          <w:bCs w:val="1"/>
          <w:color w:val="auto"/>
        </w:rPr>
        <w:t>28277</w:t>
      </w:r>
    </w:p>
    <w:p>
      <w:pPr>
        <w:spacing w:after="0" w:line="18" w:lineRule="exact"/>
        <w:rPr>
          <w:sz w:val="24"/>
          <w:szCs w:val="24"/>
          <w:color w:val="auto"/>
        </w:rPr>
      </w:pPr>
    </w:p>
    <w:p>
      <w:pPr>
        <w:jc w:val="center"/>
        <w:ind w:right="3420"/>
        <w:spacing w:after="0"/>
        <w:rPr>
          <w:sz w:val="20"/>
          <w:szCs w:val="20"/>
          <w:color w:val="auto"/>
        </w:rPr>
      </w:pPr>
      <w:r>
        <w:rPr>
          <w:rFonts w:ascii="Times New Roman" w:cs="Times New Roman" w:eastAsia="Times New Roman" w:hAnsi="Times New Roman"/>
          <w:sz w:val="10"/>
          <w:szCs w:val="10"/>
          <w:i w:val="1"/>
          <w:iCs w:val="1"/>
          <w:color w:val="auto"/>
        </w:rPr>
        <w:t>(Zip Code)</w:t>
      </w:r>
    </w:p>
    <w:p>
      <w:pPr>
        <w:spacing w:after="0" w:line="986" w:lineRule="exact"/>
        <w:rPr>
          <w:sz w:val="24"/>
          <w:szCs w:val="24"/>
          <w:color w:val="auto"/>
        </w:rPr>
      </w:pPr>
    </w:p>
    <w:p>
      <w:pPr>
        <w:sectPr>
          <w:pgSz w:w="11900" w:h="16838" w:orient="portrait"/>
          <w:cols w:equalWidth="0" w:num="2">
            <w:col w:w="6920" w:space="500"/>
            <w:col w:w="3880"/>
          </w:cols>
          <w:pgMar w:left="300" w:top="916" w:right="299" w:bottom="1440" w:gutter="0" w:footer="0" w:header="0"/>
          <w:type w:val="continuous"/>
        </w:sectPr>
      </w:pP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1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3320" w:type="dxa"/>
            <w:vAlign w:val="bottom"/>
          </w:tcPr>
          <w:p>
            <w:pPr>
              <w:spacing w:after="0"/>
              <w:rPr>
                <w:sz w:val="10"/>
                <w:szCs w:val="10"/>
                <w:color w:val="auto"/>
              </w:rPr>
            </w:pPr>
          </w:p>
        </w:tc>
        <w:tc>
          <w:tcPr>
            <w:tcW w:w="382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5"/>
              </w:rPr>
              <w:t>Securities registered pursuant to Section 12(b) of the Act:</w:t>
            </w:r>
          </w:p>
        </w:tc>
        <w:tc>
          <w:tcPr>
            <w:tcW w:w="4160" w:type="dxa"/>
            <w:vAlign w:val="bottom"/>
          </w:tcPr>
          <w:p>
            <w:pPr>
              <w:spacing w:after="0"/>
              <w:rPr>
                <w:sz w:val="10"/>
                <w:szCs w:val="10"/>
                <w:color w:val="auto"/>
              </w:rPr>
            </w:pPr>
          </w:p>
        </w:tc>
      </w:tr>
      <w:tr>
        <w:trPr>
          <w:trHeight w:val="135"/>
        </w:trPr>
        <w:tc>
          <w:tcPr>
            <w:tcW w:w="3320" w:type="dxa"/>
            <w:vAlign w:val="bottom"/>
          </w:tcPr>
          <w:p>
            <w:pPr>
              <w:jc w:val="center"/>
              <w:ind w:left="372"/>
              <w:spacing w:after="0"/>
              <w:rPr>
                <w:sz w:val="20"/>
                <w:szCs w:val="20"/>
                <w:color w:val="auto"/>
              </w:rPr>
            </w:pPr>
            <w:r>
              <w:rPr>
                <w:rFonts w:ascii="Times New Roman" w:cs="Times New Roman" w:eastAsia="Times New Roman" w:hAnsi="Times New Roman"/>
                <w:sz w:val="10"/>
                <w:szCs w:val="10"/>
                <w:i w:val="1"/>
                <w:iCs w:val="1"/>
                <w:color w:val="auto"/>
                <w:w w:val="96"/>
              </w:rPr>
              <w:t>Title of each class</w:t>
            </w:r>
          </w:p>
        </w:tc>
        <w:tc>
          <w:tcPr>
            <w:tcW w:w="3820" w:type="dxa"/>
            <w:vAlign w:val="bottom"/>
          </w:tcPr>
          <w:p>
            <w:pPr>
              <w:jc w:val="center"/>
              <w:ind w:left="52"/>
              <w:spacing w:after="0"/>
              <w:rPr>
                <w:sz w:val="20"/>
                <w:szCs w:val="20"/>
                <w:color w:val="auto"/>
              </w:rPr>
            </w:pPr>
            <w:r>
              <w:rPr>
                <w:rFonts w:ascii="Times New Roman" w:cs="Times New Roman" w:eastAsia="Times New Roman" w:hAnsi="Times New Roman"/>
                <w:sz w:val="10"/>
                <w:szCs w:val="10"/>
                <w:i w:val="1"/>
                <w:iCs w:val="1"/>
                <w:color w:val="auto"/>
                <w:w w:val="95"/>
              </w:rPr>
              <w:t>Trading symbol</w:t>
            </w:r>
          </w:p>
        </w:tc>
        <w:tc>
          <w:tcPr>
            <w:tcW w:w="4160" w:type="dxa"/>
            <w:vAlign w:val="bottom"/>
          </w:tcPr>
          <w:p>
            <w:pPr>
              <w:jc w:val="center"/>
              <w:ind w:right="1012"/>
              <w:spacing w:after="0"/>
              <w:rPr>
                <w:sz w:val="20"/>
                <w:szCs w:val="20"/>
                <w:color w:val="auto"/>
              </w:rPr>
            </w:pPr>
            <w:r>
              <w:rPr>
                <w:rFonts w:ascii="Times New Roman" w:cs="Times New Roman" w:eastAsia="Times New Roman" w:hAnsi="Times New Roman"/>
                <w:sz w:val="10"/>
                <w:szCs w:val="10"/>
                <w:i w:val="1"/>
                <w:iCs w:val="1"/>
                <w:color w:val="auto"/>
                <w:w w:val="95"/>
              </w:rPr>
              <w:t>Name of each exchange on which registered</w:t>
            </w:r>
          </w:p>
        </w:tc>
      </w:tr>
      <w:tr>
        <w:trPr>
          <w:trHeight w:val="135"/>
        </w:trPr>
        <w:tc>
          <w:tcPr>
            <w:tcW w:w="332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5"/>
              </w:rPr>
              <w:t>Common Stock, par value $0.01</w:t>
            </w:r>
          </w:p>
        </w:tc>
        <w:tc>
          <w:tcPr>
            <w:tcW w:w="382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8"/>
              </w:rPr>
              <w:t>NNBR</w:t>
            </w:r>
          </w:p>
        </w:tc>
        <w:tc>
          <w:tcPr>
            <w:tcW w:w="4160" w:type="dxa"/>
            <w:vAlign w:val="bottom"/>
          </w:tcPr>
          <w:p>
            <w:pPr>
              <w:jc w:val="center"/>
              <w:ind w:right="1012"/>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r>
        <w:trPr>
          <w:trHeight w:val="647"/>
        </w:trPr>
        <w:tc>
          <w:tcPr>
            <w:tcW w:w="33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r>
      <w:tr>
        <w:trPr>
          <w:trHeight w:val="111"/>
        </w:trPr>
        <w:tc>
          <w:tcPr>
            <w:tcW w:w="33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16" w:right="299" w:bottom="1440" w:gutter="0" w:footer="0" w:header="0"/>
          <w:type w:val="continuous"/>
        </w:sectPr>
      </w:pPr>
    </w:p>
    <w:bookmarkStart w:id="1" w:name="page2"/>
    <w:bookmarkEnd w:id="1"/>
    <w:p>
      <w:pPr>
        <w:ind w:right="60"/>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9600"/>
        <w:spacing w:after="0" w:line="138" w:lineRule="exact"/>
        <w:tabs>
          <w:tab w:leader="none" w:pos="1106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67" w:lineRule="exact"/>
        <w:rPr>
          <w:sz w:val="20"/>
          <w:szCs w:val="20"/>
          <w:color w:val="auto"/>
        </w:rPr>
      </w:pPr>
    </w:p>
    <w:p>
      <w:pPr>
        <w:spacing w:after="0" w:line="14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541655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445770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462915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669" w:right="39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64" w:lineRule="exact"/>
        <w:rPr>
          <w:sz w:val="20"/>
          <w:szCs w:val="20"/>
          <w:color w:val="auto"/>
        </w:rPr>
      </w:pPr>
    </w:p>
    <w:p>
      <w:pPr>
        <w:jc w:val="both"/>
        <w:ind w:right="40" w:firstLine="432"/>
        <w:spacing w:after="0" w:line="378" w:lineRule="auto"/>
        <w:rPr>
          <w:sz w:val="20"/>
          <w:szCs w:val="20"/>
          <w:color w:val="auto"/>
        </w:rPr>
      </w:pPr>
      <w:r>
        <w:rPr>
          <w:rFonts w:ascii="Times New Roman" w:cs="Times New Roman" w:eastAsia="Times New Roman" w:hAnsi="Times New Roman"/>
          <w:sz w:val="11"/>
          <w:szCs w:val="11"/>
          <w:color w:val="auto"/>
        </w:rPr>
        <w:t>NN, Inc., a Delaware corporation (the “Company”), will present at the 49th Annual Automtoive Symposium presented by Gabelli Funds (the “Conference”) on November 3, 2025. The Company posted an investor presentation on the "Investor Relations" page of the Company's website at https://investors.nninc.com/, which will be presented at the Conference, may be used with investors from time to time, and is included as Exhibit 99.1 to this Current Report.</w:t>
      </w:r>
    </w:p>
    <w:p>
      <w:pPr>
        <w:spacing w:after="0" w:line="7" w:lineRule="exact"/>
        <w:rPr>
          <w:sz w:val="20"/>
          <w:szCs w:val="20"/>
          <w:color w:val="auto"/>
        </w:rPr>
      </w:pPr>
    </w:p>
    <w:p>
      <w:pPr>
        <w:jc w:val="both"/>
        <w:ind w:right="40" w:firstLine="432"/>
        <w:spacing w:after="0" w:line="304"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under the Securities Act of 1933, as amended, or the Exchange Act, whether made before or after the date hereof, regardless of any general incorporation language in such filing.</w:t>
      </w:r>
    </w:p>
    <w:p>
      <w:pPr>
        <w:spacing w:after="0" w:line="43" w:lineRule="exact"/>
        <w:rPr>
          <w:sz w:val="20"/>
          <w:szCs w:val="20"/>
          <w:color w:val="auto"/>
        </w:rPr>
      </w:pPr>
    </w:p>
    <w:p>
      <w:pPr>
        <w:jc w:val="both"/>
        <w:ind w:right="40" w:firstLine="432"/>
        <w:spacing w:after="0" w:line="279" w:lineRule="auto"/>
        <w:rPr>
          <w:sz w:val="20"/>
          <w:szCs w:val="20"/>
          <w:color w:val="auto"/>
        </w:rPr>
      </w:pPr>
      <w:r>
        <w:rPr>
          <w:rFonts w:ascii="Times New Roman" w:cs="Times New Roman" w:eastAsia="Times New Roman" w:hAnsi="Times New Roman"/>
          <w:sz w:val="12"/>
          <w:szCs w:val="12"/>
          <w:color w:val="auto"/>
        </w:rPr>
        <w:t>The Company routinely uses its investor relations website (https://investors.nninc.com)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20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53"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140" w:type="dxa"/>
            <w:vAlign w:val="bottom"/>
          </w:tcPr>
          <w:p>
            <w:pPr>
              <w:spacing w:after="0"/>
              <w:rPr>
                <w:sz w:val="10"/>
                <w:szCs w:val="10"/>
                <w:color w:val="auto"/>
              </w:rPr>
            </w:pPr>
          </w:p>
        </w:tc>
      </w:tr>
      <w:tr>
        <w:trPr>
          <w:trHeight w:val="106"/>
        </w:trPr>
        <w:tc>
          <w:tcPr>
            <w:tcW w:w="200" w:type="dxa"/>
            <w:vAlign w:val="bottom"/>
          </w:tcPr>
          <w:p>
            <w:pPr>
              <w:spacing w:after="0"/>
              <w:rPr>
                <w:sz w:val="9"/>
                <w:szCs w:val="9"/>
                <w:color w:val="auto"/>
              </w:rPr>
            </w:pPr>
          </w:p>
        </w:tc>
        <w:tc>
          <w:tcPr>
            <w:tcW w:w="30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No.</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Description of Exhibit</w:t>
            </w:r>
          </w:p>
        </w:tc>
      </w:tr>
      <w:tr>
        <w:trPr>
          <w:trHeight w:val="20"/>
        </w:trPr>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51"/>
        </w:trPr>
        <w:tc>
          <w:tcPr>
            <w:tcW w:w="50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99.1</w:t>
            </w:r>
          </w:p>
        </w:tc>
        <w:tc>
          <w:tcPr>
            <w:tcW w:w="200" w:type="dxa"/>
            <w:vAlign w:val="bottom"/>
          </w:tcPr>
          <w:p>
            <w:pPr>
              <w:spacing w:after="0"/>
              <w:rPr>
                <w:sz w:val="13"/>
                <w:szCs w:val="13"/>
                <w:color w:val="auto"/>
              </w:rPr>
            </w:pPr>
          </w:p>
        </w:tc>
        <w:tc>
          <w:tcPr>
            <w:tcW w:w="1060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0000FF"/>
              </w:rPr>
              <w:t>Investor Presentation, dated November 3, 2025</w:t>
            </w:r>
          </w:p>
        </w:tc>
      </w:tr>
      <w:tr>
        <w:trPr>
          <w:trHeight w:val="20"/>
        </w:trPr>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60"/>
        </w:trPr>
        <w:tc>
          <w:tcPr>
            <w:tcW w:w="50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104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63"/>
        </w:trPr>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November 3, 2025</w:t>
      </w:r>
    </w:p>
    <w:p>
      <w:pPr>
        <w:spacing w:after="0" w:line="308" w:lineRule="exact"/>
        <w:rPr>
          <w:sz w:val="20"/>
          <w:szCs w:val="20"/>
          <w:color w:val="auto"/>
        </w:rPr>
      </w:pPr>
    </w:p>
    <w:tbl>
      <w:tblPr>
        <w:tblLayout w:type="fixed"/>
        <w:tblInd w:w="5460" w:type="dxa"/>
        <w:tblCellMar>
          <w:top w:w="0" w:type="dxa"/>
          <w:left w:w="0" w:type="dxa"/>
          <w:bottom w:w="0" w:type="dxa"/>
          <w:right w:w="0" w:type="dxa"/>
        </w:tblCellMar>
      </w:tblPr>
      <w:tr>
        <w:trPr>
          <w:trHeight w:val="159"/>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4820" w:type="dxa"/>
            <w:vAlign w:val="bottom"/>
          </w:tcPr>
          <w:p>
            <w:pPr>
              <w:spacing w:after="0"/>
              <w:rPr>
                <w:sz w:val="13"/>
                <w:szCs w:val="13"/>
                <w:color w:val="auto"/>
              </w:rPr>
            </w:pP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0"/>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55"/>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11300"/>
          </w:cols>
          <w:pgMar w:left="300" w:top="647" w:right="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2025-11-03T10:27:59Z</dcterms:created>
  <dcterms:modified xsi:type="dcterms:W3CDTF">2025-11-03T10:27:59Z</dcterms:modified>
</cp:coreProperties>
</file>