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269"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48"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608" w:gutter="0" w:footer="0" w:header="0"/>
        </w:sectPr>
      </w:pPr>
    </w:p>
    <w:p>
      <w:pPr>
        <w:ind w:left="46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314" w:right="239" w:bottom="608"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608" w:gutter="0" w:footer="0" w:header="0"/>
          <w:type w:val="continuous"/>
        </w:sect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529"/>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80" w:type="dxa"/>
            <w:vAlign w:val="bottom"/>
            <w:gridSpan w:val="3"/>
          </w:tcPr>
          <w:p>
            <w:pPr>
              <w:jc w:val="center"/>
              <w:ind w:right="1428"/>
              <w:spacing w:after="0"/>
              <w:rPr>
                <w:sz w:val="20"/>
                <w:szCs w:val="20"/>
                <w:color w:val="auto"/>
              </w:rPr>
            </w:pPr>
            <w:r>
              <w:rPr>
                <w:rFonts w:ascii="Arial" w:cs="Arial" w:eastAsia="Arial" w:hAnsi="Arial"/>
                <w:sz w:val="43"/>
                <w:szCs w:val="43"/>
                <w:b w:val="1"/>
                <w:bCs w:val="1"/>
                <w:color w:val="auto"/>
              </w:rPr>
              <w:t>NN, INC.</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980" w:type="dxa"/>
            <w:vAlign w:val="bottom"/>
            <w:gridSpan w:val="4"/>
          </w:tcPr>
          <w:p>
            <w:pPr>
              <w:jc w:val="center"/>
              <w:ind w:right="308"/>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340" w:type="dxa"/>
            <w:vAlign w:val="bottom"/>
          </w:tcPr>
          <w:p>
            <w:pPr>
              <w:spacing w:after="0"/>
              <w:rPr>
                <w:sz w:val="24"/>
                <w:szCs w:val="2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5"/>
          </w:tcPr>
          <w:p>
            <w:pPr>
              <w:jc w:val="right"/>
              <w:ind w:right="832"/>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11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20" w:type="dxa"/>
            <w:vAlign w:val="bottom"/>
            <w:gridSpan w:val="3"/>
          </w:tcPr>
          <w:p>
            <w:pPr>
              <w:jc w:val="center"/>
              <w:ind w:left="1120"/>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5"/>
        </w:trPr>
        <w:tc>
          <w:tcPr>
            <w:tcW w:w="4520" w:type="dxa"/>
            <w:vAlign w:val="bottom"/>
            <w:gridSpan w:val="3"/>
          </w:tcPr>
          <w:p>
            <w:pPr>
              <w:jc w:val="center"/>
              <w:ind w:left="1140"/>
              <w:spacing w:after="0"/>
              <w:rPr>
                <w:sz w:val="20"/>
                <w:szCs w:val="20"/>
                <w:color w:val="auto"/>
              </w:rPr>
            </w:pPr>
            <w:r>
              <w:rPr>
                <w:rFonts w:ascii="Arial" w:cs="Arial" w:eastAsia="Arial" w:hAnsi="Arial"/>
                <w:sz w:val="18"/>
                <w:szCs w:val="18"/>
                <w:b w:val="1"/>
                <w:bCs w:val="1"/>
                <w:color w:val="auto"/>
                <w:w w:val="89"/>
              </w:rPr>
              <w:t>2000 Waters Edge Drive</w:t>
            </w: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520" w:type="dxa"/>
            <w:vAlign w:val="bottom"/>
            <w:gridSpan w:val="3"/>
          </w:tcPr>
          <w:p>
            <w:pPr>
              <w:jc w:val="center"/>
              <w:ind w:left="1140"/>
              <w:spacing w:after="0"/>
              <w:rPr>
                <w:sz w:val="20"/>
                <w:szCs w:val="20"/>
                <w:color w:val="auto"/>
              </w:rPr>
            </w:pPr>
            <w:r>
              <w:rPr>
                <w:rFonts w:ascii="Arial" w:cs="Arial" w:eastAsia="Arial" w:hAnsi="Arial"/>
                <w:sz w:val="18"/>
                <w:szCs w:val="18"/>
                <w:b w:val="1"/>
                <w:bCs w:val="1"/>
                <w:color w:val="auto"/>
                <w:w w:val="83"/>
              </w:rPr>
              <w:t>Johnson City, Tennessee</w:t>
            </w:r>
          </w:p>
        </w:tc>
        <w:tc>
          <w:tcPr>
            <w:tcW w:w="2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37604</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520" w:type="dxa"/>
            <w:vAlign w:val="bottom"/>
            <w:gridSpan w:val="3"/>
          </w:tcPr>
          <w:p>
            <w:pPr>
              <w:jc w:val="center"/>
              <w:ind w:left="11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2"/>
          </w:tcPr>
          <w:p>
            <w:pPr>
              <w:jc w:val="center"/>
              <w:ind w:left="868"/>
              <w:spacing w:after="0"/>
              <w:rPr>
                <w:sz w:val="20"/>
                <w:szCs w:val="20"/>
                <w:color w:val="auto"/>
              </w:rPr>
            </w:pPr>
            <w:r>
              <w:rPr>
                <w:rFonts w:ascii="Arial" w:cs="Arial" w:eastAsia="Arial" w:hAnsi="Arial"/>
                <w:sz w:val="14"/>
                <w:szCs w:val="14"/>
                <w:b w:val="1"/>
                <w:bCs w:val="1"/>
                <w:color w:val="auto"/>
                <w:w w:val="89"/>
              </w:rPr>
              <w:t>(Zip Code)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6060" w:type="dxa"/>
            <w:vAlign w:val="bottom"/>
            <w:gridSpan w:val="5"/>
          </w:tcPr>
          <w:p>
            <w:pPr>
              <w:jc w:val="center"/>
              <w:ind w:left="617"/>
              <w:spacing w:after="0"/>
              <w:rPr>
                <w:sz w:val="20"/>
                <w:szCs w:val="20"/>
                <w:color w:val="auto"/>
              </w:rPr>
            </w:pPr>
            <w:r>
              <w:rPr>
                <w:rFonts w:ascii="Arial" w:cs="Arial" w:eastAsia="Arial" w:hAnsi="Arial"/>
                <w:sz w:val="18"/>
                <w:szCs w:val="18"/>
                <w:b w:val="1"/>
                <w:bCs w:val="1"/>
                <w:color w:val="auto"/>
                <w:w w:val="87"/>
              </w:rPr>
              <w:t>Registrant’s telephone number, including area code: (423) 743-9151</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2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40" w:type="dxa"/>
            <w:vAlign w:val="bottom"/>
            <w:vMerge w:val="restart"/>
          </w:tcPr>
          <w:p>
            <w:pPr>
              <w:ind w:left="1720"/>
              <w:spacing w:after="0"/>
              <w:rPr>
                <w:sz w:val="20"/>
                <w:szCs w:val="20"/>
                <w:color w:val="auto"/>
              </w:rPr>
            </w:pPr>
            <w:r>
              <w:rPr>
                <w:rFonts w:ascii="Arial" w:cs="Arial" w:eastAsia="Arial" w:hAnsi="Arial"/>
                <w:sz w:val="18"/>
                <w:szCs w:val="18"/>
                <w:b w:val="1"/>
                <w:bCs w:val="1"/>
                <w:color w:val="auto"/>
                <w:w w:val="76"/>
              </w:rPr>
              <w:t>Common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340" w:type="dxa"/>
            <w:vAlign w:val="bottom"/>
            <w:vMerge w:val="continue"/>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Stock, par value $.01</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83"/>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0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80" w:type="dxa"/>
            <w:vAlign w:val="bottom"/>
            <w:gridSpan w:val="3"/>
          </w:tcPr>
          <w:p>
            <w:pPr>
              <w:jc w:val="center"/>
              <w:ind w:right="1428"/>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80" w:type="dxa"/>
            <w:vAlign w:val="bottom"/>
            <w:gridSpan w:val="3"/>
          </w:tcPr>
          <w:p>
            <w:pPr>
              <w:jc w:val="center"/>
              <w:ind w:right="1408"/>
              <w:spacing w:after="0"/>
              <w:rPr>
                <w:sz w:val="20"/>
                <w:szCs w:val="20"/>
                <w:color w:val="auto"/>
              </w:rPr>
            </w:pPr>
            <w:r>
              <w:rPr>
                <w:rFonts w:ascii="Arial" w:cs="Arial" w:eastAsia="Arial" w:hAnsi="Arial"/>
                <w:sz w:val="14"/>
                <w:szCs w:val="14"/>
                <w:b w:val="1"/>
                <w:bCs w:val="1"/>
                <w:color w:val="auto"/>
                <w:w w:val="84"/>
              </w:rPr>
              <w:t>(Title of class)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52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500" w:type="dxa"/>
            <w:vAlign w:val="bottom"/>
            <w:gridSpan w:val="2"/>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314" w:right="239" w:bottom="608"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608"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608"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314" w:right="239" w:bottom="608" w:gutter="0" w:footer="0" w:header="0"/>
          <w:type w:val="continuous"/>
        </w:sectPr>
      </w:pPr>
    </w:p>
    <w:p>
      <w:pPr>
        <w:ind w:right="60"/>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2011, based on the closing price on the NASDAQ Stock Market LLC on that date was approximately $252,285,440.</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9, 2012 was 16,948,632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Portions of the Proxy Statement with respect to the 2011 Annual Meeting of Stockholders are incorporated by reference in Part III, Items 10 to 14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608"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this Annual Report on Form 10-K.</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Within the Metal Bearing Components Segment, we manufacture and supply high precision bearing components, consisting of balls, cylindrical rollers, tapered rollers, and metal retainers, for leading bearing manufacturers on a global basis. We are a leading independent manufacturer of precision steel bearing balls and rollers for the North American, European and Asian markets. In 2011, Metal Bearing Components accounted for 73% of total NN, Inc. sales. Sales of balls and rollers accounted for approximately 68% of our total net sales with 49% of sales from balls and 19% of sales from rollers. Sales of metal bearing retainers accounted for 5% of net sales. Through a series of acquisitions and plant expansions, we have built upon our strong core ball business and expanded our bearing component product offering. Today, we offer one of the industry’s most complete lines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automotive, electrical, agricultural, construction, machinery, and mining markets.</w:t>
      </w:r>
    </w:p>
    <w:p>
      <w:pPr>
        <w:spacing w:after="0" w:line="12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industrial and consumer applications. Finally, we also manufacture rubber seals for use in various automotive, industrial and mining applications. In 2011, plastic products accounted for 7% of net sales and rubber seals accounted for 3% of net sales.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Precision Metal Components Segment is comprised of the Whirlaway Corporation (“Whirlaway”). Whirlaway is a manufacturer of highly engineered, difficult to manufacture precision metal components and subassemblies for the automotive, HVAC, fluid power and diesel engine markets. Our entry into the precision metal components market from 2006 is part of our strategy to serve markets and customers we view as adjacent to bearing components that utilize our core manufacturing competencies. These products accounted for 17% of net sales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Metal Components Segment</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the segments is set forth in Note 12 of the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NN, originally organized in October 1980, is incorporated in Delaware. Our principal executive offices are located at 2000 Waters Edge Drive, Johnson City, Tennessee, and our telephone number is (423) 743-9151. Our website address is www.nnbr.com. Information contained on our website is not part of this Annual Report. Our annual report on Form 10-K, quarterly reports on Form 10-Q, current reports on Form 8-K and related amendments are available via a link to “SEC.gov” on our website under “Investor Relations.” Additionally, all required interactive data pursuant to Item 405 of Regulation S-T is posted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Precision Steel Balls</w:t>
      </w:r>
      <w:r>
        <w:rPr>
          <w:rFonts w:ascii="Arial" w:cs="Arial" w:eastAsia="Arial" w:hAnsi="Arial"/>
          <w:sz w:val="16"/>
          <w:szCs w:val="16"/>
          <w:color w:val="auto"/>
        </w:rPr>
        <w:t>. At our Metal Bearing Components Segment facilities (with the exception of our Veenendaal Plant), we manufacture and sell high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precision steel balls in sizes ranging in diameter from 5/32 of an inch (3.969 mm) to 2 5/8 inches (66.675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Sales of precision steel balls accounted for approximately 67%, 69%, and 73% of the Metal Bearing Components Segment net sales in 2011, 2010, and 2009, respectively.</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tapered rollers at our Veenendaal and Erwin Plants and cylindrical rollers at our Erwin Plant. Rollers are an alternative rolling</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 Tapered rollers accounted for approximately 21%, 14%, and 10% of the Metal Bearing Components Segment net sales in 2011, 2010 and 2009, respectively. Cylindrical rollers accounted for approximately 5%, 4% and 4% of the Metal Bearing Components Segment net sales in 2011, 2010, and 2009, respectively.</w:t>
      </w:r>
    </w:p>
    <w:p>
      <w:pPr>
        <w:spacing w:after="0" w:line="11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i w:val="1"/>
          <w:iCs w:val="1"/>
          <w:color w:val="auto"/>
        </w:rPr>
        <w:t xml:space="preserve">Metal Retainers. </w:t>
      </w:r>
      <w:r>
        <w:rPr>
          <w:rFonts w:ascii="Arial" w:cs="Arial" w:eastAsia="Arial" w:hAnsi="Arial"/>
          <w:sz w:val="16"/>
          <w:szCs w:val="16"/>
          <w:color w:val="auto"/>
        </w:rPr>
        <w:t>We manufacture and sell precision metal retainers for roller bearings used in a wide variety of industrial applications. Retainers are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and space the rolling elements (rollers) within a fully assembled bearing. We manufacture metal retainers at our Veenendaal Plant.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 injection</w:t>
      </w:r>
      <w:r>
        <w:rPr>
          <w:rFonts w:ascii="Arial" w:cs="Arial" w:eastAsia="Arial" w:hAnsi="Arial"/>
          <w:sz w:val="18"/>
          <w:szCs w:val="18"/>
          <w:i w:val="1"/>
          <w:iCs w:val="1"/>
          <w:color w:val="auto"/>
        </w:rPr>
        <w:t xml:space="preserve"> </w:t>
      </w:r>
      <w:r>
        <w:rPr>
          <w:rFonts w:ascii="Arial" w:cs="Arial" w:eastAsia="Arial" w:hAnsi="Arial"/>
          <w:sz w:val="18"/>
          <w:szCs w:val="18"/>
          <w:color w:val="auto"/>
        </w:rPr>
        <w:t>molding processes and adhesion technologies to create rubber-to-metal bonded bearing seals. The seals are used in applications for automotive, industrial, agricultural and mining markets.</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i w:val="1"/>
          <w:iCs w:val="1"/>
          <w:color w:val="auto"/>
        </w:rPr>
        <w:t xml:space="preserve">Plastic Retainers. </w:t>
      </w:r>
      <w:r>
        <w:rPr>
          <w:rFonts w:ascii="Arial" w:cs="Arial" w:eastAsia="Arial" w:hAnsi="Arial"/>
          <w:sz w:val="16"/>
          <w:szCs w:val="16"/>
          <w:color w:val="auto"/>
        </w:rPr>
        <w:t>At our Lubbock Plant, we manufacture and sell precision plastic retainers for ball and roller bearings used in a wide variety of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Retainers are used to separate and space the rolling elements (balls or rollers) within a fully assembled bearing.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right="1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Precision Plastic Components. </w:t>
      </w:r>
      <w:r>
        <w:rPr>
          <w:rFonts w:ascii="Arial" w:cs="Arial" w:eastAsia="Arial" w:hAnsi="Arial"/>
          <w:sz w:val="18"/>
          <w:szCs w:val="18"/>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industrial and consumer parts.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Precision Metal Components</w:t>
      </w:r>
      <w:r>
        <w:rPr>
          <w:rFonts w:ascii="Arial" w:cs="Arial" w:eastAsia="Arial" w:hAnsi="Arial"/>
          <w:sz w:val="18"/>
          <w:szCs w:val="18"/>
          <w:color w:val="auto"/>
        </w:rPr>
        <w:t>. We sell a wide range of highly engineered precision metal components and subassemblies. The precision metal components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highly engineered shafts, mechanical components, fluid system components and complex precision assembled and tested parts. The products are used in the following end markets: automotive, HVAC, fluid power and diesel engine.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amounts spent on research and development activities by us during each of the last three fiscal years are not material and are expensed as incurred.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Our products are supplied primarily to bearing manufacturers and automotive and industrial parts manufacturers for use in a broad range of industrial applications, including automotive, electrical, agricultural, construction, machinery and mining. Additionally, we supply precision metal, rubber, and plastic components to automotive and industrial companies that are not used in bearing assemblies. We supply approximately 400 customers; however, our top ten customers account for approximately 76%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38% of net sales in 2011. In 2011, 40% of our products were sold to customers in North America, 46% to customers in Europe, 10% to customers in Asia and the remaining 4% to customers in South America.</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 Components Segment, we maintain a computerized, bar coded inventory management system with certain of our major customers that enables us to determine on a day-to-day basis the amount of these components remaining in a customer’s inventory. When such inventories fall below certain levels, additional product is automatically shipped.</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2011, the Metal Bearing Components Segment sold products to approximately 250 customers located in 30 different countries. Approximately 87% of the net sales in 2011 were to customers outside the United States. Approximately 61% of net sales in 2011 were to customers within Europe. Sales to our top ten customers accounted for approximately 87% of the net sales in 2011.</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2011, the Plastic and Rubber Components Segment sold its products to over 100 customers located principally in North America. Approximately 15% of the Plastic and Rubber Components Segment’s net sales were to customers outside the United States, with the majority of those sales to customers in Mexico, Canada &amp; Asia. Sales to the segment’s top ten customers accounted for approximately 66% of the segment’s net sales in 2011.</w:t>
      </w:r>
    </w:p>
    <w:p>
      <w:pPr>
        <w:spacing w:after="0" w:line="107"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During 2011, the Precision Metal Components Segment sold its products to 15 customers located in four countries. Approximately 89% of all sales were to customers located within the United States. Sales to the segment’s top ten customers accounted for approximately 96% of the segment’s net sales in 2011.</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a breakdown of our net sales for fiscal years 2011, 2010 and 2009:</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Metal Bearing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$308,883</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$271,339</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$183,605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72.7%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74.3%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Precision Metal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72,272</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54,913</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17.0%</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440"/>
              <w:spacing w:after="0"/>
              <w:rPr>
                <w:sz w:val="20"/>
                <w:szCs w:val="20"/>
                <w:color w:val="auto"/>
              </w:rPr>
            </w:pPr>
            <w:r>
              <w:rPr>
                <w:rFonts w:ascii="Arial" w:cs="Arial" w:eastAsia="Arial" w:hAnsi="Arial"/>
                <w:sz w:val="18"/>
                <w:szCs w:val="18"/>
                <w:color w:val="auto"/>
              </w:rPr>
              <w:t>Percentage of Total Sales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424,691</w:t>
            </w: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365,369</w:t>
            </w: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259,383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0"/>
              <w:spacing w:after="0"/>
              <w:rPr>
                <w:sz w:val="20"/>
                <w:szCs w:val="20"/>
                <w:color w:val="auto"/>
              </w:rPr>
            </w:pPr>
            <w:r>
              <w:rPr>
                <w:rFonts w:ascii="Arial" w:cs="Arial" w:eastAsia="Arial" w:hAnsi="Arial"/>
                <w:sz w:val="18"/>
                <w:szCs w:val="18"/>
                <w:color w:val="auto"/>
              </w:rPr>
              <w:t>Percentage of Total Sales</w:t>
            </w: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change in value of Euro denominated sales resulted in net sales increasing $11.1 million in 2011 and decreasing $10.7 million in 2010 compared to the prior years when converted to U.S.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primary emphasis of our marketing strategy is to expand key customer relationships by offering high quality, high precision products with the value of a single supply chain partner for a wide variety of components.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and the Plastics and Rubber Components Segment, the current sales structure consists of using a direct sale force supported by senior segment management and engineering involvement with manufacturers’ representatives utilized to supplement our direct sales force.</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Metal Bearing Components Segment marketing strategy focuses on increasing our outsourcing relationships with global bearing manufacturers that maintain captive (in house) bearing component manufacturing operations. Our marketing strategy for the Plastic and Rubber Components Segment and the Precision Metal Components Segment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load sizes, and process technology, we are able to produce large volumes of products cost competitively, while maintaining high quality standards.</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key to our high quality production of seals and retainers is the incorporation of customized engineering into our manufacturing processes, metal to rubber bonding competencies and experience with a broad range of engineered resins and custom polymers. This design process includes the testing and quality assessment of each product.</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Within the precision metal components industry, we are well positioned in the market by virtue of our focus on highly engineered, difficult to manufacture critical components, product development and component subassemblies.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2011, we employed a total of 1,895 full-time employees and 259 full time equivalent temporary workers. The following numbers are for full time employees only. Our Metal Bearing Components Segment employed 285 in the U.S., 732 in Europe and 134 in China; our Plastic and Rubber Components Segment employed 279, all in the U.S.; and our Precision Metal Components Segment employed 459, all in the U.S. In addition, there were six employees at our corporate headquarters. Of our total employment, 17% are management/staff employees and 83%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at the Pinerolo and Veenendaal Plants are unionized. We have excellent employee relations throughout NN and we have never experienced any significant involuntary work stoppages.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Metal Bearing Components Segment of our business is intensely competitive. Our primary domestic competitor is Hoover Precision Products, Inc., a wholly owned U.S. subsidiary of Tsubakimoto Precision Products Co. Ltd. Our primary foreign competitors are Amatsuji Steel Ball Manufacturing Company, Ltd. (Japan), a wholly owned division of NSK LTD., Tsubaki Nakashima Co., LTD (Japan) and Jiangsu General Ball and Roller Co., LTD (China).</w:t>
      </w:r>
    </w:p>
    <w:p>
      <w:pPr>
        <w:spacing w:after="0" w:line="10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C&amp;J Industries are among the main competitors in the precision plastic components markets.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0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Freudenburg-NOK, Trelleborg, Trostel, and Uchiyama.</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outside competitors are Linamar, Stanadyne, A. Berger, C&amp;A Tool, American Turned Products, Camcraft and Autocam. We generally win new business on the basis of technical competence and our proven track record of successful product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Our other steel requirements include metal strip, stainless steel, and type S2 rock bit steel.</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Metal Bearing Components Segment businesses purchase substantially all of their 52100 Steel requirements from suppliers in Europe and Japan and all of their metal strip requirements from European suppliers and traders. The principal suppliers of 52100 Steel for our U.S. businesses are Daido Steel (Japan), Kobe Steel (Japan), Lucchini (affiliate of Ascometal France) and Ohio Star Forge Co. The principal suppliers of 52100 Steel for our European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businesses are Ascometal (France), Ovako, Kobe Steel (Japan) and Daido Steel (Japan) while the principal suppliers of metal strip are Thyssen and Theis. If any of our current suppliers were unable to supply 52100 Steel to us, we cannot provide assurances that we would not face higher costs or production interruptions as a result of obtaining 52100 Steel from alternate sources.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purchase steel on the basis of composition, quality, availability and price. For precision steel balls, the pricing arrangements with our suppliers are typically subject to adjustment every three to six months in the U.S. and contractually adjusted on an annual basis within the European locations for the base steel price and quarterly for surcharge adjustments. In general, we do not enter into written supply agreements with suppliers or commit to maintain minimum monthly purchases of steel except for the year to year supply arrangement between Ascometal and the European operations of our Metal Bearing Components Segment.</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143"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The Metal Bearing Components Segment has historically been affected by upward price pressure on steel principally due to general increases in global demand and due to global increased consumption of steel. In general, we pass through material cost fluctuations to our customers in the form of changes in selling price.</w:t>
      </w:r>
    </w:p>
    <w:p>
      <w:pPr>
        <w:spacing w:after="0" w:line="6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For the Plastic and Rubber Components Segment, we base purchase decisions on quality, service and price. Generally, we do not enter into written supply contracts with our suppliers or commit to maintain minimum monthly purchases of resins, rubber compounds or metal stampings.</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and foreign suppliers.</w:t>
      </w:r>
    </w:p>
    <w:p>
      <w:pPr>
        <w:spacing w:after="0" w:line="14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Precision Metal Components Segment produces products from a wide variety of metals in various forms from various sources.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Kysucke Plant, the Veenendaal Plant, the Pinerolo Plant and Kunshan Plant are ISO 14000 or 14001 certified and all received the EPD (Environmental Product Declaration), except for the Veenendaal Plant’s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stamped metal parts business. 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 We maintain long-term environmental insurance covering the four manufacturing locations purchased with the Whirlaway acquisition (two of which have ceased operations). We are currently a potentially responsible party of a remedial action at a former waste recycling facility used by us. See Item 3 and Note 15 of the 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2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850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700" w:type="dxa"/>
            <w:vAlign w:val="bottom"/>
            <w:gridSpan w:val="2"/>
          </w:tcPr>
          <w:p>
            <w:pPr>
              <w:spacing w:after="0" w:line="195" w:lineRule="exact"/>
              <w:rPr>
                <w:sz w:val="20"/>
                <w:szCs w:val="20"/>
                <w:color w:val="auto"/>
              </w:rPr>
            </w:pPr>
            <w:r>
              <w:rPr>
                <w:rFonts w:ascii="Arial" w:cs="Arial" w:eastAsia="Arial" w:hAnsi="Arial"/>
                <w:sz w:val="18"/>
                <w:szCs w:val="18"/>
                <w:color w:val="auto"/>
              </w:rPr>
              <w:t>Roderick R. Baty</w:t>
            </w:r>
          </w:p>
        </w:tc>
        <w:tc>
          <w:tcPr>
            <w:tcW w:w="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6"/>
                <w:szCs w:val="16"/>
                <w:color w:val="auto"/>
              </w:rPr>
            </w:pPr>
          </w:p>
        </w:tc>
        <w:tc>
          <w:tcPr>
            <w:tcW w:w="8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 Managing Director, Metal Bearing Components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w w:val="90"/>
              </w:rPr>
              <w:t>Senior Vice President – Corporate Development and Chief Financial Officer, General Manager Plastic and Rubber</w:t>
            </w:r>
          </w:p>
        </w:tc>
      </w:tr>
      <w:tr>
        <w:trPr>
          <w:trHeight w:val="216"/>
        </w:trPr>
        <w:tc>
          <w:tcPr>
            <w:tcW w:w="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Components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Thomas C. Burwell</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Vice President – Chief Accounting Officer and Corporate Controller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C. Kelly, Jr.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Vice President – General Manager, U.S. Ball and Roller and NN Asia Divisions</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500" w:type="dxa"/>
            <w:vAlign w:val="bottom"/>
            <w:gridSpan w:val="2"/>
          </w:tcPr>
          <w:p>
            <w:pPr>
              <w:ind w:left="220"/>
              <w:spacing w:after="0"/>
              <w:rPr>
                <w:sz w:val="20"/>
                <w:szCs w:val="20"/>
                <w:color w:val="auto"/>
              </w:rPr>
            </w:pPr>
            <w:r>
              <w:rPr>
                <w:rFonts w:ascii="Arial" w:cs="Arial" w:eastAsia="Arial" w:hAnsi="Arial"/>
                <w:sz w:val="18"/>
                <w:szCs w:val="18"/>
                <w:color w:val="auto"/>
              </w:rPr>
              <w:t>Vice President – General Manager, Precision Metal Components Division</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Frank T. Gentry, III, was appointed Vice President – Managing Director Metal Bearing Components Division in April 2009 and promoted to Senior Vice President in May 2010. Prior to that, Mr. Gentry was Vice President – General Manager U.S. Ball and Roller Division from August 1995. Mr. Gentry joined NN in 1981 and held various manufacturing management positions within NN from 1981 to August 1995.</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James H. Dorton joined NN as Vice President of Corporate Development and Chief Financial Officer in June 2005. In May 2010, he was promoted to Senior Vice President. In January 2012, Mr. Dorton assumed the additional responsibility of General Manager of the Plastic and Rubber Components Segment of NN.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Thomas C. Burwell joined NN as Corporate Controller in September 2005. He was promoted to Vice President Chief Accounting Officer and Corporate Controller in 2011.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PricewaterhouseCoopers LLP.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Jeffrey H. Hodge joined NN in 1989 and has served various roles including Operations Manager, Plant Manager and Corporate Manager of Level 3 (Lean Enterprise, Six Sigma, TPM) from 2003 to 2009 before accepting his current role in 2009 as Vice President and General Manager of U.S. Ball &amp; Roller and NN Asia Divisions. Prior to joining NN, Mr. Hodge was a member of the U.S. military from 1985 to 1989.</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James R. Widders was named Vice President and General Manager of the Precision Metal Components Division on December 15, 2010. Mr. Widders had 13 years of service at Whirlaway prior to its acquisition by NN. Prior to joining NN, he served as Vice President and General Manager at Technifab, Inc. a manufacturer of molded foam components for the Aerospace industry and in various management positions with GE Superabrasives, a division of General Electric.</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The following are risk factors that affect our business,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financial condition, results of operations or cash flows could be adversely affected and results could differ materially from expected and historical results.</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 large portion of our capital structure is in the form of debt. As such, we continue to heavily rely on our current lenders as a major source of long term capital.</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dependent on the continued provision of financing from our revolving credit lenders and our senior notes lenders for a major portion of our capital structure. As such we must continually meet our existing financial and non-financial covenants or risk potentially default. In the event of default, the degree to which our current lenders and/or potential future lenders will continue to lend to us will depend in large part on our results from operations and near term business prospects at the time of the default.</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recession impacting both U.S. and Europe on automotive and industrial markets once again could have a material adverse effect on our ability to finance our operations and implement our growth strategy.</w:t>
      </w:r>
    </w:p>
    <w:p>
      <w:pPr>
        <w:spacing w:after="0" w:line="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three month period ended December 31, 2008 and the year ended December 31, 2009, we experienced a sudden and significant reduction in customer orders driven by reductions in automotive and industrial end market demand across all our businesses. Prior to this time, our company had never been affected by a recession that had impacted both of our key geographic markets of the U.S. and Europe simultaneously. If we are impacted by a global recession in the future, this could have a material adverse effect on our financial condition, results of operations and cash flows from operations and could lead to additional restructuring and/or impairment charges being incurred.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 Additionally, inflation in oil and the resulting higher gasoline prices could have a negative impact on demand for our products as a result of consumer and corporate spending reductions.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depend on a very limited number of foreign sources for our primary raw material and are subject to risks of shortages and price fluctuation.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Segment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12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Increases in the market demand for steel can have the impact of increasing scrap surcharges we pay in procuring our steel in the form of higher unit prices and could adversely impact the availability of steel. Our commercial terms with key customers allow us to pass along steel price fluctuations through changing the customers’ selling prices.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Sales to various U.S. and foreign divisions of SKF, one of the largest bearing manufacturers in the world, accounted for approximately 38% of consolidated net sales in 2011. No other customers accounted for more than 10% of sales. During 2011, sales to various U.S. and foreign divisions of our ten largest customers accounted for approximately 76% of our consolidated net sales. The loss of all or a substantial portion of sales to these customers would cause us to lose a substantial portion of our revenue and would lower our operating profit margin and cash flows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and sell products to customers outside the U.S. and are subject to several risks related to doing business internationally.</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7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be lower than in the other quarters of the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of our product could result in a product recall.</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To partially mitigate these risks, we carry limited product recall insurance and have invested heavily in the TS16949 quality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 portion of our future growth objectives, with the remainder resulting from organic growth and increased market penetration.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5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price of our common stock may be volatile.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recession or other macro-economic factors;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earnings (loss) per share, net income (loss) and revenues;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declare and pay a dividend.</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during 2008 we adopted a shareholder’s rights plan, which expired in December 2011, intended to deter coercive or unfair takeover tactics and prevent an acquirer from gaining control of the company at less than fair value. The plan gave existing shareholders the right to purchase Junior Participating Preferred Stock of the Company once and only if the acquirer obtained 15% of our common stock.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manufacturing plants for each of our segments are listed below. In addition, we lease a portion of a small office building in Johnson City, Tennessee which serves as our corporate offices.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436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Approximate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6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4"/>
                <w:szCs w:val="14"/>
                <w:color w:val="auto"/>
                <w:w w:val="89"/>
              </w:rPr>
              <w:t>Country</w:t>
            </w:r>
          </w:p>
        </w:tc>
        <w:tc>
          <w:tcPr>
            <w:tcW w:w="1180" w:type="dxa"/>
            <w:vAlign w:val="bottom"/>
            <w:gridSpan w:val="2"/>
          </w:tcPr>
          <w:p>
            <w:pPr>
              <w:jc w:val="center"/>
              <w:ind w:right="460"/>
              <w:spacing w:after="0" w:line="146" w:lineRule="exact"/>
              <w:rPr>
                <w:sz w:val="20"/>
                <w:szCs w:val="20"/>
                <w:color w:val="auto"/>
              </w:rPr>
            </w:pPr>
            <w:r>
              <w:rPr>
                <w:rFonts w:ascii="Arial" w:cs="Arial" w:eastAsia="Arial" w:hAnsi="Arial"/>
                <w:sz w:val="14"/>
                <w:szCs w:val="14"/>
                <w:color w:val="auto"/>
                <w:w w:val="83"/>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Erwin Plant</w:t>
            </w: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U.S.A.</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125,000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U.S.A.</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86,000</w:t>
            </w: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Kilkenny Plant (non-operating)</w:t>
            </w:r>
          </w:p>
        </w:tc>
        <w:tc>
          <w:tcPr>
            <w:tcW w:w="16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Ireland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125,000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Italy</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Kysucke Plant</w:t>
            </w:r>
          </w:p>
        </w:tc>
        <w:tc>
          <w:tcPr>
            <w:tcW w:w="16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Slovakia</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135,000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The Netherlands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159,000</w:t>
            </w: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Kunshan Plant Phase I</w:t>
            </w:r>
          </w:p>
        </w:tc>
        <w:tc>
          <w:tcPr>
            <w:tcW w:w="1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China</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110,000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Kunshan Plant Phase II (not yet in operation)</w:t>
            </w: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China</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75,000</w:t>
            </w:r>
          </w:p>
        </w:tc>
        <w:tc>
          <w:tcPr>
            <w:tcW w:w="4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Kunshan Plant leases are accounted for as a capital lease and we have an option to purchase the facilities at various points in the future. Production at the Kilkenny Plant ceased on February 6, 2009 and was moved to other European Metal Bearing Components operations. The Kilkenny property is being made ready for sale with any expected sale to occur later than a year from the date of this report. As such, the property is still considered to be held and used for which the carrying value at December 31, 2011 approximates its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60" w:type="dxa"/>
            <w:vAlign w:val="bottom"/>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4920" w:type="dxa"/>
            <w:vAlign w:val="bottom"/>
            <w:gridSpan w:val="2"/>
            <w:vMerge w:val="restart"/>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Approximate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4920" w:type="dxa"/>
            <w:vAlign w:val="bottom"/>
            <w:gridSpan w:val="2"/>
            <w:vMerge w:val="continue"/>
          </w:tcPr>
          <w:p>
            <w:pPr>
              <w:spacing w:after="0"/>
              <w:rPr>
                <w:sz w:val="14"/>
                <w:szCs w:val="14"/>
                <w:color w:val="auto"/>
              </w:rPr>
            </w:pPr>
          </w:p>
        </w:tc>
        <w:tc>
          <w:tcPr>
            <w:tcW w:w="108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Country</w:t>
            </w:r>
          </w:p>
        </w:tc>
        <w:tc>
          <w:tcPr>
            <w:tcW w:w="11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3"/>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Danielson Plant</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U.S.A.</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50,000</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Lubbock Plant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228,000</w:t>
            </w:r>
          </w:p>
        </w:tc>
        <w:tc>
          <w:tcPr>
            <w:tcW w:w="4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331"/>
        </w:trPr>
        <w:tc>
          <w:tcPr>
            <w:tcW w:w="7300" w:type="dxa"/>
            <w:vAlign w:val="bottom"/>
            <w:gridSpan w:val="4"/>
          </w:tcPr>
          <w:p>
            <w:pPr>
              <w:spacing w:after="0"/>
              <w:rPr>
                <w:sz w:val="20"/>
                <w:szCs w:val="20"/>
                <w:color w:val="auto"/>
              </w:rPr>
            </w:pPr>
            <w:r>
              <w:rPr>
                <w:rFonts w:ascii="Arial" w:cs="Arial" w:eastAsia="Arial" w:hAnsi="Arial"/>
                <w:sz w:val="18"/>
                <w:szCs w:val="18"/>
                <w:color w:val="auto"/>
              </w:rPr>
              <w:t>Precision Metal Components Segment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w w:val="93"/>
              </w:rPr>
              <w:t>Manufacturing Operation</w:t>
            </w:r>
          </w:p>
        </w:tc>
        <w:tc>
          <w:tcPr>
            <w:tcW w:w="320" w:type="dxa"/>
            <w:vAlign w:val="bottom"/>
            <w:tcBorders>
              <w:top w:val="single" w:sz="8" w:color="auto"/>
            </w:tcBorders>
            <w:vMerge w:val="restart"/>
          </w:tcPr>
          <w:p>
            <w:pPr>
              <w:spacing w:after="0"/>
              <w:rPr>
                <w:sz w:val="24"/>
                <w:szCs w:val="24"/>
                <w:color w:val="auto"/>
              </w:rPr>
            </w:pPr>
          </w:p>
        </w:tc>
        <w:tc>
          <w:tcPr>
            <w:tcW w:w="4600" w:type="dxa"/>
            <w:vAlign w:val="bottom"/>
            <w:vMerge w:val="restart"/>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Approximate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08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Country</w:t>
            </w:r>
          </w:p>
        </w:tc>
        <w:tc>
          <w:tcPr>
            <w:tcW w:w="11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3"/>
              </w:rPr>
              <w:t>Sq. Feet</w:t>
            </w:r>
          </w:p>
        </w:tc>
        <w:tc>
          <w:tcPr>
            <w:tcW w:w="960" w:type="dxa"/>
            <w:vAlign w:val="bottom"/>
          </w:tcPr>
          <w:p>
            <w:pPr>
              <w:jc w:val="center"/>
              <w:spacing w:after="0" w:line="146" w:lineRule="exact"/>
              <w:rPr>
                <w:sz w:val="20"/>
                <w:szCs w:val="20"/>
                <w:color w:val="auto"/>
              </w:rPr>
            </w:pPr>
            <w:r>
              <w:rPr>
                <w:rFonts w:ascii="Arial" w:cs="Arial" w:eastAsia="Arial" w:hAnsi="Arial"/>
                <w:sz w:val="14"/>
                <w:szCs w:val="14"/>
                <w:color w:val="auto"/>
                <w:w w:val="86"/>
              </w:rPr>
              <w:t>Owned or Leased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Wellington Plant 1</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U.S.A.</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86,000</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Wellington Plant 2</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132,000</w:t>
            </w:r>
          </w:p>
        </w:tc>
        <w:tc>
          <w:tcPr>
            <w:tcW w:w="4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Wellington Plants are leased from a company controlled by the former owner of Whirlaway Corporation, who was an officer of NN until September 1, 2011 (see Note 20 of the Notes to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see “Management’s Discussion and Analysis of Financial Condition and Results of Operations — Liquidity and Capital Resources.”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 million of which our allocated share is approximately $0.1 million which has been fully accrued for as of December 31, 2011. While there can be no assurances, we believe that the $0.1 million is the maximum amount for which we will be liable under the tentatively accepted remediation plan.</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this subsidiary, NN deconsolidated the assets and liabilities of Eltmann on our Consolidated Financial Statements effective January 20, 2011.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(See Note 1 of Notes to Consolidated Financial Statements).</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9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Our common stock is traded on The NASDAQ Stock Market LLC (“NASDAQ”) under the trading symbol “NNBR.” As of March 9, 2012, there were approximately 3,500 holders of the common stock and the closing per share stock price as reported by NASDAQ was $8.44.</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We did not pay any dividends on the common stock during 2011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30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2011</w:t>
            </w:r>
          </w:p>
        </w:tc>
        <w:tc>
          <w:tcPr>
            <w:tcW w:w="234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4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18.53</w:t>
            </w:r>
          </w:p>
        </w:tc>
        <w:tc>
          <w:tcPr>
            <w:tcW w:w="5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11.81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2010</w:t>
            </w: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60" w:type="dxa"/>
            <w:vAlign w:val="bottom"/>
          </w:tcPr>
          <w:p>
            <w:pPr>
              <w:jc w:val="right"/>
              <w:ind w:right="26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ind w:right="3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graph compares the cumulative total shareholder return on our common stock (consisting of stock price performance and reinvested dividends) from December 31, 2006 with the cumulative total return (assuming reinvestment of all dividends) of (i) the Value Line Machinery Index (“Machinery”) and</w:t>
      </w:r>
    </w:p>
    <w:p>
      <w:pPr>
        <w:ind w:right="120" w:firstLine="8"/>
        <w:spacing w:after="0" w:line="295"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Standard &amp; Poor’s 500 Stock Index, for the period December 31, 2006 through December 31, 2011.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2006. We cannot assure you that the performance of the common stock will continue in the future with the same or similar trend depicted on the graph.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238760</wp:posOffset>
            </wp:positionV>
            <wp:extent cx="5574030" cy="3524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Cumulative total return assumes reinvestment of dividends.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Cumulative Return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70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2"/>
              </w:rPr>
              <w:t>12/31/2007</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12/31/2008</w:t>
            </w:r>
          </w:p>
        </w:tc>
        <w:tc>
          <w:tcPr>
            <w:tcW w:w="20" w:type="dxa"/>
            <w:vAlign w:val="bottom"/>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12/31/2009</w:t>
            </w:r>
          </w:p>
        </w:tc>
        <w:tc>
          <w:tcPr>
            <w:tcW w:w="3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12/31/2010</w:t>
            </w:r>
          </w:p>
        </w:tc>
        <w:tc>
          <w:tcPr>
            <w:tcW w:w="3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12/31/2011</w:t>
            </w:r>
          </w:p>
        </w:tc>
        <w:tc>
          <w:tcPr>
            <w:tcW w:w="100" w:type="dxa"/>
            <w:vAlign w:val="bottom"/>
          </w:tcPr>
          <w:p>
            <w:pPr>
              <w:spacing w:after="0"/>
              <w:rPr>
                <w:sz w:val="13"/>
                <w:szCs w:val="13"/>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NN,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Standard &amp; Poors 500</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105.49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66.46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84.04</w:t>
            </w:r>
          </w:p>
        </w:tc>
        <w:tc>
          <w:tcPr>
            <w:tcW w:w="620" w:type="dxa"/>
            <w:vAlign w:val="bottom"/>
          </w:tcPr>
          <w:p>
            <w:pPr>
              <w:jc w:val="right"/>
              <w:spacing w:after="0"/>
              <w:rPr>
                <w:sz w:val="20"/>
                <w:szCs w:val="20"/>
                <w:color w:val="auto"/>
              </w:rPr>
            </w:pPr>
            <w:r>
              <w:rPr>
                <w:rFonts w:ascii="Arial" w:cs="Arial" w:eastAsia="Arial" w:hAnsi="Arial"/>
                <w:sz w:val="18"/>
                <w:szCs w:val="18"/>
                <w:color w:val="auto"/>
              </w:rPr>
              <w:t>96.70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During the fourth quarter of 2008, we suspended our historic quarterly dividend in order to enhance our liquidity due to the global recession. As of the date of this report, no dividend has been reinstated by our Board of Directors.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2011 Annual Report on Form 10-K for information required by Item 201 (d) of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notes thereto.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424,691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365,369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259,383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424,837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products sold (exclusive of depreciation shown separately below)</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347,622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235,466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344,685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6"/>
              </w:rPr>
              <w:t>Restructuring and impairment charges, excluding goodwill impairment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(31,012)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(21,824)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(37,624)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(26,177)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(35,334)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(17,642)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Diluted income (loss)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80" w:type="dxa"/>
            <w:vAlign w:val="bottom"/>
            <w:vMerge w:val="restart"/>
          </w:tcPr>
          <w:p>
            <w:pPr>
              <w:jc w:val="right"/>
              <w:ind w:right="1192"/>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As of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2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Current assets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$124,025</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$ 115,670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$ 98,283</w:t>
            </w:r>
          </w:p>
        </w:tc>
        <w:tc>
          <w:tcPr>
            <w:tcW w:w="2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$124,621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$138,024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73,041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68,489</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63,355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259,461</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248,555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242,652</w:t>
            </w:r>
          </w:p>
        </w:tc>
        <w:tc>
          <w:tcPr>
            <w:tcW w:w="2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284,040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71,629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77,558</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90,172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Stockholders’ equity</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99,676</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78,107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tcPr>
          <w:p>
            <w:pPr>
              <w:spacing w:after="0"/>
              <w:rPr>
                <w:sz w:val="19"/>
                <w:szCs w:val="19"/>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109,759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During the year ended December 31, 2011, the results were impacted by certain items including $5.0 million in additional start-up costs from new multi-year sales programs (all in our Precision Metals Components Segment) and $0.8 million in a one-time tax benefit from removing valuation allowances on certain deferred tax assets in Europe. See “Management’s Discussion and Analysis of Financial Condition and Results of Operations” for more information.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year ended December 31, 2010, the results were impacted by certain items including $4.5 million from NN ceasing operations at the Tempe plant, $3.0 million in start-up costs from new multi-year sales programs (both in our Precision Metals Components Segment) and $1.1 million in costs related to the elimination of certain senior management positions. See “Management’s Discussion and Analysis of Financial Condition and Results of Operations” for more information.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year ended December 31, 2009, the operating results were significantly impacted by the effects of the global recession and related destocking by our customers as our sales decreased 37%, excluding foreign exchange effects, from the year ended December 31, 2008. Additionally, we incurred $5.0 million in restructuring and impairment charges related to two plant closures and a reduction in force at another manufacturing location. See “Management’s Discussion and Analysis of Financial Condition and Results of Operations” for more information.</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For the year ended December 31, 2008, goodwill, certain intangible assets, and certain tangible assets were subject to impairment charges of $38,371 ($24,402 after tax). In addition, restructuring charges of $2,247 ($2,247 after tax) and impairment charges of $1,447 ($1,447 after tax) on long lived assets were recorded related to the closure of the Kilkenny Plant. Finally, 2008 benefited from the sale of excess land resulting in a gain of $4,018 ($2,995 after tax).</w:t>
      </w:r>
    </w:p>
    <w:p>
      <w:pPr>
        <w:spacing w:after="0" w:line="10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year ended December 31, 2007, Whirlaway added $62,662 in sales; $53,515 in cost of products sold (exclusive of depreciation and amortization); $4,106 in selling, general and administrative expenses; $3,991 in depreciation and amortization; $2,406 in interest expense and $852 in net loss.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risk factors that could materially impact our actual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Overview and Management Focus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90"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from taking over the in-house (captive) production of components from our global customers by providing a competitive and attractive outsourcing alternative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and acquisitive growth of our precision metal components platform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Energy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(loss)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240" w:top="274" w:right="6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and business combination accounting.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10"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 We recognize revenues based on the stated shipping terms with the customer when these terms are satisfied and the risks of ownership are</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transferred to the customer. We have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 Accounts receivable are recorded upon recognition of a sale of goods and ownership and risk of loss is assumed by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our accounts receivables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We believe that adequate allowances for doubtful accounts have been provided in the Consolidated Financial Statements. However, it is possible that we could experience additional unexpected credit losses.</w:t>
      </w:r>
    </w:p>
    <w:p>
      <w:pPr>
        <w:spacing w:after="0" w:line="111"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stated at the lower of cost or market. Cost is determined using the first-in, first-out method. Inventory valuations are developed using</w:t>
      </w:r>
      <w:r>
        <w:rPr>
          <w:rFonts w:ascii="Arial" w:cs="Arial" w:eastAsia="Arial" w:hAnsi="Arial"/>
          <w:sz w:val="15"/>
          <w:szCs w:val="15"/>
          <w:b w:val="1"/>
          <w:bCs w:val="1"/>
          <w:color w:val="auto"/>
        </w:rPr>
        <w:t xml:space="preserve"> </w:t>
      </w:r>
      <w:r>
        <w:rPr>
          <w:rFonts w:ascii="Arial" w:cs="Arial" w:eastAsia="Arial" w:hAnsi="Arial"/>
          <w:sz w:val="15"/>
          <w:szCs w:val="15"/>
          <w:color w:val="auto"/>
        </w:rPr>
        <w:t>normalized production capacities for each of our manufacturing locations. Abnormal variances from excess capacity or under-utilization of fixed production overheads are expensed in the period incurred. Our inventories are not generally subject to obsolescence due to spoilage or expiring product life cycles. We assess inventory obsolescence routinely and record a reserve when inventory items are deemed non recoverable in future periods. We operate generally as a make-to-order business; however, we also stock products for certain customers in order to meet delivery schedules. While management believes that adequate write-downs for inventory obsolescence have been made in the Consolidated Financial Statements, we could experience additional inventory write-downs in the future.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the amount of goodwill. These estimates are based on 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4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Goodwill is tested for impairment on an annual basis as of October 1 and between annual tests if a triggering event occurs. The impairment procedures are performed at the reporting unit level for the one unit that still has goodwill. In September 2011, the FASB issued a revised accounting standard, which is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This standard is effective for annual and interim goodwill impairment tests performed for fiscal years beginning after December 15, 2011 with early adoption permitted. We are adopting this standard in the fourth quarter of 2011 concurrent with our annual impairment test. In assessing the qualitative factors, we considered the impact of the following key factors and their effect on the reporting unit, budget to actual performance, economic, market and industry considerations, earnings multiples and cash flow from operations. Based on this qualitative assessment considering prior year results and current operating performance we determined it was more likely than not that the fair value of the reporting unit exceeded the carrying value of the reporting unit.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We determine the fair value of the reporting unit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w:t>
      </w:r>
    </w:p>
    <w:p>
      <w:pPr>
        <w:spacing w:after="0" w:line="13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(See Note 13 of the Notes to Consolidated Financial Statements).</w:t>
      </w:r>
    </w:p>
    <w:p>
      <w:pPr>
        <w:spacing w:after="0" w:line="1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 (See Note 6 of the Notes to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20" w:type="dxa"/>
            <w:vAlign w:val="bottom"/>
            <w:gridSpan w:val="4"/>
          </w:tcPr>
          <w:p>
            <w:pPr>
              <w:jc w:val="center"/>
              <w:ind w:left="315"/>
              <w:spacing w:after="0"/>
              <w:rPr>
                <w:sz w:val="20"/>
                <w:szCs w:val="20"/>
                <w:color w:val="auto"/>
              </w:rPr>
            </w:pPr>
            <w:r>
              <w:rPr>
                <w:rFonts w:ascii="Arial" w:cs="Arial" w:eastAsia="Arial" w:hAnsi="Arial"/>
                <w:sz w:val="14"/>
                <w:szCs w:val="14"/>
                <w:b w:val="1"/>
                <w:bCs w:val="1"/>
                <w:color w:val="auto"/>
                <w:w w:val="83"/>
              </w:rPr>
              <w:t>As a Percentage of Net Sales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4"/>
              </w:rPr>
              <w:t>100.0%</w:t>
            </w:r>
          </w:p>
        </w:tc>
        <w:tc>
          <w:tcPr>
            <w:tcW w:w="10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Cost of product sold (exclusive of depreciation shown separately below)</w:t>
            </w:r>
          </w:p>
        </w:tc>
        <w:tc>
          <w:tcPr>
            <w:tcW w:w="460" w:type="dxa"/>
            <w:vAlign w:val="bottom"/>
          </w:tcPr>
          <w:p>
            <w:pPr>
              <w:jc w:val="right"/>
              <w:spacing w:after="0"/>
              <w:rPr>
                <w:sz w:val="20"/>
                <w:szCs w:val="20"/>
                <w:color w:val="auto"/>
              </w:rPr>
            </w:pPr>
            <w:r>
              <w:rPr>
                <w:rFonts w:ascii="Arial" w:cs="Arial" w:eastAsia="Arial" w:hAnsi="Arial"/>
                <w:sz w:val="18"/>
                <w:szCs w:val="18"/>
                <w:color w:val="auto"/>
              </w:rPr>
              <w:t>81.9</w:t>
            </w:r>
          </w:p>
        </w:tc>
        <w:tc>
          <w:tcPr>
            <w:tcW w:w="5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81.1</w:t>
            </w:r>
          </w:p>
        </w:tc>
        <w:tc>
          <w:tcPr>
            <w:tcW w:w="400" w:type="dxa"/>
            <w:vAlign w:val="bottom"/>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5.3</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(0.3)</w:t>
            </w:r>
          </w:p>
        </w:tc>
        <w:tc>
          <w:tcPr>
            <w:tcW w:w="104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(14.5)</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4.9%</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to various U.S. and foreign divisions of SKF, one of the largest bearing manufacturers in the world, accounted for approximately 38% of consolidated net sales in 2011. During 2011, sales to various U.S. and foreign divisions of our ten largest customers accounted for approximately 76% of our consolidated net sales. None of our other customers individually accounted for more than 10% of our consolidated net sales for 2011.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2011 Compared to the Year Ended December 31,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w w:val="88"/>
              </w:rPr>
              <w:t>Consolidated NN, Inc.</w:t>
            </w:r>
          </w:p>
        </w:tc>
        <w:tc>
          <w:tcPr>
            <w:tcW w:w="0" w:type="dxa"/>
            <w:vAlign w:val="bottom"/>
          </w:tcPr>
          <w:p>
            <w:pPr>
              <w:spacing w:after="0"/>
              <w:rPr>
                <w:sz w:val="1"/>
                <w:szCs w:val="1"/>
                <w:color w:val="auto"/>
              </w:rPr>
            </w:pPr>
          </w:p>
        </w:tc>
      </w:tr>
      <w:tr>
        <w:trPr>
          <w:trHeight w:val="142"/>
        </w:trPr>
        <w:tc>
          <w:tcPr>
            <w:tcW w:w="7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424,691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365,369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$59,322</w:t>
            </w: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347,622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296,422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51,200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New sales program start-up costs and other specific costs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30,407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Severance costs incurred during 2010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19,195</w:t>
            </w:r>
          </w:p>
        </w:tc>
        <w:tc>
          <w:tcPr>
            <w:tcW w:w="14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rPr>
              <w:t>Accelerated depreciation incurred during 2010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w w:val="92"/>
              </w:rPr>
              <w:t>Elimination of depreciation expense on fully depreciated assets, net of new assets placed in service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2,289</w:t>
            </w:r>
          </w:p>
        </w:tc>
        <w:tc>
          <w:tcPr>
            <w:tcW w:w="14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6,815</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(Gain)/Loss on disposal of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14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unamortized debt issue cost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(1,388)</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(1,682)</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294</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26,105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15,120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14,521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from 2011 to 2010 due primarily to sales growth in the customer end markets we serve. Both automotive and industrial end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have experienced strong year over year sales growth due to the overall macro-economic growth and higher consumer demand. Additionally, sales increased due to the appreciation in value of Euro denominated sales. The increase in sales due to price was the result of targeted price increases to our customers across all businesses and product lines. The increase in sales from material inflation pass-through was due to increasing sales prices to our customers to recover actual material inflation incurred during 2011.</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Cost of Products Sold (exclusive of depreciation). </w:t>
      </w:r>
      <w:r>
        <w:rPr>
          <w:rFonts w:ascii="Arial" w:cs="Arial" w:eastAsia="Arial" w:hAnsi="Arial"/>
          <w:sz w:val="18"/>
          <w:szCs w:val="18"/>
          <w:color w:val="auto"/>
        </w:rPr>
        <w:t>A large portion of the increase was due to the same sales volume increases discussed above. Cost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was impacted more so by inflation on material, labor and manufacturing supplies in 2011 than in 2010 or 2009 due to increased global demand. Additionally, cost of products sold increased from the appreciation in value of Euro denominated costs. Cost of products sold increased $5.0 million due to additional production inefficiencies and incurred costs, over those levels experienced in 2010, from starting up production on new multi-year sales programs at our Precision Metal Components Segment (discussed below).</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Additionally, cost of products sold increased due to specific costs added during 2011 for incentive compensation and compensation related costs (especially medical and workers compensation costs), and from higher levels of spending on scheduled repairs and maintenance and for manufacturing supplies. During 2010, spending was depressed in these areas due to the global recession. Finally, there were various one time benefits during 2010 related to labor concessions and credits from a material supplier in Europe that did not repeat in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2011, our cost of products sold as a percentage of sales was 81.9%, which is slightly higher than our historical range. The higher cost of products sold was due to operational inefficiencies related to the new sales program start-ups and additional specific costs mentioned above.</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increased in part due to the appreciation in value of Euro denominated costs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2010. The increase in spending in selling, general and administrative expenses was due to the addition of incentive compensation that was not in place during 2010 and from the addition of certain key positions at our Precision Metal Components Segment to support growth in this business. Finally, during 2010, we incurred $1.2 million in severance costs, which did not repeat in 2011, related to permanent administrative cost savings.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A large portion of the decrease in depreciation and amortization expense was due to the accelerated depreciation of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2010 on certain fixed assets at our Tempe Plant ,which did not repeat during 2011, and the elimination of the Tempe Plant depreciation from the 2011 expense due to ceasing operations in August 2010. Depreciation expense was further reduced due to certain assets, which are still in use, at our Pinerolo Plant becoming fully depreciated from the second quarter of 2010 onward. Finally, the elimination of the Eltmann Plant depreciation due to deconsolidation of that unit and no longer incurring amortization expense on a customer contract intangible asset after 2010 further reduced the 2011 expense. Partially offsetting these favorable effects was the impact on depreciation of capital expenditures that were placed in service during 2011.</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primarily due to decreases in the interest rate spread charged on our LIBOR credit facility and our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overall debt levels during 2011. These savings were achieved under the new credit agreements entered into on December 21, 2010 and September 30, 2011.</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2010, we incurred $2.0 million in restructuring charges related to ceasing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our Tempe Plant and $0.3 million in impairment charges related to the production equipment at our Eltmann Plant. These charges did not repeat during 2011. (See Note 2 of the Notes to Consolidated Financial Statements).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Included in other income, net, during 2011, was $0.9 million related to foreign exchange gains on inter-company loans which was lower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$1.4 million in foreign exchange gains on inter-company loans incurred in 2010. The gains are a function of the change in valuation of the Euro versus the U.S. Dollar.</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twelve months ended December 31, 2011 and 2010, the difference between the effective tax rates of 20% and 42%,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was mainly due to not recognizing tax benefits on the Tempe Plant closure costs and other incurred losses in the U.S. due to existing deferred tax valuation allowances in 2010. Additionally, in 2011 we recognized tax benefits related to the Eltmann deconsolidation of $0.6 million and income tax expense was lowered by the elimination of valuation allowances on certain deferred tax assets totaling $0.8 million in Europe. (See Note 13 of the Notes to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9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308,883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271,339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37,544</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11,066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16,664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3,451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(4,156)</w:t>
            </w:r>
          </w:p>
        </w:tc>
        <w:tc>
          <w:tcPr>
            <w:tcW w:w="0" w:type="dxa"/>
            <w:vAlign w:val="bottom"/>
          </w:tcPr>
          <w:p>
            <w:pPr>
              <w:spacing w:after="0"/>
              <w:rPr>
                <w:sz w:val="1"/>
                <w:szCs w:val="1"/>
                <w:color w:val="auto"/>
              </w:rPr>
            </w:pPr>
          </w:p>
        </w:tc>
      </w:tr>
      <w:tr>
        <w:trPr>
          <w:trHeight w:val="216"/>
        </w:trPr>
        <w:tc>
          <w:tcPr>
            <w:tcW w:w="392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10,519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20" w:type="dxa"/>
            <w:vAlign w:val="bottom"/>
            <w:vMerge w:val="restart"/>
          </w:tcPr>
          <w:p>
            <w:pPr>
              <w:jc w:val="right"/>
              <w:ind w:right="131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23" w:name="page24"/>
    <w:bookmarkEnd w:id="2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sales volume increase in our Metal Bearings Components Segment has been in our U.S. and Asian based businesses. Sales volumes were more robust in the first half of 2011 with the second half witnessing sales reductions due to softening demand in Europe.</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segment net income was impacted primarily by the increase in sales volume and the related production efficiencies and leveraging of fixed production costs. Additionally, the achieved price increases in 2011 had a significant impact on segment net income. Finally, the segment results were favorably impacted by the implementation of planned cost reduction projects. The 2010 segment net income included $1.2 million in after-tax foreign exchange gains on certain inter-company loans as discussed above that were not included in 2011 segment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7"/>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9"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$72,272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$54,913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7"/>
              </w:rPr>
              <w:t>17,359</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15,671</w:t>
            </w:r>
          </w:p>
        </w:tc>
        <w:tc>
          <w:tcPr>
            <w:tcW w:w="10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1,310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378</w:t>
            </w:r>
          </w:p>
        </w:tc>
        <w:tc>
          <w:tcPr>
            <w:tcW w:w="10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3120" w:type="dxa"/>
            <w:vAlign w:val="bottom"/>
            <w:gridSpan w:val="3"/>
            <w:shd w:val="clear" w:color="auto" w:fill="CCEEFF"/>
          </w:tcPr>
          <w:p>
            <w:pPr>
              <w:ind w:left="2140"/>
              <w:spacing w:after="0"/>
              <w:rPr>
                <w:sz w:val="20"/>
                <w:szCs w:val="20"/>
                <w:color w:val="auto"/>
              </w:rPr>
            </w:pPr>
            <w:r>
              <w:rPr>
                <w:rFonts w:ascii="Arial" w:cs="Arial" w:eastAsia="Arial" w:hAnsi="Arial"/>
                <w:sz w:val="18"/>
                <w:szCs w:val="18"/>
                <w:color w:val="auto"/>
              </w:rPr>
              <w:t>$ (3,143)</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(8,922)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5,779</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majority of the increase in sales at this segment was due to the addition of new multi-year sales programs in 2011. Partially offsetting the volume increases from the new sales programs was volume lost due to ceasing operations at the Tempe Plant during the third quarter of 2010.</w:t>
      </w:r>
    </w:p>
    <w:p>
      <w:pPr>
        <w:spacing w:after="0" w:line="85"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The segment net loss was lower in 2011 due to benefits from increased sales volumes and price increases during 2011. Additionally, $4.5 million in Tempe plant closure related costs that were incurred in 2010 did not repeat during 2011. Partially offsetting these favorable effects was $5.0 million in additional operational inefficiencies and incurred costs during 2011, over those levels experienced in 2010, related to ramping up production for new large multi-year sales programs.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third and fourth quarters of 2011, we achieved reductions in start-up costs on the major sales programs from the levels experienced during the fourth quarter of 2010 and first half of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43,536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4"/>
              </w:rPr>
              <w:t>4,419</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i w:val="1"/>
                <w:iCs w:val="1"/>
                <w:color w:val="auto"/>
              </w:rPr>
              <w:t>2,550</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615</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pass-thru</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i w:val="1"/>
                <w:iCs w:val="1"/>
                <w:color w:val="auto"/>
              </w:rPr>
              <w:t>1,254</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volume increase for this segment was related to increased U.S. automotive end market demand as the economy and consumer demand has returned to more normalized levels. The majority of the increases in price are from passing through material inflation to customers which provided minimal impact to net income.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decrease in segment net income was from operational inefficiencies due to starting-up a new sales program which more than offset the favorable benefit that resulted from the increase in sales volume.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2010 Compared to the Year Ended December 31, 2009.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Twelve Month Period ended December 31, 2010.</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year ended December 31, 2010, sales showed significant improvement from the dramatic reductions witnessed during the year ended December 31, 2009 due to the worldwide recession. Sales increased 45% during the year ended December 31, 2010 from year ended December 31, 2009, excluding the effects of foreign currency exchange rates.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believe the increase in sales that occurred during 2010 was due both to customers adopting more normalized ordering patterns and increased demand in the end markets we serve. We believe that during 2009 demand for our products had decreased more than actual demand in the end markets we serve. We referred to this as the “de-stocking effect” and believed it was due to reduction in overall inventory levels throughout the supply chains we serve. We are uncertain to what extent the change of overall stock levels within the supply chains had on 2010 sales demand from our customers.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45% increase in sales volume was the main driver of the improvement in net income during the year ended December 31, 2010. Despite the increase in sales volume during 2010, we continued to aggressively manage employment levels, production levels, and discretionary spending in order to maximize the return on each dollar of sales added. In addition, we have reduced fixed cost through announced plant closures and targeted reductions in permanent positions in order to facilitate a leaner organization and to insure as global revenues improve we will be able to leverage that improvement into increased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Unusual or Non-Recurring Costs Impacting the Twelve Month Period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Ceasing Operations and Severance Costs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addressing our global cost structure, we incurred various charges during 2010 from ceasing operations at our Tempe Plant and the elimination of various senior level positions. The impact of ceasing operations at the Tempe Plant totaled $4.5 million in costs and charges during 2010. This was composed of $2.0 million in cash restructuring costs and $2.5 million in charges related to reducing the book values of certain equipment and inventory that was abandoned as part of ceasing operations and from the loss on sale of other assets. In addition to the Tempe Plant, we incurred $1.1 million in charges related to eliminating certain senior level positions within our Company to streamline the organization. Finally, we incurred $0.3 million in impairment charges on certain production machinery at our Eltmann Plant which filed for bankruptcy on January 20, 2011. The total impact on the 2010 net income of all of the above was $6.0 million pre-tax and $5.8 million after-tax.</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OVERALL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62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62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365,369</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$259,383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tcBorders>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b w:val="1"/>
                <w:bCs w:val="1"/>
                <w:color w:val="auto"/>
                <w:w w:val="86"/>
              </w:rPr>
              <w:t>105,986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(10,718)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115,975</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550</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(927)</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1,106</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296,422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w w:val="98"/>
              </w:rPr>
              <w:t>235,466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60,956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(8,125)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73,390</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Cost reduction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(9,209)</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(774)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Inflation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1,991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New sales program start-up costs and plant closure related costs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3,683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30,407</w:t>
            </w:r>
          </w:p>
        </w:tc>
        <w:tc>
          <w:tcPr>
            <w:tcW w:w="3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27,273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(724)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Severance costs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1,247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Share 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1,101</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1,510</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19,195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22,186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(490)</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Accelerated depreciation due to plant closure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i w:val="1"/>
                <w:iCs w:val="1"/>
                <w:color w:val="auto"/>
              </w:rPr>
              <w:t>Elimination of depreciation expense on fully depreciated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(3,501)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6,815</w:t>
            </w:r>
          </w:p>
        </w:tc>
        <w:tc>
          <w:tcPr>
            <w:tcW w:w="3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6,359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Write off of unamortized debt issue cost</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w:t>
            </w:r>
          </w:p>
        </w:tc>
        <w:tc>
          <w:tcPr>
            <w:tcW w:w="3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(1,682)</w:t>
            </w: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(37,624)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48,609</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4,569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 (35,334</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41,750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2010 from 2009 primarily due to higher customer demand for our products. As discussed previously, we believe the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volume in 2010 was due to both sales growth in the customer end markets we serve and due to a shift in focus of supply chain participants from reducing inventory levels to adopting ordering patterns based on true market demand. The negative mix effect was related mainly to timing of the recovery as lower price automotive components rebounded more quickly during 2010 than higher priced industrial components. The increase in sales price was due to targeted price increases to certain customers and the increase in sales from material pass-through was to adjust selling prices for the increase in raw material costs experienced during 2010.</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Cost of Products Sold (exclusive of depreciation shown separately below). </w:t>
      </w:r>
      <w:r>
        <w:rPr>
          <w:rFonts w:ascii="Arial" w:cs="Arial" w:eastAsia="Arial" w:hAnsi="Arial"/>
          <w:sz w:val="18"/>
          <w:szCs w:val="18"/>
          <w:color w:val="auto"/>
        </w:rPr>
        <w:t>The majority of the increase was due to the same sales volume increases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Excluding volume effects, cost of products sold decreased due mainly to the reduction in the value of Euro denominated costs relative to the U.S. Dollar and to planned cost saving projects partially offset by increased inflation. Additionally, cost of products sold increased $3.0 million due to production inefficiencies and additional incurred costs from starting up production on new major multi-year sales programs at our Wellington Plants and from $0.6 million in one-time costs related to the Tempe Plant closure for the revalue of inventory that ceased to be used and the transfer of certain production to our Wellington Plants.</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continue to aggressively manage our production costs. We were able to effectively leverage fixed manufacturing costs, particularly fixed labor cost in Europe, during 2010 with the 45% increase in sales from 2009 (excluding foreign currency effects).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2010, our cost of products sold as a percentage of sales was approximately 81%, which is slightly higher than our historical range. This lower profitability was due to operational inefficiencies related to the new sales program start-ups mentioned above. In general, as sales increase, we are better able to leverage our existing fixed cost base, thereby reducing cost of products sold as a percentage of sales.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A large portion of the increase in selling, general and administrative expenses was from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recognized during the first quarter of 2010 due to the immediate vesting of shares granted to certain key employees and non-executive directors. Additionally, the increase in selling, general and administrative expenses during 2010 was from increased salaries and wages expense particularly due to eliminating the 10% to 20% reduction in salaries put in place in 2009 and reinstating incentive compensation plans for 2010. Finally, during 2010, we incurred $1.2 million in severance cost related to permanent administrative cost savings.</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decreased as certain assets depreciated for a full year during 2009 became fully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during the second quarter of 2010. Additionally, depreciation expense was lower in 2010 due to the reduction in value of Euro denominated depreciation expense. These reductions were partially offset by accelerated depreciation of $1.0 million on certain fixed assets at our Tempe Plant due to ceasing operations at that facility. (See Notes 2 and 6 of the Notes to Consolidated Financial Statements).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higher due to increases in the interest rate spread charged on our LIBOR credit facility and our senior notes.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was increased upon amending our credit facilities on March 13, 2009 and on March 5, 2010. In addition, we amortized $0.3 million more of capitalized loan costs into interest expense due to the amendments of the loan facilities.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year ended December 31, 2010, we incurred $2.0 million in restructuring charges related to ceasing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at our Tempe Plant and $0.3 million in impairment charges related to the production equipment at our Eltmann Plant. During the year ended December 31, 2009, we incurred $1.1 of restructuring and impairment costs related to the closures of the Kilkenny Plant and the Hamilton Plant and $3.8 million in restructuring charges related to the reduction in labor force at our Veenendaal Plant. (See Note 2 of the Notes to Consolidated Financial Statements).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The majority of the other income, net recognized during the year ended December 31, 2010, related to foreign exchange gains at our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from U.S. Dollar denominated inter-company loans that were put in place with the amended credit facilities in 2009. During 2010, the Dollar appreciated approximately 7% against the Euro which lead to the generation of these gains.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full year 2010 and 2009, the difference between the effective tax rates of 41.6% and 6%, respectively, was mainly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allowances placed on U.S. deferred tax benefits during the second quarter of 2009 that were still being applied to U.S. taxable losses and expense during 2010. In 2010, the main driver was not recognizing tax benefits on the losses in the Precision Metal Components Segment from ceasing operations at the Tempe Plant and the new sales program startups. (See Note 13 of the Notes to Consolidated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9"/>
        </w:trPr>
        <w:tc>
          <w:tcPr>
            <w:tcW w:w="1500" w:type="dxa"/>
            <w:vAlign w:val="bottom"/>
            <w:tcBorders>
              <w:top w:val="single" w:sz="8" w:color="auto"/>
            </w:tcBorders>
          </w:tcPr>
          <w:p>
            <w:pPr>
              <w:spacing w:after="0"/>
              <w:rPr>
                <w:sz w:val="12"/>
                <w:szCs w:val="12"/>
                <w:color w:val="auto"/>
              </w:rPr>
            </w:pPr>
          </w:p>
        </w:tc>
        <w:tc>
          <w:tcPr>
            <w:tcW w:w="3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2"/>
              <w:spacing w:after="0" w:line="149"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271,339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$183,605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86"/>
              </w:rPr>
              <w:t>$87,734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(10,718)</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97,465</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500</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(927)</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1,414</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(16,108)</w:t>
            </w:r>
          </w:p>
        </w:tc>
        <w:tc>
          <w:tcPr>
            <w:tcW w:w="1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41,018</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All three geographic regions of this segment experienced robust sales growth from 2009 levels. As discussed previously, these volume increases were related to both increased end market demand and our customers adopting more normalized ordering patterns. The unfavorable mix resulted as automotive end markets with generally lower sales prices rebounded more quickly than the industrial end markets with generally higher sales prices.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segment net income was impacted primarily by the large increase in sales volume and the related production efficiencies and leveraging of fixed production costs. The impact of fixed costs and related leveraging of production capacity was significant in this segment as a large portion of our installed capacity is in Western Europe, where labor cost is not easily reduced when production volumes decrease. Additionally, the segment results were favorably impacted by reductions in production costs from planned cost reduction projects. Finally, 2010 depreciation costs were much lower than 2009 depreciation costs within the segment as certain assets depreciated for a full year during 2009 became fully depreciated during the second quarter of 2010.</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positive variance in segment net income for 2010 compared to 2009 was favorably impacted by certain items totaling $4.9 million. The 2010 segment net income was favorably impacted by $1.2 million, after tax, in foreign exchange gains on certain inter-company U.S. Dollar denominated transactions (as discussed above). In addition, the segment net loss for 2009 was increased by $0.8 million after tax, due to restructuring charges related to the closure of the Kilkenny Plant taken in 2009 and by $2.9 million of after tax restructuring charges related to the reduction in force at our Veenendaal Plant incurred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1500" w:type="dxa"/>
            <w:vAlign w:val="bottom"/>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1500" w:type="dxa"/>
            <w:vAlign w:val="bottom"/>
            <w:tcBorders>
              <w:top w:val="single" w:sz="8" w:color="auto"/>
            </w:tcBorders>
          </w:tcPr>
          <w:p>
            <w:pPr>
              <w:spacing w:after="0"/>
              <w:rPr>
                <w:sz w:val="12"/>
                <w:szCs w:val="12"/>
                <w:color w:val="auto"/>
              </w:rPr>
            </w:pPr>
          </w:p>
        </w:tc>
        <w:tc>
          <w:tcPr>
            <w:tcW w:w="55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50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1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$54,913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$45,003</w:t>
            </w:r>
          </w:p>
        </w:tc>
        <w:tc>
          <w:tcPr>
            <w:tcW w:w="4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$ 9,910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9,910</w:t>
            </w: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6320" w:type="dxa"/>
            <w:vAlign w:val="bottom"/>
            <w:gridSpan w:val="3"/>
            <w:shd w:val="clear" w:color="auto" w:fill="CCEEFF"/>
          </w:tcPr>
          <w:p>
            <w:pPr>
              <w:ind w:left="5520"/>
              <w:spacing w:after="0"/>
              <w:rPr>
                <w:sz w:val="20"/>
                <w:szCs w:val="20"/>
                <w:color w:val="auto"/>
              </w:rPr>
            </w:pPr>
            <w:r>
              <w:rPr>
                <w:rFonts w:ascii="Arial" w:cs="Arial" w:eastAsia="Arial" w:hAnsi="Arial"/>
                <w:sz w:val="18"/>
                <w:szCs w:val="18"/>
                <w:color w:val="auto"/>
              </w:rPr>
              <w:t>$ (8,922)</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(4,391)</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The majority of the increase in sales at this segment was due to higher U.S. automotive and industrial demand in 2010 versus 2009. Additionally, 2010 sales increased from the startup of a new multi-year sales program.</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Despite a 22% increase in sales from 2009, the 2010 segment net loss increased by $4.5 million from 2009. The favorable impact to 2010 segment net loss from the increased sales volume was approximately $4.0 million. However, the 2010 segment net loss was affected by $4.5 million in charges related to ceasing operations at the Tempe Plant. This includes $2.0 million of severance and other associated closure costs, $1.6 million in charges related to reducing the book values of certain equipment and inventory that ceased to be used, $0.2 million in cost due to the start-up of production of former Tempe Plant products at the Wellington Plant, and $0.7 million from the loss on sale of certain assets that ceased to be used. Additionally, the segment incurred approximately $3.0 million in operational inefficiencies and additional costs related to ramping up production for the new multi-year sales programs discussed above.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PLASTIC AND RUBBER COMPONENTS SEGMENT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4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1500" w:type="dxa"/>
            <w:vAlign w:val="bottom"/>
            <w:tcBorders>
              <w:top w:val="single" w:sz="8" w:color="auto"/>
            </w:tcBorders>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2010</w:t>
            </w:r>
          </w:p>
        </w:tc>
        <w:tc>
          <w:tcPr>
            <w:tcW w:w="980" w:type="dxa"/>
            <w:vAlign w:val="bottom"/>
            <w:tcBorders>
              <w:top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39,117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$30,775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7"/>
              </w:rPr>
              <w:t>$8,342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8,600</w:t>
            </w:r>
          </w:p>
        </w:tc>
      </w:tr>
      <w:tr>
        <w:trPr>
          <w:trHeight w:val="216"/>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2,504</w:t>
            </w:r>
          </w:p>
        </w:tc>
        <w:tc>
          <w:tcPr>
            <w:tcW w:w="1200" w:type="dxa"/>
            <w:vAlign w:val="bottom"/>
            <w:gridSpan w:val="3"/>
          </w:tcPr>
          <w:p>
            <w:pPr>
              <w:ind w:left="400"/>
              <w:spacing w:after="0"/>
              <w:rPr>
                <w:sz w:val="20"/>
                <w:szCs w:val="20"/>
                <w:color w:val="auto"/>
              </w:rPr>
            </w:pPr>
            <w:r>
              <w:rPr>
                <w:rFonts w:ascii="Arial" w:cs="Arial" w:eastAsia="Arial" w:hAnsi="Arial"/>
                <w:sz w:val="18"/>
                <w:szCs w:val="18"/>
                <w:color w:val="auto"/>
              </w:rPr>
              <w:t>$ (2,091)</w:t>
            </w:r>
          </w:p>
        </w:tc>
        <w:tc>
          <w:tcPr>
            <w:tcW w:w="1540" w:type="dxa"/>
            <w:vAlign w:val="bottom"/>
            <w:gridSpan w:val="3"/>
          </w:tcPr>
          <w:p>
            <w:pPr>
              <w:jc w:val="right"/>
              <w:ind w:right="8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4,595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volume increase for this segment was related to increased U.S. automotive end market demand.</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increase in segment net income for 2010 resulted from the 27% increase in sales and the related operational efficiencies from higher levels of production. The volume benefits were partially offset by $0.3 million in severance costs related to permanent administrative salary costs reduction.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2010 to December 31, 2011.</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From December 31, 2010 to December 31, 2011, our total assets increased $10.9 million and our current assets increased $8.4 million. The depreciation in the value of Euro denominated account balances, partially offset by appreciation of Chinese Yuan account balances, relative to the U.S. Dollar caused total assets and current assets to decrease approximately $3.0 million and $1.0 million, respectively, from December 31, 2010.</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Excluding the foreign exchange effects, accounts receivable was higher by $3.9 million due primarily to the 6% increase in sales volume in December and November of 2011 from sales levels in December and November of 2010. Additionally, the days sales outstanding have increased 4.5 days as of December 31, 2011 due to timing of certain customer receipts and a higher mix of export customers with extended payment terms. Partially offsetting these increases was a $3.4 million reduction from the deconsolidation of Eltmann’s accounts receivable balances effective January 20, 2011. Net overdue receivables were approximately 19% and 12% of total accounts receivable at December 31, 2011 and 2010, respectively. The increase in overdue receivables in 2011 was due primarily to payments from certain customers being received in early January 2012 rather than by December 31, 2011.</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Excluding the foreign exchange effects, inventories increased by $4.6 million from December 31, 2010, primarily from increased raw material, work in process inventory and finished goods inventory due to higher production volumes in 2011.</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Excluding the foreign exchange effects, property, plant and equipment increased $3.8 million as year to date capital spending was $3.3 million higher than depreciation. Additionally, property, plant and equipment increased for the $1.9 million addition of land and building acquired through a 20 year capital lease at our Kunshan Plant on October 1, 2011. This was partially offset by the deconsolidation of machinery at Eltmann with a net book value of $1.3 million effective January 20, 2011.</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December 31, 2010 to December 31, 2011, our total liabilities decreased $10.7 million. The depreciation in the value of Euro denominated account balances, partially offset by appreciation of Chinese Yuan account balances, relative to the U.S. Dollar caused total liabilities to decrease approximately $0.7 million from December 31, 2010. The majority of the reduction in liabilities was due to the deconsolidation of Eltmann liabilities totaling $8.3 million the largest of which was the Eltmann accrued pension liability totaling $5.6 million. Finally, excluding foreign exchange effects and the effects of the Eltmann deconsolidation ($1.7 million), accounts payable decreased $5.0 million due to the timing of payments to certain vendors and from the large capital expenditures in year end 2010 accounts payable that were paid in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which consists principally of accounts receivable and inventories offset by accounts payable and current maturities of long-term debt, was $51.0 million at December 31, 2011 as compared to $32.1 million at December 31, 2010. The ratio of current assets to current liabilities increased from 1.38:1 at December 31, 2010 to 1.70:1 at December 31, 2011. The increase in working capital was due primarily to movements in accounts receivable, inventory, and accounts payable discussed above.</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Cash flow provided by operations was $15.0 million for 2011 compared with $27.9 million for 2010. The unfavorable variance in cash flow provided by operations was principally due to the unfavorable effect from increasing net working capital at a much higher rate in 2011 versus in 2010. The working capital increases, as discussed above, were due to increased sales and production volumes experienced during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Amounts outstanding under our $100 million credit facility and our fixed rate senior notes as of December 31, 2011 were $41.0 million (including $0.8 million under our swing line of credit) and $37.1 million, respectively. As of December 31, 2011, we can borrow up to an additional $48.0 million under the $100 million credit facility, including $9.2 million under our swing line of credit, subject to limitations based on existing financial covenants. The $48.0 million of availability is net of $1 million of outstanding letters of credit at December 31, 2011 which are considered as usage of the facility. The $48.0 million considers our new liquidity requirement from the September 30, 2011 amendment that the total outstanding under the revolving credit agreement shall be at least $10 million less than the total committed amount of $100 million during the period commencing September 30, 2011 and ending on September 30, 2012.</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were in compliance with all covenants related to the $100 million credit facility and the fixed rate senior notes agreements as of December 31, 2011. The table below summarizes the financial covenants of the two credit agreements as of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Financial Covenants</w:t>
            </w:r>
          </w:p>
        </w:tc>
        <w:tc>
          <w:tcPr>
            <w:tcW w:w="1580" w:type="dxa"/>
            <w:vAlign w:val="bottom"/>
            <w:vMerge w:val="restart"/>
          </w:tcPr>
          <w:p>
            <w:pPr>
              <w:spacing w:after="0"/>
              <w:rPr>
                <w:sz w:val="12"/>
                <w:szCs w:val="12"/>
                <w:color w:val="auto"/>
              </w:rPr>
            </w:pPr>
          </w:p>
        </w:tc>
        <w:tc>
          <w:tcPr>
            <w:tcW w:w="7640" w:type="dxa"/>
            <w:vAlign w:val="bottom"/>
            <w:gridSpan w:val="2"/>
            <w:vMerge w:val="restart"/>
          </w:tcPr>
          <w:p>
            <w:pPr>
              <w:ind w:left="2980"/>
              <w:spacing w:after="0"/>
              <w:rPr>
                <w:sz w:val="20"/>
                <w:szCs w:val="20"/>
                <w:color w:val="auto"/>
              </w:rPr>
            </w:pPr>
            <w:r>
              <w:rPr>
                <w:rFonts w:ascii="Arial" w:cs="Arial" w:eastAsia="Arial" w:hAnsi="Arial"/>
                <w:sz w:val="14"/>
                <w:szCs w:val="14"/>
                <w:b w:val="1"/>
                <w:bCs w:val="1"/>
                <w:color w:val="auto"/>
              </w:rPr>
              <w:t>Required Covenant Level</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7640" w:type="dxa"/>
            <w:vAlign w:val="bottom"/>
            <w:gridSpan w:val="2"/>
            <w:vMerge w:val="continue"/>
          </w:tcPr>
          <w:p>
            <w:pPr>
              <w:spacing w:after="0"/>
              <w:rPr>
                <w:sz w:val="14"/>
                <w:szCs w:val="14"/>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coverage ratio</w:t>
            </w:r>
          </w:p>
        </w:tc>
        <w:tc>
          <w:tcPr>
            <w:tcW w:w="7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Not to be less than 3.00 to 1.00 as of the last day of any fiscal quarter</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6.50 to 1.00</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7640" w:type="dxa"/>
            <w:vAlign w:val="bottom"/>
            <w:gridSpan w:val="2"/>
          </w:tcPr>
          <w:p>
            <w:pPr>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1.30 to 1.00</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to exceed 2.50 to 1.00 for the most recently completed four fiscal quarters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1.68 to 1.00</w:t>
            </w: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640" w:type="dxa"/>
            <w:vAlign w:val="bottom"/>
            <w:gridSpan w:val="2"/>
          </w:tcPr>
          <w:p>
            <w:pPr>
              <w:spacing w:after="0"/>
              <w:rPr>
                <w:sz w:val="20"/>
                <w:szCs w:val="20"/>
                <w:color w:val="auto"/>
              </w:rPr>
            </w:pPr>
            <w:r>
              <w:rPr>
                <w:rFonts w:ascii="Arial" w:cs="Arial" w:eastAsia="Arial" w:hAnsi="Arial"/>
                <w:sz w:val="18"/>
                <w:szCs w:val="18"/>
                <w:color w:val="auto"/>
                <w:w w:val="97"/>
              </w:rPr>
              <w:t>Not to exceed 150% of Consolidated Depreciation Charges for the immediate previous fiscal year.</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fixed charge coverage ratio increases to “not to be less than 1.25 to 1.00 as of the last day of any fiscal quarter” starting October 1, 2012.</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20, 2011, we borrowed an additional $20 million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 Prudential Capital also agreed to reduce the rate on our existing $17.1 million of fixed rate notes due in 2014 from 6.50% to 5.39%.</w:t>
      </w:r>
    </w:p>
    <w:p>
      <w:pPr>
        <w:spacing w:after="0" w:line="14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On September 30, 2011, NN amended its $100 million revolving credit agreement agented by KeyBank and its long-term loan agreement with Prudential Capital in order to adjust the fixed charge coverage ratio covenant to better correlate current and expected levels of capital spending and other fixed charges with earnings before taxes, interest and depreciation (EBITDA). The fixed charge coverage ratio was reduced from not less than 1.10 to 1.00 and not less than 1.25 to 1.00 (for quarters ending after September 30, 2011) to not less than 1.00 to 1.00 as of the last day of any fiscal quarter for the quarters ending September 30, 2011 through September 30, 2012. The amendments also provide that the company will assure that the total outstanding under the revolving credit agreement shall be at least $10 million less than the total committed amount of $100 million during the period commencing September 30, 2011 and ending on September 30, 2012.</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and the subsequent amendment on September 30, 2011, were capitalized and will be amortized into interest expense over the life of the facility. As of December 31, 2011 and 2010, $1.7 million and $2.1 million, respectively, of net capitalized loan origination costs were on the balance sheet within other non-current assets.</w:t>
      </w:r>
    </w:p>
    <w:p>
      <w:pPr>
        <w:spacing w:after="0" w:line="124"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On December 21, 2010, our senior notes agreement with Prudential Capital was also amended. The amended agreement was entered into to adjust our financial and non-financial covenants to more normalized measures. There were no changes to the terms or availability of credit but the interest rate was reduced from</w:t>
      </w:r>
    </w:p>
    <w:p>
      <w:pPr>
        <w:spacing w:after="0" w:line="290" w:lineRule="auto"/>
        <w:rPr>
          <w:sz w:val="20"/>
          <w:szCs w:val="20"/>
          <w:color w:val="auto"/>
        </w:rPr>
      </w:pPr>
      <w:r>
        <w:rPr>
          <w:rFonts w:ascii="Arial" w:cs="Arial" w:eastAsia="Arial" w:hAnsi="Arial"/>
          <w:sz w:val="16"/>
          <w:szCs w:val="16"/>
          <w:color w:val="auto"/>
        </w:rPr>
        <w:t>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notes mature on April 26, 2014. We incurred costs as a result of issuing these notes and the subsequent amendments on September 30, 2011 and December 20, 2011 which have been recorded as a component of other non-current assets and are being amortized over the term of the notes. The unamortized balance at December 31, 2011 and 2010 was $0.3 million and $0.4 million, respectively.</w:t>
      </w:r>
    </w:p>
    <w:p>
      <w:pPr>
        <w:spacing w:after="0" w:line="11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Segment’s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2011 and 2010, see Note 16 of the Notes to Consolidated Financial Statements.</w:t>
      </w:r>
    </w:p>
    <w:p>
      <w:pPr>
        <w:spacing w:after="0" w:line="12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invoice and receive payment from many of our customers in Euro as well as other currencies. Additionally, we are party to various third party and intercompany loans, payables and receivables denominated in currencies other than the U.S. Dollar. In 2011, the fluctuation of the Euro against the U.S. Dollar positively impacted sales and net income.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2011, no currency hedges were in place. In addition, a strengthening of the U.S. Dollar and/or Euro against foreign currencies could impair our ability to compete with international competitors for foreign as well as domestic sales.</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made planned capital expenditures totaling $20.3 million as of December 31, 2011. During 2012, we expect to spend between $15.0 million and $20.0 million on capital expenditures, the majority of which relate to new or expanded business. We believe that funds generated from operations and borrowings from the credit facilities will be sufficient to finance our capital expenditures and working capital needs through December 2012. We base this assertion on our current availability for borrowing of up to $48.0 million and our forecasted positive cash flow from operations for the year ending December 31,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our contractual obligations and commercial commitments as of December 31, 2011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Payments Due by Period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80" w:type="dxa"/>
            <w:vAlign w:val="bottom"/>
            <w:gridSpan w:val="3"/>
            <w:vMerge w:val="restart"/>
          </w:tcPr>
          <w:p>
            <w:pPr>
              <w:spacing w:after="0"/>
              <w:rPr>
                <w:sz w:val="20"/>
                <w:szCs w:val="20"/>
                <w:color w:val="auto"/>
              </w:rPr>
            </w:pPr>
            <w:r>
              <w:rPr>
                <w:rFonts w:ascii="Arial" w:cs="Arial" w:eastAsia="Arial" w:hAnsi="Arial"/>
                <w:sz w:val="14"/>
                <w:szCs w:val="14"/>
                <w:color w:val="auto"/>
              </w:rPr>
              <w:t>Certain Contractual Obligations</w:t>
            </w: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spacing w:after="0" w:line="131" w:lineRule="exact"/>
              <w:rPr>
                <w:sz w:val="20"/>
                <w:szCs w:val="20"/>
                <w:color w:val="auto"/>
              </w:rPr>
            </w:pPr>
            <w:r>
              <w:rPr>
                <w:rFonts w:ascii="Arial" w:cs="Arial" w:eastAsia="Arial" w:hAnsi="Arial"/>
                <w:sz w:val="14"/>
                <w:szCs w:val="14"/>
                <w:color w:val="auto"/>
              </w:rPr>
              <w:t>Less than 1</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8"/>
              <w:spacing w:after="0" w:line="131" w:lineRule="exact"/>
              <w:rPr>
                <w:sz w:val="20"/>
                <w:szCs w:val="20"/>
                <w:color w:val="auto"/>
              </w:rPr>
            </w:pPr>
            <w:r>
              <w:rPr>
                <w:rFonts w:ascii="Arial" w:cs="Arial" w:eastAsia="Arial" w:hAnsi="Arial"/>
                <w:sz w:val="14"/>
                <w:szCs w:val="14"/>
                <w:color w:val="auto"/>
                <w:w w:val="92"/>
              </w:rPr>
              <w:t>After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80" w:type="dxa"/>
            <w:vAlign w:val="bottom"/>
            <w:gridSpan w:val="3"/>
            <w:vMerge w:val="continue"/>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660" w:type="dxa"/>
            <w:vAlign w:val="bottom"/>
            <w:gridSpan w:val="2"/>
          </w:tcPr>
          <w:p>
            <w:pPr>
              <w:ind w:left="80"/>
              <w:spacing w:after="0" w:line="146"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89"/>
              </w:rPr>
              <w:t>1-3 years</w:t>
            </w:r>
          </w:p>
        </w:tc>
        <w:tc>
          <w:tcPr>
            <w:tcW w:w="580" w:type="dxa"/>
            <w:vAlign w:val="bottom"/>
            <w:gridSpan w:val="2"/>
          </w:tcPr>
          <w:p>
            <w:pPr>
              <w:jc w:val="right"/>
              <w:spacing w:after="0" w:line="146" w:lineRule="exact"/>
              <w:rPr>
                <w:sz w:val="20"/>
                <w:szCs w:val="20"/>
                <w:color w:val="auto"/>
              </w:rPr>
            </w:pPr>
            <w:r>
              <w:rPr>
                <w:rFonts w:ascii="Arial" w:cs="Arial" w:eastAsia="Arial" w:hAnsi="Arial"/>
                <w:sz w:val="14"/>
                <w:szCs w:val="14"/>
                <w:color w:val="auto"/>
                <w:w w:val="89"/>
              </w:rPr>
              <w:t>3-5 years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81"/>
              </w:rPr>
              <w:t>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78,132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6,503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$55,629</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Expected interest payments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2,875</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4,830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65,325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approximately $1.7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Consolidated Financial Statements).</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(See Note 1 of Notes to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have operations in Slovakia, Italy and The Netherlands, all of which are Euro participating countries. Each of our European facilities sell product to customers in many of the Euro participating countries. The Euro has been adopted as the functional currency at all NN locations in Europe. The functional currency of NN Asia is the Chinese Yuan.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2011 and 2010. (See Note 16 of the 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Recently Issued Accounting Standards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The amendments eliminate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The guidance also requires that reclassification adjustments for items that are reclassified from other comprehensive income to net income be presented on the face of the financial statement where the components of net income and other comprehensive income are presented. The FASB amended this guidance in December 2011 to postpone a requirement to present items that are reclassified from other comprehensive income to net income on the face of the financial statement where the components of net income and other comprehensive income are presented and reinstate previous guidance related to such reclassifications. Upon adoption, we will continue to present components of comprehensive income in our Consolidated Statements of Income (Loss) and Comprehensive Income (Loss). We will adopt this guidance for reporting periods beginning January 1, 2012. Since this new guidance will affect disclosure requirements only, we have concluded that it will not have a material impact on our financial position or results of operations.</w:t>
      </w:r>
    </w:p>
    <w:p>
      <w:pPr>
        <w:spacing w:after="0" w:line="124" w:lineRule="exact"/>
        <w:rPr>
          <w:sz w:val="20"/>
          <w:szCs w:val="20"/>
          <w:color w:val="auto"/>
        </w:rPr>
      </w:pPr>
    </w:p>
    <w:p>
      <w:pPr>
        <w:jc w:val="both"/>
        <w:ind w:right="140"/>
        <w:spacing w:after="0" w:line="302" w:lineRule="auto"/>
        <w:rPr>
          <w:sz w:val="20"/>
          <w:szCs w:val="20"/>
          <w:color w:val="auto"/>
        </w:rPr>
      </w:pPr>
      <w:r>
        <w:rPr>
          <w:rFonts w:ascii="Arial" w:cs="Arial" w:eastAsia="Arial" w:hAnsi="Arial"/>
          <w:sz w:val="15"/>
          <w:szCs w:val="15"/>
          <w:color w:val="auto"/>
        </w:rPr>
        <w:t>In September 2011, the FASB issued a revised accounting standard, which is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w:t>
      </w:r>
    </w:p>
    <w:p>
      <w:pPr>
        <w:spacing w:after="0" w:line="3"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Otherwise, no further testing is required. This standard is effective for annual and interim goodwill impairment tests performed for fiscal years beginning after December 15, 2011 with early adoption permitted. We adopted this standard in the fourth quarter of 2011 concurrent with our annual impairment test.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The following is a schedule by year of future minimum lease payments as of December 31, 2011 under operating leases that have initial or remaining non-cancelable lease terms in excess of one year (in thousands).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2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2015</w:t>
            </w: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minimum lease payments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2011, we had $37.1 million of fixed rate senior notes outstanding and $41 million outstanding under the variable rate revolving credit facilities. At December 31, 2011, a one-percent increase in the interest rate charged on our outstanding variable rate borrowings would result in interest expense increasing annually by approximately $0.4 million. The nature and amount of our borrowings may vary as a result of future business requirements, market conditions and other factors.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In 2011, the fluctuation of the Euro against the U.S. Dollar positively impacted revenue and net income but decreased assets and liabilities.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2011, nor did we hold a position in any foreign currency hedging instruments as of December 31, 2011.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0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48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0480" w:type="dxa"/>
            <w:vAlign w:val="bottom"/>
            <w:gridSpan w:val="9"/>
            <w:vMerge w:val="restart"/>
          </w:tcPr>
          <w:p>
            <w:pPr>
              <w:spacing w:after="0"/>
              <w:rPr>
                <w:sz w:val="20"/>
                <w:szCs w:val="20"/>
                <w:color w:val="auto"/>
              </w:rPr>
            </w:pPr>
            <w:r>
              <w:rPr>
                <w:rFonts w:ascii="Arial" w:cs="Arial" w:eastAsia="Arial" w:hAnsi="Arial"/>
                <w:sz w:val="18"/>
                <w:szCs w:val="18"/>
                <w:color w:val="auto"/>
              </w:rPr>
              <w:t>Financial Statements</w:t>
            </w:r>
          </w:p>
        </w:tc>
        <w:tc>
          <w:tcPr>
            <w:tcW w:w="84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1"/>
        </w:trPr>
        <w:tc>
          <w:tcPr>
            <w:tcW w:w="10480" w:type="dxa"/>
            <w:vAlign w:val="bottom"/>
            <w:gridSpan w:val="9"/>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Report of Independent Registered Public Accounting Firm</w:t>
              </w:r>
            </w:hyperlink>
          </w:p>
        </w:tc>
        <w:tc>
          <w:tcPr>
            <w:tcW w:w="59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Consolidated Balance Sheets at December 31, 2011 and 2010</w:t>
              </w:r>
            </w:hyperlink>
          </w:p>
        </w:tc>
        <w:tc>
          <w:tcPr>
            <w:tcW w:w="572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4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Statements of Income (Loss) and Comprehensive Income (Loss) for the years ended December 31, 2011, 2010 and 2009</w:t>
              </w:r>
            </w:hyperlink>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Changes in Stockholders’ Equity for the years ended December 31, 2011, 2010 and 2009</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Consolidated Statements of Cash Flows for the years ended December 31, 2011, 2010 and 2009</w:t>
              </w:r>
            </w:hyperlink>
          </w:p>
        </w:tc>
        <w:tc>
          <w:tcPr>
            <w:tcW w:w="1520" w:type="dxa"/>
            <w:vAlign w:val="bottom"/>
            <w:tcBorders>
              <w:top w:val="single" w:sz="8" w:color="0000EE"/>
            </w:tcBorders>
          </w:tcPr>
          <w:p>
            <w:pPr>
              <w:spacing w:after="0"/>
              <w:rPr>
                <w:sz w:val="24"/>
                <w:szCs w:val="24"/>
                <w:color w:val="auto"/>
              </w:rPr>
            </w:pPr>
          </w:p>
        </w:tc>
        <w:tc>
          <w:tcPr>
            <w:tcW w:w="178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Notes to Consolidated Financial Statements</w:t>
              </w:r>
            </w:hyperlink>
          </w:p>
        </w:tc>
        <w:tc>
          <w:tcPr>
            <w:tcW w:w="69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gridSpan w:val="4"/>
          </w:tcPr>
          <w:p>
            <w:pPr>
              <w:jc w:val="right"/>
              <w:ind w:right="1380"/>
              <w:spacing w:after="0"/>
              <w:rPr>
                <w:sz w:val="20"/>
                <w:szCs w:val="20"/>
                <w:color w:val="auto"/>
              </w:rPr>
            </w:pPr>
            <w:r>
              <w:rPr>
                <w:rFonts w:ascii="Arial" w:cs="Arial" w:eastAsia="Arial" w:hAnsi="Arial"/>
                <w:sz w:val="18"/>
                <w:szCs w:val="18"/>
                <w:color w:val="auto"/>
              </w:rPr>
              <w:t>34</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34" w:name="page35"/>
    <w:bookmarkEnd w:id="34"/>
    <w:p>
      <w:pPr>
        <w:ind w:right="3480" w:firstLine="3508"/>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To the Board of Directors and Stockholders of NN, Inc.</w:t>
      </w:r>
    </w:p>
    <w:p>
      <w:pPr>
        <w:spacing w:after="0" w:line="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income (loss) and comprehensive income (loss), of changes in stockholders’ equity and of cash flows present fairly, in all material respects, the financial position of NN, Inc. and its subsidiaries at December 31, 2011 and 2010, and the results of their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124,025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115,670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118,488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259,461</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248,555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obligation under capital lease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Accrued pension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8"/>
                <w:szCs w:val="18"/>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159,785</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170,448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Common stock - $0.01 par value, authorized 45,000 shares, issued and outstanding 16,949 in 2011 and 16,620 in 2010.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55,071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78,107</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259,461</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248,555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347,622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296,422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(35,334)</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Actuarial loss recognized in change of projected benefit obligation (net of tax of $0, $0 and $0,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Comprehensive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(33,293)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99"/>
              </w:rPr>
              <w:t>Common Stock</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Par</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in</w:t>
            </w:r>
          </w:p>
        </w:tc>
        <w:tc>
          <w:tcPr>
            <w:tcW w:w="28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8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16,268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$163</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$ 49,524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35,593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(35,334)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expense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6"/>
              </w:rPr>
              <w:t>337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w w:val="92"/>
              </w:rPr>
              <w:t>Actuarial loss recognized in change of projected benefit obligation (net of tax</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jc w:val="right"/>
              <w:ind w:right="5092"/>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gain</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Balance, December 31, 2009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$ 49,861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259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26,520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76,803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Stock option expense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w w:val="86"/>
              </w:rPr>
              <w:t>152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options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6"/>
              </w:rPr>
              <w:t>752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w w:val="92"/>
              </w:rPr>
              <w:t>Actuarial loss recognized in change of projected benefit obligation (net of tax</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jc w:val="right"/>
              <w:ind w:right="5092"/>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249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16,620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$ 51,863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expense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6"/>
              </w:rPr>
              <w:t>480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Shares issued for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254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6"/>
              </w:rPr>
              <w:t>348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$ 55,071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27,612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20,937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6,416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(35,334)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22,186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issue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(Gain) loss on disposals of property, plant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Capitalized interest and non-cash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restructuring and impairment charges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Write-off of unamortized debt issue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20,318</w:t>
            </w: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3"/>
        </w:trPr>
        <w:tc>
          <w:tcPr>
            <w:tcW w:w="818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14,955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27,860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(20,329)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Proceeds from disposals of property, plant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lost in deconsolidation of Eltmann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440"/>
              <w:spacing w:after="0"/>
              <w:rPr>
                <w:sz w:val="20"/>
                <w:szCs w:val="20"/>
                <w:color w:val="auto"/>
              </w:rPr>
            </w:pPr>
            <w:r>
              <w:rPr>
                <w:rFonts w:ascii="Arial" w:cs="Arial" w:eastAsia="Arial" w:hAnsi="Arial"/>
                <w:sz w:val="18"/>
                <w:szCs w:val="18"/>
                <w:color w:val="auto"/>
              </w:rPr>
              <w:t>Repayment of long-term note receivable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(21,053)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issue costs paid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Proceeds of long-term debt,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long-term debt,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(16,014)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(12,614)</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Proceeds (repayment) of short-term debt,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stock and exercise of stock options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Other financing activity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by)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(13,108)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440"/>
              <w:spacing w:after="0"/>
              <w:rPr>
                <w:sz w:val="20"/>
                <w:szCs w:val="20"/>
                <w:color w:val="auto"/>
              </w:rPr>
            </w:pPr>
            <w:r>
              <w:rPr>
                <w:rFonts w:ascii="Arial" w:cs="Arial" w:eastAsia="Arial" w:hAnsi="Arial"/>
                <w:sz w:val="18"/>
                <w:szCs w:val="18"/>
                <w:color w:val="auto"/>
              </w:rPr>
              <w:t>Effect of exchange rate changes on cash flows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23"/>
        </w:trPr>
        <w:tc>
          <w:tcPr>
            <w:tcW w:w="8180" w:type="dxa"/>
            <w:vAlign w:val="bottom"/>
          </w:tcPr>
          <w:p>
            <w:pPr>
              <w:ind w:left="4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end of year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Compensation expense for stock awards, ($348 in 2011, $1,101 in 2010, and $0 in 2009 and stock option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expense ($480 in 2011, $152 in 2010, and $337 in 2009) included in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w w:val="97"/>
              </w:rPr>
              <w:t>Acquired land and building through a 20 year capital lease not included in investing activities above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Reduced note payable to customer with offsetting reduction to accounts receivable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8"/>
        </w:trPr>
        <w:tc>
          <w:tcPr>
            <w:tcW w:w="8180" w:type="dxa"/>
            <w:vAlign w:val="bottom"/>
          </w:tcPr>
          <w:p>
            <w:pPr>
              <w:ind w:left="440"/>
              <w:spacing w:after="0"/>
              <w:rPr>
                <w:sz w:val="20"/>
                <w:szCs w:val="20"/>
                <w:color w:val="auto"/>
              </w:rPr>
            </w:pPr>
            <w:r>
              <w:rPr>
                <w:rFonts w:ascii="Arial" w:cs="Arial" w:eastAsia="Arial" w:hAnsi="Arial"/>
                <w:sz w:val="18"/>
                <w:szCs w:val="18"/>
                <w:color w:val="auto"/>
                <w:w w:val="92"/>
              </w:rPr>
              <w:t>Sale of $2,230 in property, plant and equipment for a note receivable with an aggregate carrying value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ind w:left="660"/>
              <w:spacing w:after="0"/>
              <w:rPr>
                <w:sz w:val="20"/>
                <w:szCs w:val="20"/>
                <w:color w:val="auto"/>
              </w:rPr>
            </w:pPr>
            <w:r>
              <w:rPr>
                <w:rFonts w:ascii="Arial" w:cs="Arial" w:eastAsia="Arial" w:hAnsi="Arial"/>
                <w:sz w:val="18"/>
                <w:szCs w:val="18"/>
                <w:color w:val="auto"/>
              </w:rPr>
              <w:t>$1,562 in 2010.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Certain amounts were deconsolidated from the Balance Sheet of NN due to the bankruptcy of a subsidiary 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January 20, 2011 and are not reflected in the 2011 cash flow statement above (See Note 1 of Notes to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Financial Statements)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b w:val="1"/>
                <w:bCs w:val="1"/>
                <w:color w:val="auto"/>
              </w:rPr>
              <w:t>Cash paid for interest and income taxes was as follows: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refunds received from taxing authorities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74" w:right="239" w:bottom="1440" w:gutter="0" w:footer="0" w:header="0"/>
          <w:type w:val="continuous"/>
        </w:sectPr>
      </w:pPr>
    </w:p>
    <w:bookmarkStart w:id="39" w:name="page40"/>
    <w:bookmarkEnd w:id="3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99"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90" w:lineRule="exact"/>
        <w:rPr>
          <w:sz w:val="20"/>
          <w:szCs w:val="20"/>
          <w:color w:val="auto"/>
        </w:rPr>
      </w:pPr>
    </w:p>
    <w:p>
      <w:pPr>
        <w:ind w:left="892" w:hanging="446"/>
        <w:spacing w:after="0"/>
        <w:tabs>
          <w:tab w:leader="none" w:pos="89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left="1492" w:right="60"/>
        <w:spacing w:after="0" w:line="294" w:lineRule="auto"/>
        <w:rPr>
          <w:sz w:val="20"/>
          <w:szCs w:val="20"/>
          <w:color w:val="auto"/>
        </w:rPr>
      </w:pPr>
      <w:r>
        <w:rPr>
          <w:rFonts w:ascii="Arial" w:cs="Arial" w:eastAsia="Arial" w:hAnsi="Arial"/>
          <w:sz w:val="16"/>
          <w:szCs w:val="16"/>
          <w:color w:val="auto"/>
        </w:rPr>
        <w:t>NN, Inc. (“NN”, “the Company”, “we”, “our” or “us”) is a manufacturer of precision balls, cylindrical and tapered rollers, bearing retainers, plastic injection molded products, precision bearing seals and precision metal components. Our balls, rollers, retainers, and bearing seals are used primarily in the domestic and international anti-friction bearing industry. Our plastic injection molded products are used in the bearing components, automotive components, electronic instrument cases and other molded components used in a variety of applications. The precision metal components products are used in the HVAC, automotive, fluid power and diesel engine industries.</w:t>
      </w:r>
    </w:p>
    <w:p>
      <w:pPr>
        <w:spacing w:after="0" w:line="231" w:lineRule="exact"/>
        <w:rPr>
          <w:sz w:val="20"/>
          <w:szCs w:val="20"/>
          <w:color w:val="auto"/>
        </w:rPr>
      </w:pPr>
    </w:p>
    <w:p>
      <w:pPr>
        <w:ind w:left="892" w:hanging="446"/>
        <w:spacing w:after="0"/>
        <w:tabs>
          <w:tab w:leader="none" w:pos="89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287"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1492" w:right="40"/>
        <w:spacing w:after="0" w:line="294" w:lineRule="auto"/>
        <w:rPr>
          <w:sz w:val="20"/>
          <w:szCs w:val="20"/>
          <w:color w:val="auto"/>
        </w:rPr>
      </w:pPr>
      <w:r>
        <w:rPr>
          <w:rFonts w:ascii="Arial" w:cs="Arial" w:eastAsia="Arial" w:hAnsi="Arial"/>
          <w:sz w:val="16"/>
          <w:szCs w:val="16"/>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35" w:lineRule="exact"/>
        <w:rPr>
          <w:sz w:val="20"/>
          <w:szCs w:val="20"/>
          <w:color w:val="auto"/>
        </w:rPr>
      </w:pPr>
    </w:p>
    <w:p>
      <w:pPr>
        <w:ind w:left="1492" w:right="200"/>
        <w:spacing w:after="0" w:line="259"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256"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1492" w:right="20"/>
        <w:spacing w:after="0" w:line="289" w:lineRule="auto"/>
        <w:rPr>
          <w:sz w:val="20"/>
          <w:szCs w:val="20"/>
          <w:color w:val="auto"/>
        </w:rPr>
      </w:pPr>
      <w:r>
        <w:rPr>
          <w:rFonts w:ascii="Arial" w:cs="Arial" w:eastAsia="Arial" w:hAnsi="Arial"/>
          <w:sz w:val="16"/>
          <w:szCs w:val="16"/>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statement of income (loss). We review the carrying values of long-lived assets for impairment whenever events or changes in circumstances indicate the carrying amount of an asset may not be recoverable. During the years ended December 31, 2011, 2010 and 2009, we recorded impairment charges of $0, $308, and $235 respectively (See Notes 2 and 6 of the Notes to Consolidated Financial Statements). Property, plant and equipment includes tools, molds and dies principally used in our Plastic and Rubber Components and Precision Metal Components Segments that are our property.</w:t>
      </w:r>
    </w:p>
    <w:p>
      <w:pPr>
        <w:spacing w:after="0" w:line="37" w:lineRule="exact"/>
        <w:rPr>
          <w:sz w:val="20"/>
          <w:szCs w:val="20"/>
          <w:color w:val="auto"/>
        </w:rPr>
      </w:pPr>
    </w:p>
    <w:p>
      <w:pPr>
        <w:ind w:left="1492"/>
        <w:spacing w:after="0" w:line="294" w:lineRule="auto"/>
        <w:rPr>
          <w:sz w:val="20"/>
          <w:szCs w:val="20"/>
          <w:color w:val="auto"/>
        </w:rPr>
      </w:pPr>
      <w:r>
        <w:rPr>
          <w:rFonts w:ascii="Arial" w:cs="Arial" w:eastAsia="Arial" w:hAnsi="Arial"/>
          <w:sz w:val="16"/>
          <w:szCs w:val="16"/>
          <w:color w:val="auto"/>
        </w:rPr>
        <w:t>Depreciation is provided on the straight-line method over the estimated useful lives of the depreciable assets for financial reporting purposes. In the event we abandon and cease to use certain property, plant, and equipment, depreciation estimates are revised and, in most cases, depreciation expense will be accelerated to reflect the shortened useful life of the asset. During the years ended December 31, 2011, 2010 and 2009, we recognized $0, $1,000, and $0 respectively in accelerated depreciation for property, plant and equipment that was abandoned. (See Note 6 of the Notes to Consolidated Financial Statements).</w:t>
      </w:r>
    </w:p>
    <w:p>
      <w:pPr>
        <w:spacing w:after="0" w:line="231"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1492" w:right="120"/>
        <w:spacing w:after="0" w:line="255" w:lineRule="auto"/>
        <w:rPr>
          <w:sz w:val="20"/>
          <w:szCs w:val="20"/>
          <w:color w:val="auto"/>
        </w:rPr>
      </w:pPr>
      <w:r>
        <w:rPr>
          <w:rFonts w:ascii="Arial" w:cs="Arial" w:eastAsia="Arial" w:hAnsi="Arial"/>
          <w:sz w:val="18"/>
          <w:szCs w:val="18"/>
          <w:color w:val="auto"/>
        </w:rPr>
        <w:t>We recognize revenues based on the stated shipping terms with customers when these terms are satisfied and the risks of ownership are transferred to the customers. We have an inventory management program for certain Metal Bearing Components Segment customers whereby revenue is recognized when products are used by customers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74" w:right="259" w:bottom="1440" w:gutter="0" w:footer="0" w:header="0"/>
        </w:sectPr>
      </w:pPr>
    </w:p>
    <w:bookmarkStart w:id="40" w:name="page41"/>
    <w:bookmarkEnd w:id="40"/>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46" w:hanging="446"/>
        <w:spacing w:after="0"/>
        <w:tabs>
          <w:tab w:leader="none" w:pos="44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left="1046" w:right="40"/>
        <w:spacing w:after="0" w:line="314" w:lineRule="auto"/>
        <w:rPr>
          <w:sz w:val="20"/>
          <w:szCs w:val="20"/>
          <w:color w:val="auto"/>
        </w:rPr>
      </w:pPr>
      <w:r>
        <w:rPr>
          <w:rFonts w:ascii="Arial" w:cs="Arial" w:eastAsia="Arial" w:hAnsi="Arial"/>
          <w:sz w:val="15"/>
          <w:szCs w:val="15"/>
          <w:color w:val="auto"/>
        </w:rPr>
        <w:t>Accounts receivable are recorded upon recognition of a sale of goods and ownership and risk of loss is assumed by the customer. Substantially all of our accounts receivable are due primarily from the core served markets. We experienced $140, $97, and $(119) of bad debt expense (income) during 2011, 2010 and 2009, respectively.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220"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1046"/>
        <w:spacing w:after="0" w:line="288"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Consolidated Financial Statements for each of the three years in the period ended December 31, 2011 continue to reflect full valuation allowances against the net deferred tax assets of all our U.S. operations. Based upon the negative financial performance for our combined U.S. locations during the years ended December 31, 2009 and 2010, we determined that there is a likelihood these locations would be unable to generate sufficient profits in the near future to allow realization of existing deferred tax assets.</w:t>
      </w:r>
    </w:p>
    <w:p>
      <w:pPr>
        <w:spacing w:after="0" w:line="39" w:lineRule="exact"/>
        <w:rPr>
          <w:sz w:val="20"/>
          <w:szCs w:val="20"/>
          <w:color w:val="auto"/>
        </w:rPr>
      </w:pPr>
    </w:p>
    <w:p>
      <w:pPr>
        <w:ind w:left="1046" w:right="660"/>
        <w:spacing w:after="0" w:line="332" w:lineRule="auto"/>
        <w:rPr>
          <w:sz w:val="20"/>
          <w:szCs w:val="20"/>
          <w:color w:val="auto"/>
        </w:rPr>
      </w:pPr>
      <w:r>
        <w:rPr>
          <w:rFonts w:ascii="Arial" w:cs="Arial" w:eastAsia="Arial" w:hAnsi="Arial"/>
          <w:sz w:val="16"/>
          <w:szCs w:val="16"/>
          <w:color w:val="auto"/>
        </w:rPr>
        <w:t>We recognize income tax positions that meet the more likely than not threshold and accrue interest and potential penalties related to unrecognized income tax positions which are recorded as a component of the income tax provision.</w:t>
      </w:r>
    </w:p>
    <w:p>
      <w:pPr>
        <w:spacing w:after="0" w:line="201"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96" w:lineRule="exact"/>
        <w:rPr>
          <w:sz w:val="20"/>
          <w:szCs w:val="20"/>
          <w:color w:val="auto"/>
        </w:rPr>
      </w:pPr>
    </w:p>
    <w:p>
      <w:pPr>
        <w:ind w:left="1046" w:right="180"/>
        <w:spacing w:after="0" w:line="259" w:lineRule="auto"/>
        <w:rPr>
          <w:sz w:val="20"/>
          <w:szCs w:val="20"/>
          <w:color w:val="auto"/>
        </w:rPr>
      </w:pPr>
      <w:r>
        <w:rPr>
          <w:rFonts w:ascii="Arial" w:cs="Arial" w:eastAsia="Arial" w:hAnsi="Arial"/>
          <w:sz w:val="18"/>
          <w:szCs w:val="18"/>
          <w:color w:val="auto"/>
        </w:rPr>
        <w:t>Basic income (loss) per share reflects reported earnings divided by the weighted average number of common shares outstanding. Diluted income (loss) per share include the effect of dilutive stock options, unvested restricted stock (if any) and the respective tax benefits, unless inclusion would not be dilutive.</w:t>
      </w:r>
    </w:p>
    <w:p>
      <w:pPr>
        <w:spacing w:after="0" w:line="256"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left="1046"/>
        <w:spacing w:after="0" w:line="306" w:lineRule="auto"/>
        <w:rPr>
          <w:sz w:val="20"/>
          <w:szCs w:val="20"/>
          <w:color w:val="auto"/>
        </w:rPr>
      </w:pPr>
      <w:r>
        <w:rPr>
          <w:rFonts w:ascii="Arial" w:cs="Arial" w:eastAsia="Arial" w:hAnsi="Arial"/>
          <w:sz w:val="16"/>
          <w:szCs w:val="16"/>
          <w:color w:val="auto"/>
        </w:rPr>
        <w:t>The cost of stock options and stock awards are expensed as compensation expense over the vesting periods based on the fair value at the grant date. (See Note 9 of the Notes to the Consolidated Financial Statements) We use a financial pricing model, the Black Scholes model, to determine the fair value of our stock options as our options are not traded in open markets.</w:t>
      </w:r>
    </w:p>
    <w:p>
      <w:pPr>
        <w:spacing w:after="0" w:line="26" w:lineRule="exact"/>
        <w:rPr>
          <w:sz w:val="20"/>
          <w:szCs w:val="20"/>
          <w:color w:val="auto"/>
        </w:rPr>
      </w:pPr>
    </w:p>
    <w:p>
      <w:pPr>
        <w:ind w:left="1046" w:right="100"/>
        <w:spacing w:after="0" w:line="268" w:lineRule="auto"/>
        <w:rPr>
          <w:sz w:val="20"/>
          <w:szCs w:val="20"/>
          <w:color w:val="auto"/>
        </w:rPr>
      </w:pPr>
      <w:r>
        <w:rPr>
          <w:rFonts w:ascii="Arial" w:cs="Arial" w:eastAsia="Arial" w:hAnsi="Arial"/>
          <w:sz w:val="18"/>
          <w:szCs w:val="18"/>
          <w:color w:val="auto"/>
        </w:rPr>
        <w:t>We account for stock awards by recognizing compensation expense ratably over the vesting period as specified in the award. Compensation expense to be recognized is based on the stock price at date of grant.</w:t>
      </w:r>
    </w:p>
    <w:p>
      <w:pPr>
        <w:spacing w:after="0" w:line="248"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left="1046" w:right="160"/>
        <w:spacing w:after="0" w:line="259" w:lineRule="auto"/>
        <w:rPr>
          <w:sz w:val="20"/>
          <w:szCs w:val="20"/>
          <w:color w:val="auto"/>
        </w:rPr>
      </w:pPr>
      <w:r>
        <w:rPr>
          <w:rFonts w:ascii="Arial" w:cs="Arial" w:eastAsia="Arial" w:hAnsi="Arial"/>
          <w:sz w:val="18"/>
          <w:szCs w:val="18"/>
          <w:color w:val="auto"/>
        </w:rPr>
        <w:t>Our consolidated financial statements include the accounts of NN, Inc. and its subsidiaries. All of our subsidiaries are 100% owned and all are included in the consolidated financial statements for the years end December 31, 2011, 2010, and 2009. All significant inter-company profits, transactions, and balances have been eliminated in consolidation.</w:t>
      </w:r>
    </w:p>
    <w:p>
      <w:pPr>
        <w:spacing w:after="0" w:line="59" w:lineRule="exact"/>
        <w:rPr>
          <w:sz w:val="20"/>
          <w:szCs w:val="20"/>
          <w:color w:val="auto"/>
        </w:rPr>
      </w:pPr>
    </w:p>
    <w:p>
      <w:pPr>
        <w:jc w:val="both"/>
        <w:ind w:left="1046" w:right="80"/>
        <w:spacing w:after="0" w:line="259"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insolvent at which point it</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6"/>
          </w:cols>
          <w:pgMar w:left="694" w:top="274" w:right="259" w:bottom="1440" w:gutter="0" w:footer="0" w:header="0"/>
        </w:sectPr>
      </w:pPr>
    </w:p>
    <w:bookmarkStart w:id="41" w:name="page42"/>
    <w:bookmarkEnd w:id="41"/>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1046" w:right="160"/>
        <w:spacing w:after="0" w:line="298" w:lineRule="auto"/>
        <w:rPr>
          <w:sz w:val="20"/>
          <w:szCs w:val="20"/>
          <w:color w:val="auto"/>
        </w:rPr>
      </w:pPr>
      <w:r>
        <w:rPr>
          <w:rFonts w:ascii="Arial" w:cs="Arial" w:eastAsia="Arial" w:hAnsi="Arial"/>
          <w:sz w:val="16"/>
          <w:szCs w:val="16"/>
          <w:color w:val="auto"/>
        </w:rPr>
        <w:t>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32" w:lineRule="exact"/>
        <w:rPr>
          <w:sz w:val="20"/>
          <w:szCs w:val="20"/>
          <w:color w:val="auto"/>
        </w:rPr>
      </w:pPr>
    </w:p>
    <w:p>
      <w:pPr>
        <w:ind w:left="1046" w:right="60"/>
        <w:spacing w:after="0" w:line="256" w:lineRule="auto"/>
        <w:rPr>
          <w:sz w:val="20"/>
          <w:szCs w:val="20"/>
          <w:color w:val="auto"/>
        </w:rPr>
      </w:pPr>
      <w:r>
        <w:rPr>
          <w:rFonts w:ascii="Arial" w:cs="Arial" w:eastAsia="Arial" w:hAnsi="Arial"/>
          <w:sz w:val="18"/>
          <w:szCs w:val="18"/>
          <w:color w:val="auto"/>
        </w:rPr>
        <w:t>We were informed that in early April 2011, the bankruptcy trustee sold the majority of the production assets of Eltmann to a non-affiliated manufacturing company. It is our understanding that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62" w:lineRule="exact"/>
        <w:rPr>
          <w:sz w:val="20"/>
          <w:szCs w:val="20"/>
          <w:color w:val="auto"/>
        </w:rPr>
      </w:pPr>
    </w:p>
    <w:p>
      <w:pPr>
        <w:ind w:left="1046" w:right="500"/>
        <w:spacing w:after="0" w:line="268" w:lineRule="auto"/>
        <w:rPr>
          <w:sz w:val="20"/>
          <w:szCs w:val="20"/>
          <w:color w:val="auto"/>
        </w:rPr>
      </w:pPr>
      <w:r>
        <w:rPr>
          <w:rFonts w:ascii="Arial" w:cs="Arial" w:eastAsia="Arial" w:hAnsi="Arial"/>
          <w:sz w:val="18"/>
          <w:szCs w:val="18"/>
          <w:color w:val="auto"/>
        </w:rPr>
        <w:t>The following table summarizes the effects of the deconsolidation of Eltmann effective January 20, 2011 on the Consolidated Balance Sheets:</w:t>
      </w:r>
    </w:p>
    <w:p>
      <w:pPr>
        <w:spacing w:after="0" w:line="181" w:lineRule="exact"/>
        <w:rPr>
          <w:sz w:val="20"/>
          <w:szCs w:val="20"/>
          <w:color w:val="auto"/>
        </w:rPr>
      </w:pPr>
    </w:p>
    <w:tbl>
      <w:tblPr>
        <w:tblLayout w:type="fixed"/>
        <w:tblInd w:w="1386"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Reduction of 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salaries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Reduction of total liabilities and stockholders’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Net impact from deconsolidation of bankrupt subsidiary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046" w:right="20"/>
        <w:spacing w:after="0" w:line="259" w:lineRule="auto"/>
        <w:rPr>
          <w:sz w:val="20"/>
          <w:szCs w:val="20"/>
          <w:color w:val="auto"/>
        </w:rPr>
      </w:pPr>
      <w:r>
        <w:rPr>
          <w:rFonts w:ascii="Arial" w:cs="Arial" w:eastAsia="Arial" w:hAnsi="Arial"/>
          <w:sz w:val="18"/>
          <w:szCs w:val="18"/>
          <w:color w:val="auto"/>
        </w:rPr>
        <w:t>The deconsolidation of the amounts above were not reflected in the Consolidated Statements of Cash Flows for the year ended December 31, 2011. The assets and liabilities of Eltmann are included in NN’s Consolidated Financial Statements for the years ended December 31, 2010 and earlier as we had effective control of this subsidiary.</w:t>
      </w:r>
    </w:p>
    <w:p>
      <w:pPr>
        <w:spacing w:after="0" w:line="256"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left="1046"/>
        <w:spacing w:after="0" w:line="287" w:lineRule="auto"/>
        <w:rPr>
          <w:sz w:val="20"/>
          <w:szCs w:val="20"/>
          <w:color w:val="auto"/>
        </w:rPr>
      </w:pPr>
      <w:r>
        <w:rPr>
          <w:rFonts w:ascii="Arial" w:cs="Arial" w:eastAsia="Arial" w:hAnsi="Arial"/>
          <w:sz w:val="16"/>
          <w:szCs w:val="16"/>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 of Income (Loss) and Comprehensive Income (Loss) as incurred and were immaterial to the years ended December 31, 2011, 2010 and 2009. Transaction gains or losses on intercompany loan transactions are recognized in the other income, net line in the Consolidated Statement of Income (Loss) and Comprehensive Income (Loss) as incurred.</w:t>
      </w:r>
    </w:p>
    <w:p>
      <w:pPr>
        <w:spacing w:after="0" w:line="238"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96" w:lineRule="exact"/>
        <w:rPr>
          <w:sz w:val="20"/>
          <w:szCs w:val="20"/>
          <w:color w:val="auto"/>
        </w:rPr>
      </w:pPr>
    </w:p>
    <w:p>
      <w:pPr>
        <w:ind w:left="1046" w:right="100"/>
        <w:spacing w:after="0" w:line="256" w:lineRule="auto"/>
        <w:rPr>
          <w:sz w:val="20"/>
          <w:szCs w:val="20"/>
          <w:color w:val="auto"/>
        </w:rPr>
      </w:pPr>
      <w:r>
        <w:rPr>
          <w:rFonts w:ascii="Arial" w:cs="Arial" w:eastAsia="Arial" w:hAnsi="Arial"/>
          <w:sz w:val="18"/>
          <w:szCs w:val="18"/>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one unit that still has goodwill. In September 2011, the FASB issued a revised accounting standard, which is</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6"/>
          </w:cols>
          <w:pgMar w:left="694" w:top="274" w:right="239" w:bottom="1440" w:gutter="0" w:footer="0" w:header="0"/>
        </w:sectPr>
      </w:pPr>
    </w:p>
    <w:bookmarkStart w:id="42" w:name="page43"/>
    <w:bookmarkEnd w:id="42"/>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1046"/>
        <w:spacing w:after="0" w:line="308" w:lineRule="auto"/>
        <w:rPr>
          <w:sz w:val="20"/>
          <w:szCs w:val="20"/>
          <w:color w:val="auto"/>
        </w:rPr>
      </w:pPr>
      <w:r>
        <w:rPr>
          <w:rFonts w:ascii="Arial" w:cs="Arial" w:eastAsia="Arial" w:hAnsi="Arial"/>
          <w:sz w:val="15"/>
          <w:szCs w:val="15"/>
          <w:color w:val="auto"/>
        </w:rPr>
        <w:t>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This standard is effective for annual and interim goodwill impairment tests performed for fiscal years beginning after December 15, 2011 with early adoption permitted. We are adopting this standard in the fourth quarter of 2011 concurrent with our annual impairment test. In assessing the qualitative factors, we considered the impact of the following key factors and their effect on the reporting unit, budget to actual performance, economic, market and industry considerations, earnings multiples and cash flow from operations. Based on this qualitative assessment considering prior year results and current operating performance we determined it was more likely than not that the fair value of the reporting unit exceeded the carrying value of the reporting unit.</w:t>
      </w:r>
    </w:p>
    <w:p>
      <w:pPr>
        <w:spacing w:after="0" w:line="28" w:lineRule="exact"/>
        <w:rPr>
          <w:sz w:val="20"/>
          <w:szCs w:val="20"/>
          <w:color w:val="auto"/>
        </w:rPr>
      </w:pPr>
    </w:p>
    <w:p>
      <w:pPr>
        <w:ind w:left="1046" w:right="100"/>
        <w:spacing w:after="0" w:line="289" w:lineRule="auto"/>
        <w:rPr>
          <w:sz w:val="20"/>
          <w:szCs w:val="20"/>
          <w:color w:val="auto"/>
        </w:rPr>
      </w:pPr>
      <w:r>
        <w:rPr>
          <w:rFonts w:ascii="Arial" w:cs="Arial" w:eastAsia="Arial" w:hAnsi="Arial"/>
          <w:sz w:val="16"/>
          <w:szCs w:val="16"/>
          <w:color w:val="auto"/>
        </w:rPr>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37" w:lineRule="exact"/>
        <w:rPr>
          <w:sz w:val="20"/>
          <w:szCs w:val="20"/>
          <w:color w:val="auto"/>
        </w:rPr>
      </w:pPr>
    </w:p>
    <w:p>
      <w:pPr>
        <w:jc w:val="both"/>
        <w:ind w:left="1046" w:right="20"/>
        <w:spacing w:after="0" w:line="294" w:lineRule="auto"/>
        <w:rPr>
          <w:sz w:val="20"/>
          <w:szCs w:val="20"/>
          <w:color w:val="auto"/>
        </w:rPr>
      </w:pPr>
      <w:r>
        <w:rPr>
          <w:rFonts w:ascii="Arial" w:cs="Arial" w:eastAsia="Arial" w:hAnsi="Arial"/>
          <w:sz w:val="16"/>
          <w:szCs w:val="16"/>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35" w:lineRule="exact"/>
        <w:rPr>
          <w:sz w:val="20"/>
          <w:szCs w:val="20"/>
          <w:color w:val="auto"/>
        </w:rPr>
      </w:pPr>
    </w:p>
    <w:p>
      <w:pPr>
        <w:jc w:val="both"/>
        <w:ind w:left="1046"/>
        <w:spacing w:after="0" w:line="332" w:lineRule="auto"/>
        <w:rPr>
          <w:sz w:val="20"/>
          <w:szCs w:val="20"/>
          <w:color w:val="auto"/>
        </w:rPr>
      </w:pPr>
      <w:r>
        <w:rPr>
          <w:rFonts w:ascii="Arial" w:cs="Arial" w:eastAsia="Arial" w:hAnsi="Arial"/>
          <w:sz w:val="16"/>
          <w:szCs w:val="16"/>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w:t>
      </w:r>
    </w:p>
    <w:p>
      <w:pPr>
        <w:spacing w:after="0" w:line="4" w:lineRule="exact"/>
        <w:rPr>
          <w:sz w:val="20"/>
          <w:szCs w:val="20"/>
          <w:color w:val="auto"/>
        </w:rPr>
      </w:pPr>
    </w:p>
    <w:p>
      <w:pPr>
        <w:ind w:left="1046" w:right="2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w:t>
      </w:r>
    </w:p>
    <w:p>
      <w:pPr>
        <w:spacing w:after="0" w:line="256" w:lineRule="exact"/>
        <w:rPr>
          <w:sz w:val="20"/>
          <w:szCs w:val="20"/>
          <w:color w:val="auto"/>
        </w:rPr>
      </w:pPr>
    </w:p>
    <w:p>
      <w:pPr>
        <w:ind w:left="446" w:hanging="446"/>
        <w:spacing w:after="0"/>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96" w:lineRule="exact"/>
        <w:rPr>
          <w:sz w:val="20"/>
          <w:szCs w:val="20"/>
          <w:color w:val="auto"/>
        </w:rPr>
      </w:pPr>
    </w:p>
    <w:p>
      <w:pPr>
        <w:ind w:left="1046" w:right="20"/>
        <w:spacing w:after="0" w:line="312" w:lineRule="auto"/>
        <w:rPr>
          <w:sz w:val="20"/>
          <w:szCs w:val="20"/>
          <w:color w:val="auto"/>
        </w:rPr>
      </w:pPr>
      <w:r>
        <w:rPr>
          <w:rFonts w:ascii="Arial" w:cs="Arial" w:eastAsia="Arial" w:hAnsi="Arial"/>
          <w:sz w:val="15"/>
          <w:szCs w:val="15"/>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live. Assets to be disposed of are carried at the lesser of carrying value or fair value less costs of disposal. (See Notes 2, 6 and 11 of the Notes to Consolidated Financial Statements).</w:t>
      </w:r>
    </w:p>
    <w:p>
      <w:pPr>
        <w:spacing w:after="0" w:line="9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6"/>
          </w:cols>
          <w:pgMar w:left="694" w:top="274" w:right="239" w:bottom="1440" w:gutter="0" w:footer="0" w:header="0"/>
        </w:sectPr>
      </w:pPr>
    </w:p>
    <w:bookmarkStart w:id="43" w:name="page44"/>
    <w:bookmarkEnd w:id="43"/>
    <w:p>
      <w:pPr>
        <w:jc w:val="center"/>
        <w:ind w:right="3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96" w:lineRule="exact"/>
        <w:rPr>
          <w:sz w:val="20"/>
          <w:szCs w:val="20"/>
          <w:color w:val="auto"/>
        </w:rPr>
      </w:pPr>
    </w:p>
    <w:p>
      <w:pPr>
        <w:ind w:left="1046" w:right="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59" w:lineRule="exact"/>
        <w:rPr>
          <w:sz w:val="20"/>
          <w:szCs w:val="20"/>
          <w:color w:val="auto"/>
        </w:rPr>
      </w:pPr>
    </w:p>
    <w:p>
      <w:pPr>
        <w:ind w:left="446" w:hanging="446"/>
        <w:spacing w:after="0"/>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1046"/>
        <w:spacing w:after="0" w:line="287" w:lineRule="auto"/>
        <w:rPr>
          <w:sz w:val="20"/>
          <w:szCs w:val="20"/>
          <w:color w:val="auto"/>
        </w:rPr>
      </w:pPr>
      <w:r>
        <w:rPr>
          <w:rFonts w:ascii="Arial" w:cs="Arial" w:eastAsia="Arial" w:hAnsi="Arial"/>
          <w:sz w:val="16"/>
          <w:szCs w:val="16"/>
          <w:color w:val="auto"/>
        </w:rPr>
        <w:t>On January 1, 2008, we adopted the standards of U.S. GAAP that pertains to recording financial liabilities subject to recurring fair value measurement at the price that would be paid to transfer a liability in an orderly transaction between market participants. However, at that time we elected not to adopt the option to use the fair value method of accounting for our existing financial liabilities. On January 1, 2009, we began recording all non-financial assets and liabilities (principally goodwill and long lived tangible and intangible assets) subject to fair value measurement under the same principles. These 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our assumptions used to measure assets and liabilities at fair value. An asset or liability’s classification within the various levels is determined based on the lowest level input that is significant to the fair value measurement.</w:t>
      </w:r>
    </w:p>
    <w:p>
      <w:pPr>
        <w:spacing w:after="0" w:line="238"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left="1046" w:right="120"/>
        <w:spacing w:after="0" w:line="286" w:lineRule="auto"/>
        <w:rPr>
          <w:sz w:val="20"/>
          <w:szCs w:val="20"/>
          <w:color w:val="auto"/>
        </w:rPr>
      </w:pPr>
      <w:r>
        <w:rPr>
          <w:rFonts w:ascii="Arial" w:cs="Arial" w:eastAsia="Arial" w:hAnsi="Arial"/>
          <w:sz w:val="16"/>
          <w:szCs w:val="16"/>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The amendments eliminate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The guidance also requires that reclassification adjustments for items that are reclassified from other comprehensive income to net income be presented on the face of the financial statement where the components of net income and other comprehensive income are presented. The FASB amended this guidance in December 2011 to postpone a requirement to present items that are reclassified from other comprehensive income to net income on the face of the financial statement where the components of net income and other comprehensive income are presented and reinstate previous guidance related to such reclassifications. Upon adoption, we will continue to present components of comprehensive income in our Consolidated Statements of Income (Loss) and Comprehensive Income (Loss). We will adopt this guidance for reporting periods beginning January 1, 2012. Since this new guidance will affect disclosure requirements only, we have concluded that it will not have a material impact on our financial position or results of operations.</w:t>
      </w:r>
    </w:p>
    <w:p>
      <w:pPr>
        <w:spacing w:after="0" w:line="40" w:lineRule="exact"/>
        <w:rPr>
          <w:sz w:val="20"/>
          <w:szCs w:val="20"/>
          <w:color w:val="auto"/>
        </w:rPr>
      </w:pPr>
    </w:p>
    <w:p>
      <w:pPr>
        <w:ind w:left="1046"/>
        <w:spacing w:after="0" w:line="289" w:lineRule="auto"/>
        <w:rPr>
          <w:sz w:val="20"/>
          <w:szCs w:val="20"/>
          <w:color w:val="auto"/>
        </w:rPr>
      </w:pPr>
      <w:r>
        <w:rPr>
          <w:rFonts w:ascii="Arial" w:cs="Arial" w:eastAsia="Arial" w:hAnsi="Arial"/>
          <w:sz w:val="16"/>
          <w:szCs w:val="16"/>
          <w:color w:val="auto"/>
        </w:rPr>
        <w:t>In September 2011, the FASB issued a revised accounting standard, which is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This standard is effective for annual and interim goodwill impairment tests performed for fiscal years beginning after December 15, 2011 with early adoption permitted. We adopted this standard in the fourth quarter of 2011 concurrent with our annual impairment test as discussed above.</w:t>
      </w:r>
    </w:p>
    <w:p>
      <w:pPr>
        <w:spacing w:after="0" w:line="10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6"/>
          </w:cols>
          <w:pgMar w:left="694" w:top="274" w:right="2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Impairment Charges</w:t>
      </w:r>
    </w:p>
    <w:p>
      <w:pPr>
        <w:spacing w:after="0" w:line="9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Below is a summary of all the impairment and restructuring charges reported in the Consolidated Statements of Income (Loss) and Comprehensive Income (Loss) during the years ended December 31, 2011, 2010, and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of tangible assets</w:t>
            </w:r>
          </w:p>
        </w:tc>
        <w:tc>
          <w:tcPr>
            <w:tcW w:w="2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1,981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4,742</w:t>
            </w:r>
          </w:p>
        </w:tc>
        <w:tc>
          <w:tcPr>
            <w:tcW w:w="10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2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4,977</w:t>
            </w: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above charges are discussed in detail below.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Restructuring Activity</w:t>
      </w:r>
    </w:p>
    <w:p>
      <w:pPr>
        <w:spacing w:after="0" w:line="96"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During the first quarter of 2010, we announced the closure of the Tempe Plant. We ceased operations at this location on August 31, 2010. This closure impacted approximately 130 employees. Current economic conditions coupled with the long-term manufacturing strategy for our Whirlaway business necessitated a consolidation of our manufacturing resources into existing facilities in Ohio. We incurred cash charges of approximately $1,518 in severance costs during 2010. The severance costs were recognized pro-rata over the period from the announcement date until the employees’ termination date as continued employment was a requirement to receive severance payments. Additionally, during the year ended December 31, 2010, we incurred $506 of site closure and other associated costs. In the first quarter of 2010, we incurred $1,000 of accelerated depreciation related to certain fixed assets that were expected to be abandoned due to ceasing operations at the Tempe Plant. (See Note 6 of the Notes to Consolidated Financial Statements). The majority of the fixed assets and inventory that ceased to be used were sold on August 31, 2010 in exchange for long-term notes receivables. (See Note 4 of the Notes to Consolidated Financial Statements).</w:t>
      </w:r>
    </w:p>
    <w:p>
      <w:pPr>
        <w:spacing w:after="0" w:line="39"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On November 26, 2008, we announced the closure of our Kilkenny Plant. The closure was part of our long term strategy to rationalize our European operations. The closure affected 68 employees and was substantially completed during 2009. We incurred $70 and $763 in restructuring costs during the years ended December 31, 2010 and 2009, respectively, principally for site closure and other associated costs.</w:t>
      </w:r>
    </w:p>
    <w:p>
      <w:pPr>
        <w:spacing w:after="0" w:line="26"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During the first quarter of 2009, we closed our Hamilton Plant. This closure affected 11 employees and $130 in severance and other associated closure costs were incurred during the first quarter of 2009. Of this amount, $108 was for employee severance cost which was paid in the second quarter of 2009.</w:t>
      </w:r>
    </w:p>
    <w:p>
      <w:pPr>
        <w:spacing w:after="0" w:line="59"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During the third quarter of 2009, we informed our employees of the Veenendaal Plant of our intention to begin a reorganization of the plant’s labor force due to the economic downturn. During the year ended December 31, 2009, we incurred severance charges of $3,849 which covered the elimination of 53 permanent positions or 17% of the workforce at that time. The majority of the severance cost was paid out during the fourth quarter of 2009 and first quarter of 2010. During the year ended December 31, 2010, we recognized a benefit of $113 as the total severance related costs were less than the amount accrued.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2010 activity related to the three restructuring programs discussed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Reserve</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Balance at</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1/01/10</w:t>
            </w: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Charges</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Paid in 2010</w:t>
            </w:r>
          </w:p>
        </w:tc>
        <w:tc>
          <w:tcPr>
            <w:tcW w:w="2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Impacts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12/31/2010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Severance and other employee costs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1"/>
              </w:rPr>
              <w:t>(127)</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80" w:type="dxa"/>
            <w:vAlign w:val="bottom"/>
            <w:vMerge w:val="restart"/>
          </w:tcPr>
          <w:p>
            <w:pPr>
              <w:jc w:val="right"/>
              <w:ind w:right="51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340"/>
        <w:spacing w:after="0" w:line="306" w:lineRule="auto"/>
        <w:rPr>
          <w:sz w:val="20"/>
          <w:szCs w:val="20"/>
          <w:color w:val="auto"/>
        </w:rPr>
      </w:pPr>
      <w:r>
        <w:rPr>
          <w:rFonts w:ascii="Arial" w:cs="Arial" w:eastAsia="Arial" w:hAnsi="Arial"/>
          <w:sz w:val="16"/>
          <w:szCs w:val="16"/>
          <w:color w:val="auto"/>
        </w:rPr>
        <w:t>These restructuring costs were recorded in the Restructuring and Impairment Charges line as a component of income (loss) from operations. The liability balance for severance and other employee costs were reported within the Accrued salaries, wages and benefits line of the Consolidated Balance Sheets. There were no restructuring charges incurred during the year ended December 31, 2011.</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Impairments of Goodwill and Other Long-Lived Tangible and Intangible Assets</w:t>
      </w:r>
    </w:p>
    <w:p>
      <w:pPr>
        <w:spacing w:after="0" w:line="96" w:lineRule="exact"/>
        <w:rPr>
          <w:sz w:val="20"/>
          <w:szCs w:val="20"/>
          <w:color w:val="auto"/>
        </w:rPr>
      </w:pPr>
    </w:p>
    <w:p>
      <w:pPr>
        <w:jc w:val="both"/>
        <w:ind w:left="920" w:right="380"/>
        <w:spacing w:after="0" w:line="259" w:lineRule="auto"/>
        <w:rPr>
          <w:sz w:val="20"/>
          <w:szCs w:val="20"/>
          <w:color w:val="auto"/>
        </w:rPr>
      </w:pPr>
      <w:r>
        <w:rPr>
          <w:rFonts w:ascii="Arial" w:cs="Arial" w:eastAsia="Arial" w:hAnsi="Arial"/>
          <w:sz w:val="18"/>
          <w:szCs w:val="18"/>
          <w:color w:val="auto"/>
        </w:rPr>
        <w:t>During the year ended December 31, 2009, we adjusted the fair value of the building and land of our Kilkenny Plant to its current estimated fair value resulting in a $235 charge. This impairment charge was reported in the Restructuring and Impairment Charges line as a component of loss from operations in 2009.</w:t>
      </w:r>
    </w:p>
    <w:p>
      <w:pPr>
        <w:spacing w:after="0" w:line="59"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For the year ended December 31, 2010, we recorded $308 of non-cash impairment charges related to the impairment of production machinery at the Eltmann Plant as this subsidiary was legally required to file for bankruptcy in January 2011. This impairment charge was reported in the Restructuring and Impairment Charges line as a component of income from operations in 2010 (See Notes 1 and 15 of the Notes to Consolidated Financial Statements).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20" w:type="dxa"/>
            <w:vAlign w:val="bottom"/>
            <w:gridSpan w:val="3"/>
          </w:tcPr>
          <w:p>
            <w:pPr>
              <w:ind w:left="160"/>
              <w:spacing w:after="0"/>
              <w:rPr>
                <w:sz w:val="20"/>
                <w:szCs w:val="20"/>
                <w:color w:val="auto"/>
              </w:rPr>
            </w:pPr>
            <w:r>
              <w:rPr>
                <w:rFonts w:ascii="Arial" w:cs="Arial" w:eastAsia="Arial" w:hAnsi="Arial"/>
                <w:sz w:val="18"/>
                <w:szCs w:val="18"/>
                <w:b w:val="1"/>
                <w:bCs w:val="1"/>
                <w:color w:val="auto"/>
              </w:rPr>
              <w:t>Accounts Receivable and Sales Concentrations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6"/>
          </w:tcPr>
          <w:p>
            <w:pPr>
              <w:ind w:left="100"/>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tcPr>
          <w:p>
            <w:pPr>
              <w:ind w:left="3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$67,145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$63,809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66,707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63,331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0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Activity in the allowance for doubtful accounts is as follows:</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gridSpan w:val="2"/>
            <w:vMerge w:val="restart"/>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Additions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Write-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gridSpan w:val="2"/>
            <w:vMerge w:val="continue"/>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of Year</w:t>
            </w:r>
          </w:p>
        </w:tc>
        <w:tc>
          <w:tcPr>
            <w:tcW w:w="240" w:type="dxa"/>
            <w:vAlign w:val="bottom"/>
          </w:tcPr>
          <w:p>
            <w:pPr>
              <w:spacing w:after="0"/>
              <w:rPr>
                <w:sz w:val="14"/>
                <w:szCs w:val="14"/>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(reductions)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77"/>
              </w:rPr>
              <w:t>offs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5"/>
          </w:tcPr>
          <w:p>
            <w:pPr>
              <w:jc w:val="right"/>
              <w:ind w:right="340"/>
              <w:spacing w:after="0" w:line="148" w:lineRule="exact"/>
              <w:rPr>
                <w:sz w:val="20"/>
                <w:szCs w:val="20"/>
                <w:color w:val="auto"/>
              </w:rPr>
            </w:pPr>
            <w:r>
              <w:rPr>
                <w:rFonts w:ascii="Arial" w:cs="Arial" w:eastAsia="Arial" w:hAnsi="Arial"/>
                <w:sz w:val="14"/>
                <w:szCs w:val="14"/>
                <w:b w:val="1"/>
                <w:bCs w:val="1"/>
                <w:color w:val="auto"/>
                <w:w w:val="94"/>
              </w:rPr>
              <w:t>Impacts</w:t>
            </w:r>
          </w:p>
        </w:tc>
        <w:tc>
          <w:tcPr>
            <w:tcW w:w="260" w:type="dxa"/>
            <w:vAlign w:val="bottom"/>
          </w:tcPr>
          <w:p>
            <w:pPr>
              <w:spacing w:after="0"/>
              <w:rPr>
                <w:sz w:val="14"/>
                <w:szCs w:val="14"/>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2011</w:t>
            </w: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980" w:type="dxa"/>
            <w:vAlign w:val="bottom"/>
            <w:gridSpan w:val="6"/>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(2)</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(119)</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5</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00" w:type="dxa"/>
            <w:vAlign w:val="bottom"/>
            <w:gridSpan w:val="8"/>
          </w:tcPr>
          <w:p>
            <w:pPr>
              <w:ind w:left="200"/>
              <w:spacing w:after="0"/>
              <w:rPr>
                <w:sz w:val="20"/>
                <w:szCs w:val="20"/>
                <w:color w:val="auto"/>
              </w:rPr>
            </w:pPr>
            <w:r>
              <w:rPr>
                <w:rFonts w:ascii="Arial" w:cs="Arial" w:eastAsia="Arial" w:hAnsi="Arial"/>
                <w:sz w:val="18"/>
                <w:szCs w:val="18"/>
                <w:color w:val="auto"/>
                <w:w w:val="86"/>
              </w:rPr>
              <w:t>For the years ended December 31, 2011, 2010 and 2009, sales to SKF amounted to $159,668, $</w:t>
            </w:r>
          </w:p>
        </w:tc>
        <w:tc>
          <w:tcPr>
            <w:tcW w:w="3800" w:type="dxa"/>
            <w:vAlign w:val="bottom"/>
            <w:gridSpan w:val="19"/>
          </w:tcPr>
          <w:p>
            <w:pPr>
              <w:spacing w:after="0"/>
              <w:rPr>
                <w:sz w:val="20"/>
                <w:szCs w:val="20"/>
                <w:color w:val="auto"/>
              </w:rPr>
            </w:pPr>
            <w:r>
              <w:rPr>
                <w:rFonts w:ascii="Arial" w:cs="Arial" w:eastAsia="Arial" w:hAnsi="Arial"/>
                <w:sz w:val="18"/>
                <w:szCs w:val="18"/>
                <w:color w:val="auto"/>
                <w:w w:val="88"/>
              </w:rPr>
              <w:t>139,242, and $93,385, respectively, or 37.6%, 38.1%,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700" w:type="dxa"/>
            <w:vAlign w:val="bottom"/>
            <w:gridSpan w:val="27"/>
          </w:tcPr>
          <w:p>
            <w:pPr>
              <w:ind w:left="200"/>
              <w:spacing w:after="0"/>
              <w:rPr>
                <w:sz w:val="20"/>
                <w:szCs w:val="20"/>
                <w:color w:val="auto"/>
              </w:rPr>
            </w:pPr>
            <w:r>
              <w:rPr>
                <w:rFonts w:ascii="Arial" w:cs="Arial" w:eastAsia="Arial" w:hAnsi="Arial"/>
                <w:sz w:val="18"/>
                <w:szCs w:val="18"/>
                <w:color w:val="auto"/>
                <w:w w:val="88"/>
              </w:rPr>
              <w:t>and 36.0% of consolidated revenues, respectively. None of our other customers accounted for more than 10% of our net sales in 2011, 2010 or 2009.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700" w:type="dxa"/>
            <w:vAlign w:val="bottom"/>
            <w:gridSpan w:val="27"/>
          </w:tcPr>
          <w:p>
            <w:pPr>
              <w:ind w:left="200"/>
              <w:spacing w:after="0"/>
              <w:rPr>
                <w:sz w:val="20"/>
                <w:szCs w:val="20"/>
                <w:color w:val="auto"/>
              </w:rPr>
            </w:pPr>
            <w:r>
              <w:rPr>
                <w:rFonts w:ascii="Arial" w:cs="Arial" w:eastAsia="Arial" w:hAnsi="Arial"/>
                <w:sz w:val="18"/>
                <w:szCs w:val="18"/>
                <w:color w:val="auto"/>
                <w:w w:val="88"/>
              </w:rPr>
              <w:t>SKF and SNR Roulements (“SNR”) were the only customers with accounts receivable concentrations in excess of 10% in 2011 and 2010. Schaeffler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gridSpan w:val="25"/>
          </w:tcPr>
          <w:p>
            <w:pPr>
              <w:ind w:left="200"/>
              <w:spacing w:after="0"/>
              <w:rPr>
                <w:sz w:val="20"/>
                <w:szCs w:val="20"/>
                <w:color w:val="auto"/>
              </w:rPr>
            </w:pPr>
            <w:r>
              <w:rPr>
                <w:rFonts w:ascii="Arial" w:cs="Arial" w:eastAsia="Arial" w:hAnsi="Arial"/>
                <w:sz w:val="18"/>
                <w:szCs w:val="18"/>
                <w:color w:val="auto"/>
                <w:w w:val="87"/>
              </w:rPr>
              <w:t>Group had accounts receivable concentrations in excess of 10% in 2010 but not for 2011. The outstanding balance as of December 31, 2011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40" w:type="dxa"/>
            <w:vAlign w:val="bottom"/>
            <w:gridSpan w:val="6"/>
          </w:tcPr>
          <w:p>
            <w:pPr>
              <w:ind w:left="200"/>
              <w:spacing w:after="0"/>
              <w:rPr>
                <w:sz w:val="20"/>
                <w:szCs w:val="20"/>
                <w:color w:val="auto"/>
              </w:rPr>
            </w:pPr>
            <w:r>
              <w:rPr>
                <w:rFonts w:ascii="Arial" w:cs="Arial" w:eastAsia="Arial" w:hAnsi="Arial"/>
                <w:sz w:val="18"/>
                <w:szCs w:val="18"/>
                <w:color w:val="auto"/>
                <w:w w:val="90"/>
              </w:rPr>
              <w:t>2010 for SKF was $22,572 and $18,739, respectively. The outstanding balance as of</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jc w:val="right"/>
              <w:ind w:right="2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color w:val="auto"/>
        </w:rPr>
        <w:t>December 31, 2011 and 2010 for SNR was $6,796 and $7,059, respectively. The outstanding balance as of December 31, 2010 for Schaeffler Group was $6,768. All revenues and receivables related to SKF and Schaeffler Group are in the Metal Bearing Components and Plastic and Rubber Components Segments. All revenues and receivables related to SNR are in the Metal Bearing Components Segment.</w:t>
      </w:r>
    </w:p>
    <w:p>
      <w:pPr>
        <w:spacing w:after="0" w:line="2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Note Receivable</w:t>
      </w:r>
    </w:p>
    <w:p>
      <w:pPr>
        <w:spacing w:after="0" w:line="96"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Property, plant and equipment with a net book value of $2,230 were sold in exchange for a promissory note with a fair value of $1,562, as of August 31, 2010, (described below as the Tempe Fixed Asset Note).</w:t>
      </w:r>
    </w:p>
    <w:p>
      <w:pPr>
        <w:spacing w:after="0" w:line="59"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December 31, 2011, the note had an estimated fair value and carrying value of $1,772 determined using a discounted cash flow method applying market interest rates for similar types of seller financed, partially secured promissory notes (Level 3 under the U.S. GAAP fair value hierarchy). This note is reported within other current assets for the current portion and other non-current assets for the long-term portion within the Consolidated Balance Sheets.</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$13,855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8,425</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Less-inventory reserve</w:t>
            </w:r>
          </w:p>
        </w:tc>
        <w:tc>
          <w:tcPr>
            <w:tcW w:w="26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46,023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Inventory on consignment at customers’ sites at December 31, 2011 and 2010 was approximately $4,156 and $3,401, respectively.</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6)</w:t>
            </w:r>
          </w:p>
        </w:tc>
        <w:tc>
          <w:tcPr>
            <w:tcW w:w="4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2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owned</w:t>
            </w: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2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15-40 years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Buildings under capital lease</w:t>
            </w:r>
          </w:p>
        </w:tc>
        <w:tc>
          <w:tcPr>
            <w:tcW w:w="28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20 years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3-12 years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237,051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298,387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2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177,859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120,528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vMerge w:val="restart"/>
          </w:tcPr>
          <w:p>
            <w:pPr>
              <w:jc w:val="right"/>
              <w:ind w:right="1472"/>
              <w:spacing w:after="0"/>
              <w:rPr>
                <w:sz w:val="20"/>
                <w:szCs w:val="20"/>
                <w:color w:val="auto"/>
              </w:rPr>
            </w:pPr>
            <w:r>
              <w:rPr>
                <w:rFonts w:ascii="Arial" w:cs="Arial" w:eastAsia="Arial" w:hAnsi="Arial"/>
                <w:sz w:val="18"/>
                <w:szCs w:val="18"/>
                <w:color w:val="auto"/>
              </w:rPr>
              <w:t>47</w:t>
            </w: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300"/>
        <w:spacing w:after="0" w:line="259" w:lineRule="auto"/>
        <w:rPr>
          <w:sz w:val="20"/>
          <w:szCs w:val="20"/>
          <w:color w:val="auto"/>
        </w:rPr>
      </w:pPr>
      <w:r>
        <w:rPr>
          <w:rFonts w:ascii="Arial" w:cs="Arial" w:eastAsia="Arial" w:hAnsi="Arial"/>
          <w:sz w:val="18"/>
          <w:szCs w:val="18"/>
          <w:color w:val="auto"/>
        </w:rPr>
        <w:t>During the first quarter of 2011, we reduced machinery and equipment by $11,102 and accumulated depreciation by $9,759 for a net reduction in property, plant and equipment of $1,343 related to the Eltmann Plant deconsolidation. (See Note 1 of the Notes to Consolidated Financial Statements).</w:t>
      </w:r>
    </w:p>
    <w:p>
      <w:pPr>
        <w:spacing w:after="0" w:line="59"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During the fourth quarter of 2011, property, plant and equipment increased for the addition of land and building totaling $1,948 acquired through a 20 year capital lease obligation at our Kunshan Plant effective October 1, 2011.</w:t>
      </w:r>
    </w:p>
    <w:p>
      <w:pPr>
        <w:spacing w:after="0" w:line="51"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During the first quarter of 2010, we incurred $1,000 of accelerated depreciation to adjust certain assets that were to be abandoned as a result of NN ceasing operations at the Tempe Plant to the new estimated salvage values. (See Note 2 of the Notes to Consolidated Financial Statements).</w:t>
      </w:r>
    </w:p>
    <w:p>
      <w:pPr>
        <w:spacing w:after="0" w:line="4" w:lineRule="exact"/>
        <w:rPr>
          <w:sz w:val="20"/>
          <w:szCs w:val="20"/>
          <w:color w:val="auto"/>
        </w:rPr>
      </w:pPr>
    </w:p>
    <w:p>
      <w:pPr>
        <w:ind w:left="920" w:right="480"/>
        <w:spacing w:after="0" w:line="259" w:lineRule="auto"/>
        <w:rPr>
          <w:sz w:val="20"/>
          <w:szCs w:val="20"/>
          <w:color w:val="auto"/>
        </w:rPr>
      </w:pPr>
      <w:r>
        <w:rPr>
          <w:rFonts w:ascii="Arial" w:cs="Arial" w:eastAsia="Arial" w:hAnsi="Arial"/>
          <w:sz w:val="18"/>
          <w:szCs w:val="18"/>
          <w:color w:val="auto"/>
        </w:rPr>
        <w:t>During the third quarter of 2010, we sold machinery that ceased to be used at our Tempe Plant with a net book value of $2,230 in exchange for promissory notes receivable with a carrying value and estimated fair value of $1,562. (See Note 4 of the Notes to Consolidated Financial Statements).</w:t>
      </w:r>
    </w:p>
    <w:p>
      <w:pPr>
        <w:spacing w:after="0" w:line="59"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As of December 31, 2010, the asset groups of the Wellington Plants and Eltmann Plant were tested for impairment pursuant to impairment testing relative to long-lived assets due to the losses incurred by the Wellington Plants during 2010 and the legally required bankruptcy filing on January 20, 2011 of Eltmann. The results of our analysis indicated impairment was not warranted for the Wellington Plants. The Eltmann production machinery was reduced by $308 to its current estimated fair value.</w:t>
      </w:r>
    </w:p>
    <w:p>
      <w:pPr>
        <w:spacing w:after="0" w:line="25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Long-term debt at December 31, 2011 and 2010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88"/>
        </w:trPr>
        <w:tc>
          <w:tcPr>
            <w:tcW w:w="98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6"/>
              </w:rPr>
              <w:t>Borrowings under our $100,000 revolving credit facility bearing interest at a floating rate equal to LIBOR (0.30% at December 31,</w:t>
            </w: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plus an applicable margin of 3.00%, expiring December 21, 2014.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$40,989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shd w:val="clear" w:color="auto" w:fill="CCEEFF"/>
          </w:tcPr>
          <w:p>
            <w:pPr>
              <w:spacing w:after="0"/>
              <w:rPr>
                <w:sz w:val="19"/>
                <w:szCs w:val="19"/>
                <w:color w:val="auto"/>
              </w:rPr>
            </w:pPr>
          </w:p>
        </w:tc>
      </w:tr>
      <w:tr>
        <w:trPr>
          <w:trHeight w:val="208"/>
        </w:trPr>
        <w:tc>
          <w:tcPr>
            <w:tcW w:w="9860" w:type="dxa"/>
            <w:vAlign w:val="bottom"/>
          </w:tcPr>
          <w:p>
            <w:pPr>
              <w:spacing w:after="0"/>
              <w:rPr>
                <w:sz w:val="20"/>
                <w:szCs w:val="20"/>
                <w:color w:val="auto"/>
              </w:rPr>
            </w:pPr>
            <w:r>
              <w:rPr>
                <w:rFonts w:ascii="Arial" w:cs="Arial" w:eastAsia="Arial" w:hAnsi="Arial"/>
                <w:sz w:val="18"/>
                <w:szCs w:val="18"/>
                <w:color w:val="auto"/>
                <w:w w:val="91"/>
              </w:rPr>
              <w:t>Borrowings under our $40,000 aggregate principal amount of senior notes bearing interest at a fixed rate of 5.39% maturing on April 26,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860" w:type="dxa"/>
            <w:vAlign w:val="bottom"/>
          </w:tcPr>
          <w:p>
            <w:pPr>
              <w:ind w:left="220"/>
              <w:spacing w:after="0"/>
              <w:rPr>
                <w:sz w:val="20"/>
                <w:szCs w:val="20"/>
                <w:color w:val="auto"/>
              </w:rPr>
            </w:pPr>
            <w:r>
              <w:rPr>
                <w:rFonts w:ascii="Arial" w:cs="Arial" w:eastAsia="Arial" w:hAnsi="Arial"/>
                <w:sz w:val="18"/>
                <w:szCs w:val="18"/>
                <w:color w:val="auto"/>
              </w:rPr>
              <w:t>2014. Annual principal payments of $5,714 began on April 26, 2008 and extend through the date of maturity.</w:t>
            </w:r>
          </w:p>
        </w:tc>
        <w:tc>
          <w:tcPr>
            <w:tcW w:w="580" w:type="dxa"/>
            <w:vAlign w:val="bottom"/>
          </w:tcPr>
          <w:p>
            <w:pPr>
              <w:jc w:val="right"/>
              <w:spacing w:after="0"/>
              <w:rPr>
                <w:sz w:val="20"/>
                <w:szCs w:val="20"/>
                <w:color w:val="auto"/>
              </w:rPr>
            </w:pPr>
            <w:r>
              <w:rPr>
                <w:rFonts w:ascii="Arial" w:cs="Arial" w:eastAsia="Arial" w:hAnsi="Arial"/>
                <w:sz w:val="18"/>
                <w:szCs w:val="18"/>
                <w:color w:val="auto"/>
              </w:rPr>
              <w:t>17,143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19"/>
                <w:szCs w:val="19"/>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w w:val="97"/>
              </w:rPr>
              <w:t>Borrowings under our $20,000 aggregate principal amount of senior notes bearing interest at a fixed rate of 4.64% maturing on</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December 20, 2018. Annual principal payments of $4,000 will begin on December 22, 2014 and extend through the date of maturity.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2"/>
        </w:trPr>
        <w:tc>
          <w:tcPr>
            <w:tcW w:w="986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580" w:type="dxa"/>
            <w:vAlign w:val="bottom"/>
          </w:tcPr>
          <w:p>
            <w:pPr>
              <w:jc w:val="right"/>
              <w:spacing w:after="0"/>
              <w:rPr>
                <w:sz w:val="20"/>
                <w:szCs w:val="20"/>
                <w:color w:val="auto"/>
              </w:rPr>
            </w:pPr>
            <w:r>
              <w:rPr>
                <w:rFonts w:ascii="Arial" w:cs="Arial" w:eastAsia="Arial" w:hAnsi="Arial"/>
                <w:sz w:val="18"/>
                <w:szCs w:val="18"/>
                <w:color w:val="auto"/>
              </w:rPr>
              <w:t>78,132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73,357</w:t>
            </w:r>
          </w:p>
        </w:tc>
        <w:tc>
          <w:tcPr>
            <w:tcW w:w="100" w:type="dxa"/>
            <w:vAlign w:val="bottom"/>
          </w:tcPr>
          <w:p>
            <w:pPr>
              <w:spacing w:after="0"/>
              <w:rPr>
                <w:sz w:val="19"/>
                <w:szCs w:val="19"/>
                <w:color w:val="auto"/>
              </w:rPr>
            </w:pPr>
          </w:p>
        </w:tc>
      </w:tr>
      <w:tr>
        <w:trPr>
          <w:trHeight w:val="217"/>
        </w:trPr>
        <w:tc>
          <w:tcPr>
            <w:tcW w:w="9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maturities of long-term debt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8"/>
                <w:szCs w:val="18"/>
                <w:color w:val="auto"/>
              </w:rPr>
            </w:pPr>
          </w:p>
        </w:tc>
      </w:tr>
      <w:tr>
        <w:trPr>
          <w:trHeight w:val="222"/>
        </w:trPr>
        <w:tc>
          <w:tcPr>
            <w:tcW w:w="9860" w:type="dxa"/>
            <w:vAlign w:val="bottom"/>
          </w:tcPr>
          <w:p>
            <w:pPr>
              <w:ind w:left="440"/>
              <w:spacing w:after="0"/>
              <w:rPr>
                <w:sz w:val="20"/>
                <w:szCs w:val="20"/>
                <w:color w:val="auto"/>
              </w:rPr>
            </w:pPr>
            <w:r>
              <w:rPr>
                <w:rFonts w:ascii="Arial" w:cs="Arial" w:eastAsia="Arial" w:hAnsi="Arial"/>
                <w:sz w:val="18"/>
                <w:szCs w:val="18"/>
                <w:color w:val="auto"/>
              </w:rPr>
              <w:t>Long-term debt, excluding current maturities</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71,629</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67,643</w:t>
            </w:r>
          </w:p>
        </w:tc>
        <w:tc>
          <w:tcPr>
            <w:tcW w:w="10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December 20, 2011, we borrowed an additional $20,000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 Prudential Capital also agreed to reduce the rate on the Company’s existing $17,143 of fixed rate notes due in 2014 from 6.50% to 5.39%.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30, 2011, NN amended its $100,000 revolving credit agreement agented by KeyBank and its long-term loan agreement with Prudential Capital in order to adjust the fixed charge coverage ratio covenant to better correlate current and expected levels of capital spending and other fixed charges with earnings before taxes, interest and depreciation (EBITDA). The fixed charge coverage ratio was reduced from not less than 1.10 to 1.00 and not less than 1.25 to 1.00 (for quarters ending after September 30, 2011) to “not to be less than 1.00 to 1.00 as of the last day of any fiscal quarter” for the quarters ending September 30, 2011 through September 30, 2012. Starting October 1, 2012, the fixed charge coverage ratio increases to “not to be less than 1.25 to 1.00 as of the last day of any fiscal quarter”. The amendments also provide that the company will assure that the total outstanding under the revolving credit agreement shall be at least $10,000 less than the total committed amount of $100,000 during the period commencing September 30, 2011 and ending on September 30, 2012.</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21, 2010, we entered into an amended and restated revolving credit facility expiring December 21, 2014 with Key Bank as administrative agent with an initial size of $75,000.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$60,000, under the same terms and conditions. On March 9, 2011, we exercised an option to increase the size of the facility from $75,000 to $100,000 to allow additional flexibility and to fund potential growth projects.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$10,000 swing line feature to meet short term cash flow needs. Any borrowings under this swing line are considered short term. Costs associated with entering into the revolving credit facility and the subsequent September 30, 2011 amendment were capitalized and will be amortized into interest expense over the life of the facility. As of December 31, 2011 and 2010, $1,761 and $1,978, respectively, of net capitalized loan origination costs related to the revolving credit facility were recorded on the consolidated balance sheet within other non-current assets.</w:t>
      </w:r>
    </w:p>
    <w:p>
      <w:pPr>
        <w:spacing w:after="0" w:line="124"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On December 21, 2010, our senior notes agreement with Prudential Capital was also amended. The amended agreement was entered into to adjust our financial and non-financial covenants to more normalized measures. There were no changes to the terms or availability of credit but the interest rate was reduced from</w:t>
      </w:r>
    </w:p>
    <w:p>
      <w:pPr>
        <w:spacing w:after="0" w:line="288" w:lineRule="auto"/>
        <w:rPr>
          <w:sz w:val="20"/>
          <w:szCs w:val="20"/>
          <w:color w:val="auto"/>
        </w:rPr>
      </w:pPr>
      <w:r>
        <w:rPr>
          <w:rFonts w:ascii="Arial" w:cs="Arial" w:eastAsia="Arial" w:hAnsi="Arial"/>
          <w:sz w:val="16"/>
          <w:szCs w:val="16"/>
          <w:color w:val="auto"/>
        </w:rPr>
        <w:t>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notes mature on April 26, 2014. Annual principal payments of approximately $5,714 began on April 26, 2008 and extend through the date of maturity. We incurred costs as a result of issuing these notes and the subsequent September 30, 2011 and December 20, 2011 amendments which have been recorded as a component of other non-current assets and are being amortized over the term of the notes. The unamortized balance at December 31, 2011 and 2010 was $290 and $428, respectively.</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aggregate maturities of long-term debt including current portion for each of the five years subsequent to December 31, 2011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2013</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2015</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80" w:type="dxa"/>
            <w:vAlign w:val="bottom"/>
            <w:vMerge w:val="restart"/>
          </w:tcPr>
          <w:p>
            <w:pPr>
              <w:jc w:val="right"/>
              <w:ind w:right="2972"/>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49" w:name="page50"/>
    <w:bookmarkEnd w:id="4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right="40"/>
        <w:spacing w:after="0" w:line="314" w:lineRule="auto"/>
        <w:rPr>
          <w:sz w:val="20"/>
          <w:szCs w:val="20"/>
          <w:color w:val="auto"/>
        </w:rPr>
      </w:pPr>
      <w:r>
        <w:rPr>
          <w:rFonts w:ascii="Arial" w:cs="Arial" w:eastAsia="Arial" w:hAnsi="Arial"/>
          <w:sz w:val="15"/>
          <w:szCs w:val="15"/>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$520 and $1,930 (at current exchange rates), respectively and undiscounted annual lease payments are approximately $287 (approximately $5,700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24" w:lineRule="exact"/>
        <w:rPr>
          <w:sz w:val="20"/>
          <w:szCs w:val="20"/>
          <w:color w:val="auto"/>
        </w:rPr>
      </w:pPr>
    </w:p>
    <w:p>
      <w:pPr>
        <w:ind w:left="912" w:right="40"/>
        <w:spacing w:after="0" w:line="312" w:lineRule="auto"/>
        <w:rPr>
          <w:sz w:val="20"/>
          <w:szCs w:val="20"/>
          <w:color w:val="auto"/>
        </w:rPr>
      </w:pPr>
      <w:r>
        <w:rPr>
          <w:rFonts w:ascii="Arial" w:cs="Arial" w:eastAsia="Arial" w:hAnsi="Arial"/>
          <w:sz w:val="15"/>
          <w:szCs w:val="15"/>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were estimated to be approximately $854 and $1,107 (at current exchange rates), respectively and undiscounted annual lease payments are approximately $185 (approximately $3,700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2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Below are the minimum future lease payments under both capital leases together with the present value of the net minimum lease payments as of</w:t>
      </w:r>
    </w:p>
    <w:p>
      <w:pPr>
        <w:spacing w:after="0" w:line="3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2013</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2015</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912" w:right="40"/>
        <w:spacing w:after="0" w:line="286" w:lineRule="auto"/>
        <w:rPr>
          <w:sz w:val="20"/>
          <w:szCs w:val="20"/>
          <w:color w:val="auto"/>
        </w:rPr>
      </w:pPr>
      <w:r>
        <w:rPr>
          <w:rFonts w:ascii="Arial" w:cs="Arial" w:eastAsia="Arial" w:hAnsi="Arial"/>
          <w:sz w:val="16"/>
          <w:szCs w:val="16"/>
          <w:color w:val="auto"/>
        </w:rPr>
        <w:t>We have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Currently, the matching contribution for U.S. employees of the Metal Bearing Components Segment is the greater of five hundred dollars or 50% of the first 4% of compensation contributed. The matching contributions for the Plastic and Rubber Components Segment locations are 25% of the first 6% of compensation contributed for the Lubbock Plant and 50% of the first 6% of compensation contributed for the Danielson Plant. The matching contribution for Precision Metal Components Segment employees is 25% of the first 5% of compensation contributed. All participant contributions are immediately vested at 100%. Contributions for the Metal Bearing Components Segment were $144, $117, and $112 in 2011, 2010, and 2009, respectively. Contributions for the Plastic and Rubber Components Segment were $94, $90, and $78 in 2011, 2010 and 2009, respectively. Contributions for the Precision Metal Components Segment employees were $96, $75, and $12 in 2011, 2010 and 2009, respectively.</w:t>
      </w:r>
    </w:p>
    <w:p>
      <w:pPr>
        <w:spacing w:after="0" w:line="46"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Prior to January 20, 2011, we had a defined benefit pension plan covering our Eltmann Plant. The benefits were based on the expected years of service. The plan was unfunded. Effective January 20, 2011, the defined benefit pension plan covering the employees at our Eltmann Plant is under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under this plan. (See Note 1 of the Notes to Consolidated Financial Statements).</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92"/>
          </w:cols>
          <w:pgMar w:left="248" w:top="274" w:right="259" w:bottom="1440" w:gutter="0" w:footer="0" w:header="0"/>
        </w:sectPr>
      </w:pPr>
    </w:p>
    <w:bookmarkStart w:id="50" w:name="page51"/>
    <w:bookmarkEnd w:id="50"/>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Following is a summary of the funded status and changes in the projected benefit obligation for the Eltmann defined benefit pension plan as of and during the years ended December 31, 2010 and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Funded Status:</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Benefit obligation</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Funded status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amount recognized under accrued pension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Items not yet recognized as a component of net periodic pension cost: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860"/>
              <w:spacing w:after="0"/>
              <w:rPr>
                <w:sz w:val="20"/>
                <w:szCs w:val="20"/>
                <w:color w:val="auto"/>
              </w:rPr>
            </w:pPr>
            <w:r>
              <w:rPr>
                <w:rFonts w:ascii="Arial" w:cs="Arial" w:eastAsia="Arial" w:hAnsi="Arial"/>
                <w:sz w:val="18"/>
                <w:szCs w:val="18"/>
                <w:color w:val="auto"/>
              </w:rPr>
              <w:t>Unrecognized net actuarial loss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5"/>
          </w:tcPr>
          <w:p>
            <w:pPr>
              <w:jc w:val="center"/>
              <w:ind w:left="33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Benefit obligation at beginning of year</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Benefits paid</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currency translation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652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obligation at December 31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assumptions as of December 31:</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5"/>
          </w:tcPr>
          <w:p>
            <w:pPr>
              <w:jc w:val="center"/>
              <w:spacing w:after="0"/>
              <w:rPr>
                <w:sz w:val="20"/>
                <w:szCs w:val="20"/>
                <w:color w:val="auto"/>
              </w:rPr>
            </w:pPr>
            <w:r>
              <w:rPr>
                <w:rFonts w:ascii="Arial" w:cs="Arial" w:eastAsia="Arial" w:hAnsi="Arial"/>
                <w:sz w:val="18"/>
                <w:szCs w:val="18"/>
                <w:color w:val="auto"/>
                <w:w w:val="90"/>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color w:val="auto"/>
                <w:w w:val="89"/>
              </w:rPr>
              <w:t>0% - 1.5%</w:t>
            </w: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Measurement date</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5"/>
          </w:tcPr>
          <w:p>
            <w:pPr>
              <w:jc w:val="center"/>
              <w:spacing w:after="0"/>
              <w:rPr>
                <w:sz w:val="20"/>
                <w:szCs w:val="20"/>
                <w:color w:val="auto"/>
              </w:rPr>
            </w:pPr>
            <w:r>
              <w:rPr>
                <w:rFonts w:ascii="Arial" w:cs="Arial" w:eastAsia="Arial" w:hAnsi="Arial"/>
                <w:sz w:val="18"/>
                <w:szCs w:val="18"/>
                <w:color w:val="auto"/>
                <w:w w:val="88"/>
              </w:rPr>
              <w:t>12/31/10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6520" w:type="dxa"/>
            <w:vAlign w:val="bottom"/>
          </w:tcPr>
          <w:p>
            <w:pPr>
              <w:spacing w:after="0"/>
              <w:rPr>
                <w:sz w:val="24"/>
                <w:szCs w:val="24"/>
                <w:color w:val="auto"/>
              </w:rPr>
            </w:pPr>
          </w:p>
        </w:tc>
        <w:tc>
          <w:tcPr>
            <w:tcW w:w="1280" w:type="dxa"/>
            <w:vAlign w:val="bottom"/>
            <w:gridSpan w:val="2"/>
          </w:tcPr>
          <w:p>
            <w:pPr>
              <w:jc w:val="center"/>
              <w:ind w:left="819"/>
              <w:spacing w:after="0"/>
              <w:rPr>
                <w:sz w:val="20"/>
                <w:szCs w:val="20"/>
                <w:color w:val="auto"/>
              </w:rPr>
            </w:pPr>
            <w:r>
              <w:rPr>
                <w:rFonts w:ascii="Arial" w:cs="Arial" w:eastAsia="Arial" w:hAnsi="Arial"/>
                <w:sz w:val="14"/>
                <w:szCs w:val="14"/>
                <w:b w:val="1"/>
                <w:bCs w:val="1"/>
                <w:color w:val="auto"/>
                <w:w w:val="83"/>
              </w:rPr>
              <w:t>2010</w:t>
            </w:r>
          </w:p>
        </w:tc>
        <w:tc>
          <w:tcPr>
            <w:tcW w:w="780" w:type="dxa"/>
            <w:vAlign w:val="bottom"/>
            <w:gridSpan w:val="5"/>
          </w:tcPr>
          <w:p>
            <w:pPr>
              <w:jc w:val="center"/>
              <w:ind w:left="31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Interest cost on projected benefit obligation</w:t>
            </w:r>
          </w:p>
        </w:tc>
        <w:tc>
          <w:tcPr>
            <w:tcW w:w="1280" w:type="dxa"/>
            <w:vAlign w:val="bottom"/>
            <w:gridSpan w:val="2"/>
          </w:tcPr>
          <w:p>
            <w:pPr>
              <w:jc w:val="center"/>
              <w:ind w:left="819"/>
              <w:spacing w:after="0"/>
              <w:rPr>
                <w:sz w:val="20"/>
                <w:szCs w:val="20"/>
                <w:color w:val="auto"/>
              </w:rPr>
            </w:pPr>
            <w:r>
              <w:rPr>
                <w:rFonts w:ascii="Arial" w:cs="Arial" w:eastAsia="Arial" w:hAnsi="Arial"/>
                <w:sz w:val="18"/>
                <w:szCs w:val="18"/>
                <w:color w:val="auto"/>
                <w:w w:val="94"/>
              </w:rPr>
              <w:t>$262</w:t>
            </w:r>
          </w:p>
        </w:tc>
        <w:tc>
          <w:tcPr>
            <w:tcW w:w="780" w:type="dxa"/>
            <w:vAlign w:val="bottom"/>
            <w:gridSpan w:val="5"/>
          </w:tcPr>
          <w:p>
            <w:pPr>
              <w:jc w:val="center"/>
              <w:ind w:left="337"/>
              <w:spacing w:after="0"/>
              <w:rPr>
                <w:sz w:val="20"/>
                <w:szCs w:val="20"/>
                <w:color w:val="auto"/>
              </w:rPr>
            </w:pPr>
            <w:r>
              <w:rPr>
                <w:rFonts w:ascii="Arial" w:cs="Arial" w:eastAsia="Arial" w:hAnsi="Arial"/>
                <w:sz w:val="18"/>
                <w:szCs w:val="18"/>
                <w:color w:val="auto"/>
                <w:w w:val="89"/>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net loss</w:t>
            </w:r>
          </w:p>
        </w:tc>
        <w:tc>
          <w:tcPr>
            <w:tcW w:w="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Net periodic pension benefit cost</w:t>
            </w:r>
          </w:p>
        </w:tc>
        <w:tc>
          <w:tcPr>
            <w:tcW w:w="1280" w:type="dxa"/>
            <w:vAlign w:val="bottom"/>
            <w:gridSpan w:val="2"/>
          </w:tcPr>
          <w:p>
            <w:pPr>
              <w:jc w:val="center"/>
              <w:ind w:left="819"/>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262</w:t>
            </w:r>
          </w:p>
        </w:tc>
        <w:tc>
          <w:tcPr>
            <w:tcW w:w="780" w:type="dxa"/>
            <w:vAlign w:val="bottom"/>
            <w:gridSpan w:val="5"/>
          </w:tcPr>
          <w:p>
            <w:pPr>
              <w:jc w:val="center"/>
              <w:ind w:left="33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520" w:type="dxa"/>
            <w:vAlign w:val="bottom"/>
          </w:tcPr>
          <w:p>
            <w:pPr>
              <w:spacing w:after="0"/>
              <w:rPr>
                <w:sz w:val="24"/>
                <w:szCs w:val="24"/>
                <w:color w:val="auto"/>
              </w:rPr>
            </w:pPr>
          </w:p>
        </w:tc>
        <w:tc>
          <w:tcPr>
            <w:tcW w:w="1280" w:type="dxa"/>
            <w:vAlign w:val="bottom"/>
            <w:gridSpan w:val="2"/>
          </w:tcPr>
          <w:p>
            <w:pPr>
              <w:jc w:val="center"/>
              <w:ind w:left="819"/>
              <w:spacing w:after="0"/>
              <w:rPr>
                <w:sz w:val="20"/>
                <w:szCs w:val="20"/>
                <w:color w:val="auto"/>
              </w:rPr>
            </w:pPr>
            <w:r>
              <w:rPr>
                <w:rFonts w:ascii="Arial" w:cs="Arial" w:eastAsia="Arial" w:hAnsi="Arial"/>
                <w:sz w:val="14"/>
                <w:szCs w:val="14"/>
                <w:b w:val="1"/>
                <w:bCs w:val="1"/>
                <w:color w:val="auto"/>
                <w:w w:val="83"/>
              </w:rPr>
              <w:t>2010</w:t>
            </w:r>
          </w:p>
        </w:tc>
        <w:tc>
          <w:tcPr>
            <w:tcW w:w="780" w:type="dxa"/>
            <w:vAlign w:val="bottom"/>
            <w:gridSpan w:val="5"/>
          </w:tcPr>
          <w:p>
            <w:pPr>
              <w:jc w:val="center"/>
              <w:ind w:left="31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Income:</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Period actuarial loss</w:t>
            </w:r>
          </w:p>
        </w:tc>
        <w:tc>
          <w:tcPr>
            <w:tcW w:w="1280" w:type="dxa"/>
            <w:vAlign w:val="bottom"/>
            <w:gridSpan w:val="2"/>
          </w:tcPr>
          <w:p>
            <w:pPr>
              <w:jc w:val="center"/>
              <w:ind w:left="819"/>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392</w:t>
            </w:r>
          </w:p>
        </w:tc>
        <w:tc>
          <w:tcPr>
            <w:tcW w:w="780" w:type="dxa"/>
            <w:vAlign w:val="bottom"/>
            <w:gridSpan w:val="5"/>
          </w:tcPr>
          <w:p>
            <w:pPr>
              <w:jc w:val="center"/>
              <w:ind w:left="33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pension cost</w:t>
            </w:r>
          </w:p>
        </w:tc>
        <w:tc>
          <w:tcPr>
            <w:tcW w:w="1280" w:type="dxa"/>
            <w:vAlign w:val="bottom"/>
            <w:gridSpan w:val="2"/>
            <w:shd w:val="clear" w:color="auto" w:fill="CCEEFF"/>
          </w:tcPr>
          <w:p>
            <w:pPr>
              <w:jc w:val="center"/>
              <w:ind w:left="819"/>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392</w:t>
            </w:r>
          </w:p>
        </w:tc>
        <w:tc>
          <w:tcPr>
            <w:tcW w:w="780" w:type="dxa"/>
            <w:vAlign w:val="bottom"/>
            <w:tcBorders>
              <w:right w:val="single" w:sz="8" w:color="CCEEFF"/>
            </w:tcBorders>
            <w:gridSpan w:val="5"/>
            <w:shd w:val="clear" w:color="auto" w:fill="CCEEFF"/>
          </w:tcPr>
          <w:p>
            <w:pPr>
              <w:jc w:val="center"/>
              <w:ind w:left="33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240"/>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160" w:top="274" w:right="419" w:bottom="1440" w:gutter="0" w:footer="0" w:header="0"/>
        </w:sectPr>
      </w:pPr>
    </w:p>
    <w:bookmarkStart w:id="51" w:name="page52"/>
    <w:bookmarkEnd w:id="5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Severance Indemnity</w:t>
      </w:r>
    </w:p>
    <w:p>
      <w:pPr>
        <w:spacing w:after="0" w:line="96" w:lineRule="exact"/>
        <w:rPr>
          <w:sz w:val="20"/>
          <w:szCs w:val="20"/>
          <w:color w:val="auto"/>
        </w:rPr>
      </w:pPr>
    </w:p>
    <w:p>
      <w:pPr>
        <w:ind w:left="912" w:right="360"/>
        <w:spacing w:after="0" w:line="268" w:lineRule="auto"/>
        <w:rPr>
          <w:sz w:val="20"/>
          <w:szCs w:val="20"/>
          <w:color w:val="auto"/>
        </w:rPr>
      </w:pPr>
      <w:r>
        <w:rPr>
          <w:rFonts w:ascii="Arial" w:cs="Arial" w:eastAsia="Arial" w:hAnsi="Arial"/>
          <w:sz w:val="18"/>
          <w:szCs w:val="18"/>
          <w:color w:val="auto"/>
        </w:rPr>
        <w:t>In accordance with Italian law, the Company has an unfunded severance plan under which all Italian employees are entitled to receive severance indemnities (Trattamento di Fine Rapporto or “TFR”) upon termination of their employment.</w:t>
      </w:r>
    </w:p>
    <w:p>
      <w:pPr>
        <w:spacing w:after="0" w:line="51"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2011 and 2010 reported under accrued pension in the Consolidated Balance Sheets.</w:t>
      </w:r>
    </w:p>
    <w:p>
      <w:pPr>
        <w:spacing w:after="0" w:line="152"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(7,115)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$(8,015)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Amounts accrued</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(1,189)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(899)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Payments to government managed plan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impacts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Ending balance</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(6,922)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(7,115)</w:t>
            </w: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96" w:lineRule="exact"/>
        <w:rPr>
          <w:sz w:val="20"/>
          <w:szCs w:val="20"/>
          <w:color w:val="auto"/>
        </w:rPr>
      </w:pPr>
    </w:p>
    <w:p>
      <w:pPr>
        <w:ind w:left="912" w:right="80"/>
        <w:spacing w:after="0" w:line="256" w:lineRule="auto"/>
        <w:rPr>
          <w:sz w:val="20"/>
          <w:szCs w:val="20"/>
          <w:color w:val="auto"/>
        </w:rPr>
      </w:pPr>
      <w:r>
        <w:rPr>
          <w:rFonts w:ascii="Arial" w:cs="Arial" w:eastAsia="Arial" w:hAnsi="Arial"/>
          <w:sz w:val="18"/>
          <w:szCs w:val="18"/>
          <w:color w:val="auto"/>
        </w:rPr>
        <w:t>We have two plans that cover our Veenendaal Plant employees. One provides an award for employees who achieve 25 or 40 years of service and the other is an award for employees upon retirement. These plans are both unfunded and the benefits are based on years of service and rate of compensation at the time the award is paid. The table below summarizes the changes in the two plans combined for the years ended December 31, 2011 and 2010.</w:t>
      </w:r>
    </w:p>
    <w:p>
      <w:pPr>
        <w:spacing w:after="0" w:line="179"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2"/>
              </w:rPr>
              <w:t>$(749)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$(805)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Service cost</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(52)</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Benefits paid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impacts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vMerge w:val="continue"/>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(783)</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jc w:val="both"/>
        <w:ind w:left="912"/>
        <w:spacing w:after="0" w:line="306"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26" w:lineRule="exact"/>
        <w:rPr>
          <w:sz w:val="20"/>
          <w:szCs w:val="20"/>
          <w:color w:val="auto"/>
        </w:rPr>
      </w:pPr>
    </w:p>
    <w:p>
      <w:pPr>
        <w:ind w:left="912" w:right="400"/>
        <w:spacing w:after="0" w:line="256" w:lineRule="auto"/>
        <w:rPr>
          <w:sz w:val="20"/>
          <w:szCs w:val="20"/>
          <w:color w:val="auto"/>
        </w:rPr>
      </w:pPr>
      <w:r>
        <w:rPr>
          <w:rFonts w:ascii="Arial" w:cs="Arial" w:eastAsia="Arial" w:hAnsi="Arial"/>
          <w:sz w:val="18"/>
          <w:szCs w:val="18"/>
          <w:color w:val="auto"/>
        </w:rPr>
        <w:t>In the years ended December 31, 2011, 2010, and 2009, approximately $828, $1,253, and $337, respectively of compensation expense was recognized in selling, general and administrative expense for all share-based awards. The compensation expense recognized in the years ended December 31, 2011, 2010 and 2009 related to stock options was $480, $152, and $337, respectively. The compensation expense related to stock awards was $348, $1,101, and $0, respectively.</w:t>
      </w:r>
    </w:p>
    <w:p>
      <w:pPr>
        <w:spacing w:after="0" w:line="62"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During the year ended December 31, 2011, our shareholders approved a new stock based compensation plan totaling 2,500 shares that can be issued in the form of stock options, stock appreciation rights and/or other stock based awards. Any options issued count as the equivalent of one share under the plan. Any stock appreciation rights and/or other stock based awards count as the equivalent one and a half shares under the new plan. As of December 31, 2011, we have approximately 2,200 maximum shares that can be issued as options, stock appreciation rights, and/or other stock based awards. Under our previously approved plan, we still have 67 options available for issuance.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12"/>
          </w:cols>
          <w:pgMar w:left="248" w:top="274" w:right="239" w:bottom="1440" w:gutter="0" w:footer="0" w:header="0"/>
        </w:sectPr>
      </w:pPr>
    </w:p>
    <w:bookmarkStart w:id="52" w:name="page53"/>
    <w:bookmarkEnd w:id="52"/>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a financial pricing model is utilized to determine fair value. We utilize the Black Scholes model which relies on certain assumptions to estimate an option’s fair value.</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2011, 2010 and 2009, we granted 216, 33, and 232 options, respectively, to certain key employees and non-employee directors. The weighted average grant date fair value of the options granted during the years ended December 31, 2011, 2010 and 2009 was $5.98, $2.64, and $0.77, respectively. Upon exercise of stock options, new shares of our stock are issued. The weighted average assumptions relevant to determining the fair value at the dates of grant are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 years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 years</w:t>
            </w:r>
          </w:p>
        </w:tc>
        <w:tc>
          <w:tcPr>
            <w:tcW w:w="2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42.10%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63.90%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expected dividend yield is derived by mathematical formula which uses the expected Company annual dividends over the expected term divided by the fair market value of the Company’s common stock at the grant date.</w:t>
      </w:r>
    </w:p>
    <w:p>
      <w:pPr>
        <w:spacing w:after="0" w:line="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2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80"/>
          </w:cols>
          <w:pgMar w:left="1160" w:top="274" w:right="259" w:bottom="1440" w:gutter="0" w:footer="0" w:header="0"/>
        </w:sectPr>
      </w:pPr>
    </w:p>
    <w:bookmarkStart w:id="53" w:name="page54"/>
    <w:bookmarkEnd w:id="5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2011:</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8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8"/>
        </w:trPr>
        <w:tc>
          <w:tcPr>
            <w:tcW w:w="6320" w:type="dxa"/>
            <w:vAlign w:val="bottom"/>
            <w:gridSpan w:val="3"/>
            <w:vMerge w:val="continue"/>
          </w:tcPr>
          <w:p>
            <w:pPr>
              <w:spacing w:after="0"/>
              <w:rPr>
                <w:sz w:val="12"/>
                <w:szCs w:val="12"/>
                <w:color w:val="auto"/>
              </w:rPr>
            </w:pPr>
          </w:p>
        </w:tc>
        <w:tc>
          <w:tcPr>
            <w:tcW w:w="74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90"/>
              </w:rPr>
              <w:t>(000’s)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55"/>
              <w:spacing w:after="0" w:line="148"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760" w:type="dxa"/>
            <w:vAlign w:val="bottom"/>
            <w:gridSpan w:val="2"/>
          </w:tcPr>
          <w:p>
            <w:pPr>
              <w:ind w:left="640"/>
              <w:spacing w:after="0" w:line="148" w:lineRule="exact"/>
              <w:rPr>
                <w:sz w:val="20"/>
                <w:szCs w:val="20"/>
                <w:color w:val="auto"/>
              </w:rPr>
            </w:pPr>
            <w:r>
              <w:rPr>
                <w:rFonts w:ascii="Arial" w:cs="Arial" w:eastAsia="Arial" w:hAnsi="Arial"/>
                <w:sz w:val="14"/>
                <w:szCs w:val="14"/>
                <w:b w:val="1"/>
                <w:bCs w:val="1"/>
                <w:color w:val="auto"/>
                <w:w w:val="79"/>
              </w:rPr>
              <w:t>($</w:t>
            </w:r>
          </w:p>
        </w:tc>
        <w:tc>
          <w:tcPr>
            <w:tcW w:w="360" w:type="dxa"/>
            <w:vAlign w:val="bottom"/>
          </w:tcPr>
          <w:p>
            <w:pPr>
              <w:jc w:val="right"/>
              <w:ind w:right="39"/>
              <w:spacing w:after="0" w:line="148" w:lineRule="exact"/>
              <w:rPr>
                <w:sz w:val="20"/>
                <w:szCs w:val="20"/>
                <w:color w:val="auto"/>
              </w:rPr>
            </w:pPr>
            <w:r>
              <w:rPr>
                <w:rFonts w:ascii="Arial" w:cs="Arial" w:eastAsia="Arial" w:hAnsi="Arial"/>
                <w:sz w:val="14"/>
                <w:szCs w:val="14"/>
                <w:b w:val="1"/>
                <w:bCs w:val="1"/>
                <w:color w:val="auto"/>
                <w:w w:val="78"/>
              </w:rPr>
              <w:t>000)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1,205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14.05</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8.76</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3"/>
            <w:vMerge w:val="continue"/>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right="100" w:hanging="452"/>
        <w:spacing w:after="0" w:line="228" w:lineRule="auto"/>
        <w:tabs>
          <w:tab w:leader="none" w:pos="452"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2011.</w:t>
      </w:r>
    </w:p>
    <w:p>
      <w:pPr>
        <w:spacing w:after="0" w:line="7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As of December 31, 2011, there was approximately $660 of unrecognized compensation costs to be recognized over approximately two years.</w:t>
      </w:r>
    </w:p>
    <w:p>
      <w:pPr>
        <w:spacing w:after="0" w:line="113" w:lineRule="exact"/>
        <w:rPr>
          <w:sz w:val="20"/>
          <w:szCs w:val="20"/>
          <w:color w:val="auto"/>
        </w:rPr>
      </w:pPr>
    </w:p>
    <w:p>
      <w:pPr>
        <w:ind w:left="912" w:right="20"/>
        <w:spacing w:after="0" w:line="298" w:lineRule="auto"/>
        <w:rPr>
          <w:sz w:val="20"/>
          <w:szCs w:val="20"/>
          <w:color w:val="auto"/>
        </w:rPr>
      </w:pPr>
      <w:r>
        <w:rPr>
          <w:rFonts w:ascii="Arial" w:cs="Arial" w:eastAsia="Arial" w:hAnsi="Arial"/>
          <w:sz w:val="16"/>
          <w:szCs w:val="16"/>
          <w:color w:val="auto"/>
        </w:rPr>
        <w:t>Cash proceeds from the exercise of options in the year ended December 31, 2011, 2010, and 2009 totaled approximately $2,382, $753, and $0, respectively. For the years ended December 31, 2011, 2010 and 2009, proceeds from stock options were presented inclusive of tax benefits of $0, $0, and $0, respectively, in the Financing Activities section of the Consolidated Statements of Cash Flows. The total intrinsic value of options exercised during the years ended December 31, 2011, 2010 and 2009 was $1,283, $89, and $0, respectively.</w:t>
      </w:r>
    </w:p>
    <w:p>
      <w:pPr>
        <w:spacing w:after="0" w:line="18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Stock Awards</w:t>
      </w:r>
    </w:p>
    <w:p>
      <w:pPr>
        <w:spacing w:after="0" w:line="96" w:lineRule="exact"/>
        <w:rPr>
          <w:sz w:val="20"/>
          <w:szCs w:val="20"/>
          <w:color w:val="auto"/>
        </w:rPr>
      </w:pPr>
    </w:p>
    <w:p>
      <w:pPr>
        <w:ind w:left="912"/>
        <w:spacing w:after="0" w:line="255" w:lineRule="auto"/>
        <w:rPr>
          <w:sz w:val="20"/>
          <w:szCs w:val="20"/>
          <w:color w:val="auto"/>
        </w:rPr>
      </w:pPr>
      <w:r>
        <w:rPr>
          <w:rFonts w:ascii="Arial" w:cs="Arial" w:eastAsia="Arial" w:hAnsi="Arial"/>
          <w:sz w:val="18"/>
          <w:szCs w:val="18"/>
          <w:color w:val="auto"/>
        </w:rPr>
        <w:t>During the year ended December 31, 2011 and 2010, we issued 75 and 249 shares, respectively, of our common stock. The fair value of the shares issued was determined by using the grant date price of our common stock. The recognized compensation expense for stock awards in the years ended December 31, 2011, 2010, and 2009 was approximately $348, $1,101, and $0, respectively. The shares issued in 2011 vest over three years. For the 2010 grant, we incurred $1,101 of compensation expense, which was the entire fair value of the grant, at the grant date due to the shares being fully vested at that date.</w:t>
      </w:r>
    </w:p>
    <w:p>
      <w:pPr>
        <w:spacing w:after="0" w:line="258"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96" w:lineRule="exact"/>
        <w:rPr>
          <w:sz w:val="20"/>
          <w:szCs w:val="20"/>
          <w:color w:val="auto"/>
        </w:rPr>
      </w:pPr>
    </w:p>
    <w:p>
      <w:pPr>
        <w:ind w:left="912" w:right="100"/>
        <w:spacing w:after="0" w:line="306" w:lineRule="auto"/>
        <w:rPr>
          <w:sz w:val="20"/>
          <w:szCs w:val="20"/>
          <w:color w:val="auto"/>
        </w:rPr>
      </w:pPr>
      <w:r>
        <w:rPr>
          <w:rFonts w:ascii="Arial" w:cs="Arial" w:eastAsia="Arial" w:hAnsi="Arial"/>
          <w:sz w:val="16"/>
          <w:szCs w:val="16"/>
          <w:color w:val="auto"/>
        </w:rPr>
        <w:t>As of December 31, 2011, we have recorded goodwill at only one site, the Pinerolo Plant reporting unit of the Metal Bearing Components Segment. We completed our annual goodwill impairment review during the fourth quarters of 2011, 2010, and 2009. For the year ended December 31, 2011, we concluded that there were no indicators of impairment at the Pinerolo Plant reporting unit.</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12"/>
          </w:cols>
          <w:pgMar w:left="248" w:top="274" w:right="239" w:bottom="1440" w:gutter="0" w:footer="0" w:header="0"/>
        </w:sectPr>
      </w:pPr>
    </w:p>
    <w:bookmarkStart w:id="54" w:name="page55"/>
    <w:bookmarkEnd w:id="5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changes in the carrying amount of goodwill for the years ended December 31, 2011, 2010 and 2009 are as follows:</w:t>
      </w:r>
    </w:p>
    <w:p>
      <w:pPr>
        <w:spacing w:after="0" w:line="195"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180" w:type="dxa"/>
            <w:vAlign w:val="bottom"/>
            <w:gridSpan w:val="4"/>
          </w:tcPr>
          <w:p>
            <w:pPr>
              <w:jc w:val="center"/>
              <w:ind w:left="2017"/>
              <w:spacing w:after="0"/>
              <w:rPr>
                <w:sz w:val="20"/>
                <w:szCs w:val="20"/>
                <w:color w:val="auto"/>
              </w:rPr>
            </w:pPr>
            <w:r>
              <w:rPr>
                <w:rFonts w:ascii="Arial" w:cs="Arial" w:eastAsia="Arial" w:hAnsi="Arial"/>
                <w:sz w:val="14"/>
                <w:szCs w:val="14"/>
                <w:b w:val="1"/>
                <w:bCs w:val="1"/>
                <w:color w:val="auto"/>
                <w:w w:val="91"/>
              </w:rPr>
              <w:t>Metal Bearing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2009</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 cumulative accumulated impairment charges included in the reported goodwill balances at December 31, 2011, 2010 and 2009 are $40,045.</w:t>
      </w:r>
    </w:p>
    <w:p>
      <w:pPr>
        <w:spacing w:after="0" w:line="310"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96" w:lineRule="exact"/>
        <w:rPr>
          <w:sz w:val="20"/>
          <w:szCs w:val="20"/>
          <w:color w:val="auto"/>
        </w:rPr>
      </w:pPr>
    </w:p>
    <w:p>
      <w:pPr>
        <w:ind w:left="912" w:right="220"/>
        <w:spacing w:after="0" w:line="259" w:lineRule="auto"/>
        <w:rPr>
          <w:sz w:val="20"/>
          <w:szCs w:val="20"/>
          <w:color w:val="auto"/>
        </w:rPr>
      </w:pPr>
      <w:r>
        <w:rPr>
          <w:rFonts w:ascii="Arial" w:cs="Arial" w:eastAsia="Arial" w:hAnsi="Arial"/>
          <w:sz w:val="18"/>
          <w:szCs w:val="18"/>
          <w:color w:val="auto"/>
        </w:rPr>
        <w:t>The Precision Metal Components Segment has an intangible asset not subject to amortization of $900 related to the value of the trade names of Whirlaway. This indefinite lived intangible asset was tested for impairment pursuant to U.S. GAAP as of December 31, 2011 and the fair value of this intangible asset exceeded its book value.</w:t>
      </w:r>
    </w:p>
    <w:p>
      <w:pPr>
        <w:spacing w:after="0" w:line="59" w:lineRule="exact"/>
        <w:rPr>
          <w:sz w:val="20"/>
          <w:szCs w:val="20"/>
          <w:color w:val="auto"/>
        </w:rPr>
      </w:pPr>
    </w:p>
    <w:p>
      <w:pPr>
        <w:ind w:left="912"/>
        <w:spacing w:after="0" w:line="256" w:lineRule="auto"/>
        <w:rPr>
          <w:sz w:val="20"/>
          <w:szCs w:val="20"/>
          <w:color w:val="auto"/>
        </w:rPr>
      </w:pPr>
      <w:r>
        <w:rPr>
          <w:rFonts w:ascii="Arial" w:cs="Arial" w:eastAsia="Arial" w:hAnsi="Arial"/>
          <w:sz w:val="18"/>
          <w:szCs w:val="18"/>
          <w:color w:val="auto"/>
        </w:rPr>
        <w:t>During the year ended December 31, 2010, we fully amortized our contract intangible within the Metal Bearing Components Segment. This intangible asset was subject to amortization over approximately five years starting in 2006 and amortization expense was approximately $550 a year. For the years ended December 31, 2010 and 2009, the amortization expense totaled $562 and $586, respectively, and accumulated amortization totaled $2,733 at December 31, 2010.</w:t>
      </w:r>
    </w:p>
    <w:p>
      <w:pPr>
        <w:spacing w:after="0" w:line="259"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912" w:right="560"/>
        <w:spacing w:after="0" w:line="268" w:lineRule="auto"/>
        <w:rPr>
          <w:sz w:val="20"/>
          <w:szCs w:val="20"/>
          <w:color w:val="auto"/>
        </w:rPr>
      </w:pPr>
      <w:r>
        <w:rPr>
          <w:rFonts w:ascii="Arial" w:cs="Arial" w:eastAsia="Arial" w:hAnsi="Arial"/>
          <w:sz w:val="18"/>
          <w:szCs w:val="18"/>
          <w:color w:val="auto"/>
        </w:rPr>
        <w:t>We determined our reportable segments under the provisions of U.S. GAAP related to disclosures about segments of an enterprise. Our three reportable segments are based on differences in product lines and are as follows:</w:t>
      </w:r>
    </w:p>
    <w:p>
      <w:pPr>
        <w:spacing w:after="0" w:line="213"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90" w:lineRule="exact"/>
        <w:rPr>
          <w:sz w:val="20"/>
          <w:szCs w:val="20"/>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252"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90" w:lineRule="exact"/>
        <w:rPr>
          <w:sz w:val="20"/>
          <w:szCs w:val="20"/>
          <w:color w:val="auto"/>
        </w:rPr>
      </w:pPr>
    </w:p>
    <w:p>
      <w:pPr>
        <w:ind w:left="1912" w:hanging="318"/>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252" w:lineRule="exact"/>
        <w:rPr>
          <w:sz w:val="20"/>
          <w:szCs w:val="20"/>
          <w:color w:val="auto"/>
        </w:rPr>
      </w:pPr>
    </w:p>
    <w:p>
      <w:pPr>
        <w:ind w:left="1492"/>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90" w:lineRule="exact"/>
        <w:rPr>
          <w:sz w:val="20"/>
          <w:szCs w:val="20"/>
          <w:color w:val="auto"/>
        </w:rPr>
      </w:pPr>
    </w:p>
    <w:p>
      <w:pPr>
        <w:ind w:left="1912" w:hanging="318"/>
        <w:spacing w:after="0"/>
        <w:tabs>
          <w:tab w:leader="none" w:pos="19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90" w:lineRule="exact"/>
        <w:rPr>
          <w:rFonts w:ascii="Arial" w:cs="Arial" w:eastAsia="Arial" w:hAnsi="Arial"/>
          <w:sz w:val="18"/>
          <w:szCs w:val="18"/>
          <w:color w:val="auto"/>
        </w:rPr>
      </w:pPr>
    </w:p>
    <w:p>
      <w:pPr>
        <w:ind w:left="1912" w:hanging="318"/>
        <w:spacing w:after="0"/>
        <w:tabs>
          <w:tab w:leader="none" w:pos="19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90" w:lineRule="exact"/>
        <w:rPr>
          <w:sz w:val="20"/>
          <w:szCs w:val="20"/>
          <w:color w:val="auto"/>
        </w:rPr>
      </w:pPr>
    </w:p>
    <w:p>
      <w:pPr>
        <w:ind w:left="1932" w:right="40"/>
        <w:spacing w:after="0" w:line="259" w:lineRule="auto"/>
        <w:rPr>
          <w:sz w:val="20"/>
          <w:szCs w:val="20"/>
          <w:color w:val="auto"/>
        </w:rPr>
      </w:pPr>
      <w:r>
        <w:rPr>
          <w:rFonts w:ascii="Arial" w:cs="Arial" w:eastAsia="Arial" w:hAnsi="Arial"/>
          <w:sz w:val="18"/>
          <w:szCs w:val="18"/>
          <w:i w:val="1"/>
          <w:iCs w:val="1"/>
          <w:color w:val="auto"/>
        </w:rPr>
        <w:t>Note: The segment information below includes the following former NN facilities. The Eltmann Plant was deconsolidated from NN on January 20, 2011. The Tempe plant ceased operations August 31, 2010. The Hamilton Plant was closed during the first quarter of 2009.</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72"/>
          </w:cols>
          <w:pgMar w:left="248" w:top="274"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All of the facilities in the Metal Bearing Components Segment are engaged in the production of precision steel balls, steel rollers, and metal retainers and automotive specialty products used primarily in the bearing industry. The Plastic and Rubber Components Segment facilities are engaged in the production of plastic retainers for bearing components, automotive components, electronic instrument cases and other molded components used in a variety of industrial and consumer applications and precision rubber bearing seals for the bearing, automotive, industrial, agricultural, and aerospace markets. The Precision Metal Components Segment is engaged in the production of highly engineered precision metal components and subassemblies including, highly engineered shafts, mechanical components, complex precision assembled and tested parts and fluid system components for the automotive, HVAC, fluid power, and diesel engine industries.</w:t>
      </w:r>
    </w:p>
    <w:p>
      <w:pPr>
        <w:spacing w:after="0" w:line="37" w:lineRule="exact"/>
        <w:rPr>
          <w:sz w:val="20"/>
          <w:szCs w:val="20"/>
          <w:color w:val="auto"/>
        </w:rPr>
      </w:pPr>
    </w:p>
    <w:p>
      <w:pPr>
        <w:jc w:val="both"/>
        <w:ind w:left="920" w:right="340"/>
        <w:spacing w:after="0" w:line="306"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segment performance based on segment net income (loss) after income tax expense (benefit). We account for inter-segment sales and transfers at current market prices. We did not have any individually material inter-segment transactions during 2011, 2010, or 2009.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Metal</w:t>
            </w: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Precision</w:t>
            </w:r>
          </w:p>
        </w:tc>
        <w:tc>
          <w:tcPr>
            <w:tcW w:w="20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Plastic and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Bearing</w:t>
            </w: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Metal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Rubber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Components</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Segment</w:t>
            </w: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Segment</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2011</w:t>
            </w:r>
          </w:p>
        </w:tc>
        <w:tc>
          <w:tcPr>
            <w:tcW w:w="1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sales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$ 308,883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72,272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43,536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$424,691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12,295</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17,016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30,360</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(8,199)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20,937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188,872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259,461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11,791</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20,329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sales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$ 271,339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54,913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39,117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$365,369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13,522</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19,195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24,910</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(8,922)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(12,076)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6,416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190,700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248,555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15,249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sales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$ 183,605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45,003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30,775</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$259,383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17,002</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22,186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(4,621)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Segment net loss</w:t>
            </w:r>
          </w:p>
        </w:tc>
        <w:tc>
          <w:tcPr>
            <w:tcW w:w="2880" w:type="dxa"/>
            <w:vAlign w:val="bottom"/>
            <w:gridSpan w:val="3"/>
          </w:tcPr>
          <w:p>
            <w:pPr>
              <w:jc w:val="right"/>
              <w:ind w:right="520"/>
              <w:spacing w:after="0"/>
              <w:rPr>
                <w:sz w:val="20"/>
                <w:szCs w:val="20"/>
                <w:color w:val="auto"/>
              </w:rPr>
            </w:pPr>
            <w:r>
              <w:rPr>
                <w:rFonts w:ascii="Arial" w:cs="Arial" w:eastAsia="Arial" w:hAnsi="Arial"/>
                <w:sz w:val="18"/>
                <w:szCs w:val="18"/>
                <w:color w:val="auto"/>
              </w:rPr>
              <w:t>(16,108)</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(12,744)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(35,334)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190,482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242,652</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4,255</w:t>
            </w:r>
          </w:p>
        </w:tc>
      </w:tr>
      <w:tr>
        <w:trPr>
          <w:trHeight w:val="356"/>
        </w:trPr>
        <w:tc>
          <w:tcPr>
            <w:tcW w:w="4020" w:type="dxa"/>
            <w:vAlign w:val="bottom"/>
          </w:tcPr>
          <w:p>
            <w:pPr>
              <w:spacing w:after="0"/>
              <w:rPr>
                <w:sz w:val="24"/>
                <w:szCs w:val="24"/>
                <w:color w:val="auto"/>
              </w:rPr>
            </w:pPr>
          </w:p>
        </w:tc>
        <w:tc>
          <w:tcPr>
            <w:tcW w:w="2300" w:type="dxa"/>
            <w:vAlign w:val="bottom"/>
            <w:gridSpan w:val="2"/>
          </w:tcPr>
          <w:p>
            <w:pPr>
              <w:jc w:val="right"/>
              <w:ind w:right="452"/>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December 31, 2011</w:t>
            </w:r>
          </w:p>
        </w:tc>
        <w:tc>
          <w:tcPr>
            <w:tcW w:w="30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 2010</w:t>
            </w:r>
          </w:p>
        </w:tc>
        <w:tc>
          <w:tcPr>
            <w:tcW w:w="80" w:type="dxa"/>
            <w:vAlign w:val="bottom"/>
          </w:tcPr>
          <w:p>
            <w:pPr>
              <w:spacing w:after="0"/>
              <w:rPr>
                <w:sz w:val="14"/>
                <w:szCs w:val="14"/>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Property,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Plant and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Plant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Equipment,</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Equipment,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Equipment,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Net Sales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Net Sales</w:t>
            </w:r>
          </w:p>
        </w:tc>
        <w:tc>
          <w:tcPr>
            <w:tcW w:w="10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Net Sales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$140,492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$120,576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193,948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56,442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162,438</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61,813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18,032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 America</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18,798</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244,793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167,695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424,691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120,528</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118,488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259,383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second quarter of 2009, based on the negative financial performance of our U.S. operations during the global economic recession, we determined that it was more likely than not the U.S. locations would be unable to generate sufficient profits in the near future to allow realization of existing deferred tax assets. Consequently, during the second quarter of 2009, a valuation reserve was placed on the deferred tax assets related to the U.S. operations in the amount of $5,478 that increased to $7,136 as of December 31, 2009. The determination to place a valuation allowance on the tax benefits incurred by our U.S. based operations was made based upon the fact that second quarter and cumulative 2009 results of these entities were much more unfavorable than originally forecasted. Given the magnitude of the incurred and expected losses from these entities for the remainder of 2009, we determined that it was prudent not to recognize any deferred tax benefits and fully reserve the existing deferred tax assets at June 30, 2009.</w:t>
      </w:r>
    </w:p>
    <w:p>
      <w:pPr>
        <w:spacing w:after="0" w:line="118"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During the year ended December 31, 2010, we continued to place a valuation allowance on all of the deferred tax assets of our U.S. locations, based on the incurred net loss during the year ended December 31, 2010 at the U.S. Consolidated entities due to the restructuring at the Tempe Plant and the losses from operations at the Wellington Plants.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year ended December 31, 2011, we continued to place a valuation allowance on all the deferred tax assets at our U.S. locations due to the uncertainty of realization of those deferred tax assets. While our U.S. entities generated pre-tax income of $1,633 during the year ended December 31, 2011, the substantial cumulative losses in 2009 and 2010 outweigh the positive evidence of the 2011 taxable income. If the profitability of the U.S. entities continues and increases it is likely a significant portion if not all of the valuation allowances (except for the valuation allowances on the foreign tax credits) will be removed. This will result in a material credit to income taxes and net income in the period in which the valuation allowances are removed.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7" w:name="page58"/>
    <w:bookmarkEnd w:id="57"/>
    <w:p>
      <w:pPr>
        <w:jc w:val="center"/>
        <w:ind w:right="-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(benefit) for income taxes for the years ended December 31, 2011, 2010 and 2009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10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1,633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 (9,528)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(14,671)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24,472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26,105</w:t>
            </w:r>
          </w:p>
        </w:tc>
        <w:tc>
          <w:tcPr>
            <w:tcW w:w="4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10,985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(37,624)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expense (benefit) for the years ended December 31, 2011, 2010, and 2009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(3,178)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expense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(3,131)</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(4,726)</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deferred tax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7,136</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8"/>
                <w:szCs w:val="18"/>
                <w:color w:val="auto"/>
              </w:rPr>
            </w:pPr>
          </w:p>
        </w:tc>
        <w:tc>
          <w:tcPr>
            <w:tcW w:w="860" w:type="dxa"/>
            <w:vAlign w:val="bottom"/>
            <w:gridSpan w:val="2"/>
          </w:tcPr>
          <w:p>
            <w:pPr>
              <w:jc w:val="right"/>
              <w:ind w:right="332"/>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(1,443)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deferred expense (benefit)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880"/>
              <w:spacing w:after="0"/>
              <w:rPr>
                <w:sz w:val="20"/>
                <w:szCs w:val="20"/>
                <w:color w:val="auto"/>
              </w:rPr>
            </w:pPr>
            <w:r>
              <w:rPr>
                <w:rFonts w:ascii="Arial" w:cs="Arial" w:eastAsia="Arial" w:hAnsi="Arial"/>
                <w:sz w:val="18"/>
                <w:szCs w:val="18"/>
                <w:color w:val="auto"/>
              </w:rPr>
              <w:t>Total expense (benefit)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5,168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4,569</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(2,290)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 reconciliation of taxes based on the U.S. federal statutory rate of 34% for each of the years ended December 31, 2011, 2010 and 2009 is summarized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2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 (benefit) at the federal statutory rate</w:t>
            </w:r>
          </w:p>
        </w:tc>
        <w:tc>
          <w:tcPr>
            <w:tcW w:w="2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$ 8,876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$ 3,735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(12,792)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U.S. valuation allowance</w:t>
            </w:r>
          </w:p>
        </w:tc>
        <w:tc>
          <w:tcPr>
            <w:tcW w:w="35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(704)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Increase (decrease) in foreign valuation allowance</w:t>
            </w:r>
          </w:p>
        </w:tc>
        <w:tc>
          <w:tcPr>
            <w:tcW w:w="3500" w:type="dxa"/>
            <w:vAlign w:val="bottom"/>
            <w:gridSpan w:val="3"/>
          </w:tcPr>
          <w:p>
            <w:pPr>
              <w:jc w:val="right"/>
              <w:ind w:right="132"/>
              <w:spacing w:after="0"/>
              <w:rPr>
                <w:sz w:val="20"/>
                <w:szCs w:val="20"/>
                <w:color w:val="auto"/>
              </w:rPr>
            </w:pPr>
            <w:r>
              <w:rPr>
                <w:rFonts w:ascii="Arial" w:cs="Arial" w:eastAsia="Arial" w:hAnsi="Arial"/>
                <w:sz w:val="18"/>
                <w:szCs w:val="18"/>
                <w:color w:val="auto"/>
              </w:rPr>
              <w:t>(1,219)</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Non-U.S. earnings taxed at different rates</w:t>
            </w:r>
          </w:p>
        </w:tc>
        <w:tc>
          <w:tcPr>
            <w:tcW w:w="3500" w:type="dxa"/>
            <w:vAlign w:val="bottom"/>
            <w:gridSpan w:val="3"/>
          </w:tcPr>
          <w:p>
            <w:pPr>
              <w:jc w:val="right"/>
              <w:ind w:right="132"/>
              <w:spacing w:after="0"/>
              <w:rPr>
                <w:sz w:val="20"/>
                <w:szCs w:val="20"/>
                <w:color w:val="auto"/>
              </w:rPr>
            </w:pPr>
            <w:r>
              <w:rPr>
                <w:rFonts w:ascii="Arial" w:cs="Arial" w:eastAsia="Arial" w:hAnsi="Arial"/>
                <w:sz w:val="18"/>
                <w:szCs w:val="18"/>
                <w:color w:val="auto"/>
              </w:rPr>
              <w:t>(2,116)</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 net</w:t>
            </w:r>
          </w:p>
        </w:tc>
        <w:tc>
          <w:tcPr>
            <w:tcW w:w="2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tcPr>
          <w:p>
            <w:pPr>
              <w:spacing w:after="0"/>
              <w:rPr>
                <w:sz w:val="19"/>
                <w:szCs w:val="19"/>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$ 5,168</w:t>
            </w:r>
          </w:p>
        </w:tc>
        <w:tc>
          <w:tcPr>
            <w:tcW w:w="260" w:type="dxa"/>
            <w:vAlign w:val="bottom"/>
          </w:tcPr>
          <w:p>
            <w:pPr>
              <w:spacing w:after="0"/>
              <w:rPr>
                <w:sz w:val="19"/>
                <w:szCs w:val="19"/>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$ 4,569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80" w:type="dxa"/>
            <w:vAlign w:val="bottom"/>
            <w:vMerge w:val="restart"/>
          </w:tcPr>
          <w:p>
            <w:pPr>
              <w:jc w:val="right"/>
              <w:ind w:right="1835"/>
              <w:spacing w:after="0"/>
              <w:rPr>
                <w:sz w:val="20"/>
                <w:szCs w:val="20"/>
                <w:color w:val="auto"/>
              </w:rPr>
            </w:pPr>
            <w:r>
              <w:rPr>
                <w:rFonts w:ascii="Arial" w:cs="Arial" w:eastAsia="Arial" w:hAnsi="Arial"/>
                <w:sz w:val="18"/>
                <w:szCs w:val="18"/>
                <w:color w:val="auto"/>
              </w:rPr>
              <w:t>58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240" w:top="274" w:right="10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20" w:right="160"/>
        <w:spacing w:after="0" w:line="254" w:lineRule="auto"/>
        <w:rPr>
          <w:sz w:val="20"/>
          <w:szCs w:val="20"/>
          <w:color w:val="auto"/>
        </w:rPr>
      </w:pPr>
      <w:r>
        <w:rPr>
          <w:rFonts w:ascii="Arial" w:cs="Arial" w:eastAsia="Arial" w:hAnsi="Arial"/>
          <w:sz w:val="18"/>
          <w:szCs w:val="18"/>
          <w:color w:val="auto"/>
        </w:rPr>
        <w:t>Included in the non-U.S. earnings taxed at different rates are the effects of recognizing current and deferred tax benefits totaling $622 related to the Eltmann deconsolidation. These benefits related to losses for write-offs of receivables owed by Eltmann to certain NN subsidiaries that will be deductible once Eltmann is finally liquidated in 2012 or 2013. Additionally, during the year ended December 31, 2011, we began to recognize tax expense at our Kunshan (China) Plant and our Kysucke (Slovakia) Plant as we have fully utilized the previous net operating losses at these foreign jurisdictions. Finally, the decrease in foreign valuation allowance was due to eliminating the valuation allowance on deferred tax assets at our Kysucke (Slovakia) Plant.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the temporary differences as of December 31, 2011, 2010 and 2009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5,099</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5,208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7,401</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Allowance for bad debts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30"/>
        </w:trPr>
        <w:tc>
          <w:tcPr>
            <w:tcW w:w="6340" w:type="dxa"/>
            <w:vAlign w:val="bottom"/>
          </w:tcPr>
          <w:p>
            <w:pPr>
              <w:ind w:left="88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7,279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7,866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9,344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6,686</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Pension/Personnel accruals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for uncollectible Eltmann receivables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9,181</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tax credits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r>
      <w:tr>
        <w:trPr>
          <w:trHeight w:val="223"/>
        </w:trPr>
        <w:tc>
          <w:tcPr>
            <w:tcW w:w="6340" w:type="dxa"/>
            <w:vAlign w:val="bottom"/>
          </w:tcPr>
          <w:p>
            <w:pPr>
              <w:ind w:left="440"/>
              <w:spacing w:after="0"/>
              <w:rPr>
                <w:sz w:val="20"/>
                <w:szCs w:val="20"/>
                <w:color w:val="auto"/>
              </w:rPr>
            </w:pPr>
            <w:r>
              <w:rPr>
                <w:rFonts w:ascii="Arial" w:cs="Arial" w:eastAsia="Arial" w:hAnsi="Arial"/>
                <w:sz w:val="18"/>
                <w:szCs w:val="18"/>
                <w:color w:val="auto"/>
              </w:rPr>
              <w:t>Other deferred tax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17,099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20,695</w:t>
            </w:r>
          </w:p>
        </w:tc>
      </w:tr>
      <w:tr>
        <w:trPr>
          <w:trHeight w:val="223"/>
        </w:trPr>
        <w:tc>
          <w:tcPr>
            <w:tcW w:w="6340" w:type="dxa"/>
            <w:vAlign w:val="bottom"/>
          </w:tcPr>
          <w:p>
            <w:pPr>
              <w:ind w:left="880"/>
              <w:spacing w:after="0"/>
              <w:rPr>
                <w:sz w:val="20"/>
                <w:szCs w:val="20"/>
                <w:color w:val="auto"/>
              </w:rPr>
            </w:pPr>
            <w:r>
              <w:rPr>
                <w:rFonts w:ascii="Arial" w:cs="Arial" w:eastAsia="Arial" w:hAnsi="Arial"/>
                <w:sz w:val="18"/>
                <w:szCs w:val="18"/>
                <w:color w:val="auto"/>
              </w:rPr>
              <w:t>Valuation allowance on deferred tax assets</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(12,568)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(16,604)</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(14,649)</w:t>
            </w:r>
          </w:p>
        </w:tc>
      </w:tr>
      <w:tr>
        <w:trPr>
          <w:trHeight w:val="216"/>
        </w:trPr>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deferred income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00" w:type="dxa"/>
            <w:vAlign w:val="bottom"/>
            <w:shd w:val="clear" w:color="auto" w:fill="CCEEFF"/>
          </w:tcPr>
          <w:p>
            <w:pPr>
              <w:spacing w:after="0"/>
              <w:rPr>
                <w:sz w:val="18"/>
                <w:szCs w:val="18"/>
                <w:color w:val="auto"/>
              </w:rPr>
            </w:pPr>
          </w:p>
        </w:tc>
      </w:tr>
      <w:tr>
        <w:trPr>
          <w:trHeight w:val="222"/>
        </w:trPr>
        <w:tc>
          <w:tcPr>
            <w:tcW w:w="6340" w:type="dxa"/>
            <w:vAlign w:val="bottom"/>
          </w:tcPr>
          <w:p>
            <w:pPr>
              <w:ind w:left="440"/>
              <w:spacing w:after="0"/>
              <w:rPr>
                <w:sz w:val="20"/>
                <w:szCs w:val="20"/>
                <w:color w:val="auto"/>
              </w:rPr>
            </w:pPr>
            <w:r>
              <w:rPr>
                <w:rFonts w:ascii="Arial" w:cs="Arial" w:eastAsia="Arial" w:hAnsi="Arial"/>
                <w:sz w:val="18"/>
                <w:szCs w:val="18"/>
                <w:color w:val="auto"/>
              </w:rPr>
              <w:t>Net deferred income tax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2,748</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3,716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3,298</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right="300"/>
        <w:spacing w:after="0" w:line="298" w:lineRule="auto"/>
        <w:rPr>
          <w:sz w:val="20"/>
          <w:szCs w:val="20"/>
          <w:color w:val="auto"/>
        </w:rPr>
      </w:pPr>
      <w:r>
        <w:rPr>
          <w:rFonts w:ascii="Arial" w:cs="Arial" w:eastAsia="Arial" w:hAnsi="Arial"/>
          <w:sz w:val="16"/>
          <w:szCs w:val="16"/>
          <w:color w:val="auto"/>
        </w:rPr>
        <w:t>As realization of deferred tax assets is not assured, management has placed valuation allowances against deferred tax assets it believes are not recoverable. For the remainder,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2011, 2010 and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Total Valuation Allowance Activity</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Deconsolidation</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of Eltmann</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Balance at End</w:t>
            </w:r>
          </w:p>
        </w:tc>
      </w:tr>
      <w:tr>
        <w:trPr>
          <w:trHeight w:val="161"/>
        </w:trPr>
        <w:tc>
          <w:tcPr>
            <w:tcW w:w="3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of Year</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4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subsidiary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16,604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(1,923)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860" w:type="dxa"/>
            <w:vAlign w:val="bottom"/>
            <w:gridSpan w:val="2"/>
          </w:tcPr>
          <w:p>
            <w:pPr>
              <w:ind w:left="278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14,649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2,892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860" w:type="dxa"/>
            <w:vAlign w:val="bottom"/>
            <w:gridSpan w:val="2"/>
            <w:shd w:val="clear" w:color="auto" w:fill="CCEEFF"/>
          </w:tcPr>
          <w:p>
            <w:pPr>
              <w:ind w:left="27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100" w:type="dxa"/>
            <w:vAlign w:val="bottom"/>
            <w:shd w:val="clear" w:color="auto" w:fill="CCEEFF"/>
          </w:tcPr>
          <w:p>
            <w:pPr>
              <w:spacing w:after="0"/>
              <w:rPr>
                <w:sz w:val="18"/>
                <w:szCs w:val="18"/>
                <w:color w:val="auto"/>
              </w:rPr>
            </w:pPr>
          </w:p>
        </w:tc>
      </w:tr>
      <w:tr>
        <w:trPr>
          <w:trHeight w:val="363"/>
        </w:trPr>
        <w:tc>
          <w:tcPr>
            <w:tcW w:w="300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9" w:name="page60"/>
    <w:bookmarkEnd w:id="59"/>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net operating loss carry forwards as of December 31, 2011, are composed of net operating losses at our U.S. operations during 2010, 2009 and 2008. The 2010 and 2009 balances of net operating losses above included $2,035 and $2,499 in 2010 and 2009, respectively, from our former Eltmann Plant which was deconsolidated on January 20, 2011. Full valuation allowances have been recorded against the U.S. companies’ net operating loss carry forwards as of December 31, 2011, 2010 and 2009, as we believe the resulting tax benefits from these loss carry forwards are currently not more likely than not realizable. The losses of the U.S. based entities can be carried forward 20 years.</w:t>
      </w:r>
    </w:p>
    <w:p>
      <w:pPr>
        <w:spacing w:after="0" w:line="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as of December 31, 2008, based on estimates of future levels of U.S. income tax and foreign source income to be generated that these credits can be used to offset. The valuation allowance will be periodically reviewed as our estimates of future foreign source income are revised based on actual foreign source income recognized in our tax returns and future changes in foreign source income. As of December 31, 2011, management believes it is still not likely that we would utilize these credits in the near future.</w:t>
      </w:r>
    </w:p>
    <w:p>
      <w:pPr>
        <w:spacing w:after="0" w:line="3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of December 31, 2006, all of the Company’s foreign earnings have been previously taxed in the U.S. due to the application of IRC Sec. 956. Accordingly, no deferred taxes have been provided for undistributed earnings up to that time. For the remainder of the foreign earnings, we expect to reinvest future earnings indefinitely in operations and expansions outside the U.S. and do not expect such earnings to become subject to U.S. taxation in the foreseeable future. If such earnings were distributed beyond the amount for which taxes have been provided, foreign tax credits would substantially offset any incremental U.S. tax liability. A deferred tax liability will be recognized when we expect we will recover these undistributed earnings in a taxable manner, such as through the receipt of dividends or sale of the investments. As we plan to permanently reinvest foreign undistributed earnings, we have not provided for U.S. income tax liability that would be payable if such earnings were not reinvested indefinitely.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amounts of unrecognized tax benefits, excluding interest and penalties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56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$953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44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953</w:t>
            </w:r>
          </w:p>
        </w:tc>
        <w:tc>
          <w:tcPr>
            <w:tcW w:w="560" w:type="dxa"/>
            <w:vAlign w:val="bottom"/>
            <w:gridSpan w:val="2"/>
          </w:tcPr>
          <w:p>
            <w:pPr>
              <w:jc w:val="center"/>
              <w:ind w:left="12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 $988 of unrecognized tax benefits would, if recognized, impact the Company’s effective tax rate.</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Interest and penalties related to federal, state, and foreign income tax matters are recorded as a component of the provision for income taxes in our statements of operations. During 2009, we accrued an additional $40 in foreign interest and penalties resulting in an accrued balance of $740 of interest and penalties as of December 31, 2009. During 2010, we accrued $30 in foreign interest and penalties and removed $15 in interest and penalties for closed tax years as the previous uncertain tax accruals are no longer required. During 2011, we had a net reduction in foreign interest and penalties of $43 as older uncertain items were eliminated and newer uncertain items added. As of December 31, 2011, the total amount accrued for interest and penalties was $712.</w:t>
      </w:r>
    </w:p>
    <w:p>
      <w:pPr>
        <w:spacing w:after="0" w:line="39"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2006. The Company is no longer subject to non-U.S. income tax examinations within various European Union countries for years before 2007. We do not foresee any significant changes to our unrecognized tax benefits within the next twelve months.</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80"/>
          </w:cols>
          <w:pgMar w:left="1160" w:top="274" w:right="259" w:bottom="1440" w:gutter="0" w:footer="0" w:header="0"/>
        </w:sectPr>
      </w:pPr>
    </w:p>
    <w:bookmarkStart w:id="60" w:name="page61"/>
    <w:bookmarkEnd w:id="60"/>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52" w:hanging="452"/>
        <w:spacing w:after="0"/>
        <w:tabs>
          <w:tab w:leader="none" w:pos="4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Net Income (Loss) Per Share</w:t>
      </w:r>
    </w:p>
    <w:p>
      <w:pPr>
        <w:spacing w:after="0" w:line="201"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(35,334)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16,268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16,953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16,268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right="120"/>
        <w:spacing w:after="0" w:line="306" w:lineRule="auto"/>
        <w:rPr>
          <w:sz w:val="20"/>
          <w:szCs w:val="20"/>
          <w:color w:val="auto"/>
        </w:rPr>
      </w:pPr>
      <w:r>
        <w:rPr>
          <w:rFonts w:ascii="Arial" w:cs="Arial" w:eastAsia="Arial" w:hAnsi="Arial"/>
          <w:sz w:val="16"/>
          <w:szCs w:val="16"/>
          <w:color w:val="auto"/>
        </w:rPr>
        <w:t>Excluded from the dilutive shares outstanding for the years ended December 31, 2011, 2010, and 2009 were 792, 962, and 1,391 anti-dilutive options, respectively, which had per share exercise prices ranging from of $11.50 to $14.13 for the year ended December 31, 2011, $8.09 to $12.62 for the year ended December 31, 2010, and $1.30 to $12.62 for the year ended December 31, 2009.</w:t>
      </w:r>
    </w:p>
    <w:p>
      <w:pPr>
        <w:spacing w:after="0" w:line="222"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left="912" w:right="40"/>
        <w:spacing w:after="0" w:line="335" w:lineRule="auto"/>
        <w:rPr>
          <w:sz w:val="20"/>
          <w:szCs w:val="20"/>
          <w:color w:val="auto"/>
        </w:rPr>
      </w:pPr>
      <w:r>
        <w:rPr>
          <w:rFonts w:ascii="Arial" w:cs="Arial" w:eastAsia="Arial" w:hAnsi="Arial"/>
          <w:sz w:val="15"/>
          <w:szCs w:val="15"/>
          <w:color w:val="auto"/>
        </w:rPr>
        <w:t>The Company has operating lease commitments for machinery, office equipment, vehicles, manufacturing and office space which expire on varying dates. Rent expense for 2011, 2010 and 2009 was $3,181, $4,153, and $4,803, respectively. The following is a schedule by year of future minimum lease payments as of December 31, 2011 under operating leases that have initial or remaining non-cancelable lease terms in excess of one year.</w:t>
      </w:r>
    </w:p>
    <w:p>
      <w:pPr>
        <w:spacing w:after="0" w:line="12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2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2015</w:t>
            </w: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minimum lease payments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spacing w:after="0" w:line="288" w:lineRule="auto"/>
        <w:rPr>
          <w:sz w:val="20"/>
          <w:szCs w:val="20"/>
          <w:color w:val="auto"/>
        </w:rPr>
      </w:pPr>
      <w:r>
        <w:rPr>
          <w:rFonts w:ascii="Arial" w:cs="Arial" w:eastAsia="Arial" w:hAnsi="Arial"/>
          <w:sz w:val="16"/>
          <w:szCs w:val="16"/>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$10,000 of which our allocated share is approximately $143 which has been fully accrued for as of December 31, 2011. While there can be no assurances, we believe that the $143 is the maximum amount for which we will be liable under the tentatively accepted remediation plan.</w:t>
      </w:r>
    </w:p>
    <w:p>
      <w:pPr>
        <w:spacing w:after="0" w:line="120" w:lineRule="exact"/>
        <w:rPr>
          <w:sz w:val="20"/>
          <w:szCs w:val="20"/>
          <w:color w:val="auto"/>
        </w:rPr>
      </w:pPr>
    </w:p>
    <w:p>
      <w:pPr>
        <w:ind w:left="912" w:right="100"/>
        <w:spacing w:after="0" w:line="370" w:lineRule="auto"/>
        <w:rPr>
          <w:sz w:val="20"/>
          <w:szCs w:val="20"/>
          <w:color w:val="auto"/>
        </w:rPr>
      </w:pPr>
      <w:r>
        <w:rPr>
          <w:rFonts w:ascii="Arial" w:cs="Arial" w:eastAsia="Arial" w:hAnsi="Arial"/>
          <w:sz w:val="15"/>
          <w:szCs w:val="15"/>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w:t>
      </w:r>
    </w:p>
    <w:p>
      <w:pPr>
        <w:spacing w:after="0" w:line="4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52"/>
          </w:cols>
          <w:pgMar w:left="248" w:top="274" w:right="299" w:bottom="1440" w:gutter="0" w:footer="0" w:header="0"/>
        </w:sectPr>
      </w:pPr>
    </w:p>
    <w:bookmarkStart w:id="61" w:name="page62"/>
    <w:bookmarkEnd w:id="61"/>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line="287"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(See Note 1 of Notes to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238"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96" w:lineRule="exact"/>
        <w:rPr>
          <w:sz w:val="20"/>
          <w:szCs w:val="20"/>
          <w:color w:val="auto"/>
        </w:rPr>
      </w:pPr>
    </w:p>
    <w:p>
      <w:pPr>
        <w:ind w:left="892"/>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2011 and 2010.</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3"/>
              </w:rPr>
              <w:t>Year ended December 31, 2011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Sept. 30</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$111,307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$115,922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$101,143</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$96,319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560" w:type="dxa"/>
            <w:vAlign w:val="bottom"/>
            <w:gridSpan w:val="4"/>
          </w:tcPr>
          <w:p>
            <w:pPr>
              <w:jc w:val="right"/>
              <w:ind w:right="160"/>
              <w:spacing w:after="0"/>
              <w:rPr>
                <w:sz w:val="20"/>
                <w:szCs w:val="20"/>
                <w:color w:val="auto"/>
              </w:rPr>
            </w:pPr>
            <w:r>
              <w:rPr>
                <w:rFonts w:ascii="Arial" w:cs="Arial" w:eastAsia="Arial" w:hAnsi="Arial"/>
                <w:sz w:val="18"/>
                <w:szCs w:val="18"/>
                <w:color w:val="auto"/>
              </w:rPr>
              <w:t>9,217</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9,251</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5,795</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5,507</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3560" w:type="dxa"/>
            <w:vAlign w:val="bottom"/>
            <w:gridSpan w:val="4"/>
          </w:tcPr>
          <w:p>
            <w:pPr>
              <w:jc w:val="right"/>
              <w:ind w:right="160"/>
              <w:spacing w:after="0"/>
              <w:rPr>
                <w:sz w:val="20"/>
                <w:szCs w:val="20"/>
                <w:color w:val="auto"/>
              </w:rPr>
            </w:pPr>
            <w:r>
              <w:rPr>
                <w:rFonts w:ascii="Arial" w:cs="Arial" w:eastAsia="Arial" w:hAnsi="Arial"/>
                <w:sz w:val="18"/>
                <w:szCs w:val="18"/>
                <w:color w:val="auto"/>
              </w:rPr>
              <w:t>0.33</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3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16,664</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16,864</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7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17,119</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8"/>
              </w:rPr>
              <w:t>Year ended December 31, 2010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March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June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9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$85,340</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$92,693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$90,996</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1,844</w:t>
            </w: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6,609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2,926</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5,123</w:t>
            </w: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356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0.31</w:t>
            </w: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(0.06)</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3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16,522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980" w:type="dxa"/>
            <w:vAlign w:val="bottom"/>
            <w:gridSpan w:val="2"/>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380" w:type="dxa"/>
            <w:vAlign w:val="bottom"/>
            <w:gridSpan w:val="2"/>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98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38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16,633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740" w:type="dxa"/>
            <w:vAlign w:val="bottom"/>
            <w:vMerge w:val="restart"/>
          </w:tcPr>
          <w:p>
            <w:pPr>
              <w:jc w:val="right"/>
              <w:ind w:right="1232"/>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12"/>
          </w:cols>
          <w:pgMar w:left="248" w:top="274" w:right="339" w:bottom="1440" w:gutter="0" w:footer="0" w:header="0"/>
        </w:sectPr>
      </w:pPr>
    </w:p>
    <w:bookmarkStart w:id="62" w:name="page63"/>
    <w:bookmarkEnd w:id="6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 first quarter of 2011 was negatively impacted by $2,500 ($2,500 after tax) of start-up costs related to new large multi-year sales programs at our</w:t>
      </w:r>
    </w:p>
    <w:p>
      <w:pPr>
        <w:spacing w:after="0" w:line="38" w:lineRule="exact"/>
        <w:rPr>
          <w:sz w:val="20"/>
          <w:szCs w:val="20"/>
          <w:color w:val="auto"/>
        </w:rPr>
      </w:pPr>
    </w:p>
    <w:p>
      <w:pPr>
        <w:ind w:left="912"/>
        <w:spacing w:after="0"/>
        <w:rPr>
          <w:sz w:val="20"/>
          <w:szCs w:val="20"/>
          <w:color w:val="auto"/>
        </w:rPr>
      </w:pPr>
      <w:r>
        <w:rPr>
          <w:rFonts w:ascii="Arial" w:cs="Arial" w:eastAsia="Arial" w:hAnsi="Arial"/>
          <w:sz w:val="16"/>
          <w:szCs w:val="16"/>
          <w:color w:val="auto"/>
        </w:rPr>
        <w:t>Wellington Plants. Additionally, the first quarter of 2011 was favorably impacted by gains from deconsolidating Eltmann $209 ($840 after tax).</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Finally, the first quarter of 2011 was unfavorably impacted by $851 ($851 after tax) of foreign exchange losses on intercompany loans.</w:t>
      </w:r>
    </w:p>
    <w:p>
      <w:pPr>
        <w:spacing w:after="0" w:line="107" w:lineRule="exact"/>
        <w:rPr>
          <w:sz w:val="20"/>
          <w:szCs w:val="20"/>
          <w:color w:val="auto"/>
        </w:rPr>
      </w:pPr>
    </w:p>
    <w:p>
      <w:pPr>
        <w:ind w:left="912" w:right="120"/>
        <w:spacing w:after="0" w:line="259" w:lineRule="auto"/>
        <w:rPr>
          <w:sz w:val="20"/>
          <w:szCs w:val="20"/>
          <w:color w:val="auto"/>
        </w:rPr>
      </w:pPr>
      <w:r>
        <w:rPr>
          <w:rFonts w:ascii="Arial" w:cs="Arial" w:eastAsia="Arial" w:hAnsi="Arial"/>
          <w:sz w:val="18"/>
          <w:szCs w:val="18"/>
          <w:color w:val="auto"/>
        </w:rPr>
        <w:t>The second quarter of 2011 was negatively impacted by $2,000 ($2,000 after tax) of start-up costs related to new large multi-year sales programs at our Wellington Plants. Additionally, the second quarter of 2011 was unfavorably impacted by $304 ($304 after tax) of foreign exchange losses on intercompany loans.</w:t>
      </w:r>
    </w:p>
    <w:p>
      <w:pPr>
        <w:spacing w:after="0" w:line="59"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The third quarter of 2011 was negatively impacted by $1,000 ($1,000 after tax) of start-up costs related to new large multi-year sales programs at our Wellington Plants. Additionally, the third quarter of 2011 was favorably impacted by $1,357 ($1,357 after tax) of foreign exchange gains on intercompany loans.</w:t>
      </w:r>
    </w:p>
    <w:p>
      <w:pPr>
        <w:spacing w:after="0" w:line="59" w:lineRule="exact"/>
        <w:rPr>
          <w:sz w:val="20"/>
          <w:szCs w:val="20"/>
          <w:color w:val="auto"/>
        </w:rPr>
      </w:pPr>
    </w:p>
    <w:p>
      <w:pPr>
        <w:ind w:left="912" w:right="20"/>
        <w:spacing w:after="0" w:line="256" w:lineRule="auto"/>
        <w:rPr>
          <w:sz w:val="20"/>
          <w:szCs w:val="20"/>
          <w:color w:val="auto"/>
        </w:rPr>
      </w:pPr>
      <w:r>
        <w:rPr>
          <w:rFonts w:ascii="Arial" w:cs="Arial" w:eastAsia="Arial" w:hAnsi="Arial"/>
          <w:sz w:val="18"/>
          <w:szCs w:val="18"/>
          <w:color w:val="auto"/>
        </w:rPr>
        <w:t>The fourth quarter of 2011 was negatively impacted by $500 ($500 after tax) of start-up costs related to new large multi-year sales programs at our Wellington Plants. Additionally, the fourth quarter of 2011 was favorably impacted by the elimination of valuation allowances of certain deferred tax assets in Europe ($770 after-tax). Finally, the fourth quarter of 2011 was favorably impacted by $854 ($854 after tax) of foreign exchange gains on intercompany loans.</w:t>
      </w:r>
    </w:p>
    <w:p>
      <w:pPr>
        <w:spacing w:after="0" w:line="62" w:lineRule="exact"/>
        <w:rPr>
          <w:sz w:val="20"/>
          <w:szCs w:val="20"/>
          <w:color w:val="auto"/>
        </w:rPr>
      </w:pPr>
    </w:p>
    <w:p>
      <w:pPr>
        <w:ind w:left="912" w:right="20"/>
        <w:spacing w:after="0" w:line="256" w:lineRule="auto"/>
        <w:rPr>
          <w:sz w:val="20"/>
          <w:szCs w:val="20"/>
          <w:color w:val="auto"/>
        </w:rPr>
      </w:pPr>
      <w:r>
        <w:rPr>
          <w:rFonts w:ascii="Arial" w:cs="Arial" w:eastAsia="Arial" w:hAnsi="Arial"/>
          <w:sz w:val="18"/>
          <w:szCs w:val="18"/>
          <w:color w:val="auto"/>
        </w:rPr>
        <w:t>The first quarter of 2010 was impacted by the immediate vesting of stock awards totaling $1,101 ($1,101 after tax). Additionally, the first quarter was unfavorably impacted by $1,000 ($1,000 after tax) in accelerated depreciation and $533 ($533 after tax) of restructuring costs both related to ceasing operations at the Tempe Plant. Finally, the first quarter of 2010 was favorably impacted by $1,140 ($910 after tax) of foreign exchange gains on intercompany loans.</w:t>
      </w:r>
    </w:p>
    <w:p>
      <w:pPr>
        <w:spacing w:after="0" w:line="62" w:lineRule="exact"/>
        <w:rPr>
          <w:sz w:val="20"/>
          <w:szCs w:val="20"/>
          <w:color w:val="auto"/>
        </w:rPr>
      </w:pPr>
    </w:p>
    <w:p>
      <w:pPr>
        <w:ind w:left="912" w:right="260"/>
        <w:spacing w:after="0" w:line="332" w:lineRule="auto"/>
        <w:rPr>
          <w:sz w:val="20"/>
          <w:szCs w:val="20"/>
          <w:color w:val="auto"/>
        </w:rPr>
      </w:pPr>
      <w:r>
        <w:rPr>
          <w:rFonts w:ascii="Arial" w:cs="Arial" w:eastAsia="Arial" w:hAnsi="Arial"/>
          <w:sz w:val="16"/>
          <w:szCs w:val="16"/>
          <w:color w:val="auto"/>
        </w:rPr>
        <w:t>The second quarter of 2010 was favorably impacted by $1,703 ($1,379 after tax) in foreign exchange gains on intercompany loans. This gain was partially offset by $667 ($667 after tax) in restructuring costs related to ceasing operations at the Tempe Plant.</w:t>
      </w:r>
    </w:p>
    <w:p>
      <w:pPr>
        <w:spacing w:after="0" w:line="4" w:lineRule="exact"/>
        <w:rPr>
          <w:sz w:val="20"/>
          <w:szCs w:val="20"/>
          <w:color w:val="auto"/>
        </w:rPr>
      </w:pPr>
    </w:p>
    <w:p>
      <w:pPr>
        <w:ind w:left="912" w:right="100"/>
        <w:spacing w:after="0" w:line="306" w:lineRule="auto"/>
        <w:rPr>
          <w:sz w:val="20"/>
          <w:szCs w:val="20"/>
          <w:color w:val="auto"/>
        </w:rPr>
      </w:pPr>
      <w:r>
        <w:rPr>
          <w:rFonts w:ascii="Arial" w:cs="Arial" w:eastAsia="Arial" w:hAnsi="Arial"/>
          <w:sz w:val="16"/>
          <w:szCs w:val="16"/>
          <w:color w:val="auto"/>
        </w:rPr>
        <w:t>The third quarter of 2010 was impacted by $2,171 ($2,171 after tax) of costs related to ceasing operations at the Tempe Plant. Additionally the third quarter was impacted by $1,634 ($1,326 after tax) of foreign exchange losses on intercompany loans. Finally, the third quarter was impacted by $1,023 ($1,023 after tax) of start-up costs related to new large multi-year sales programs at our Wellington Plants.</w:t>
      </w:r>
    </w:p>
    <w:p>
      <w:pPr>
        <w:spacing w:after="0" w:line="26" w:lineRule="exact"/>
        <w:rPr>
          <w:sz w:val="20"/>
          <w:szCs w:val="20"/>
          <w:color w:val="auto"/>
        </w:rPr>
      </w:pPr>
    </w:p>
    <w:p>
      <w:pPr>
        <w:ind w:left="912" w:right="300"/>
        <w:spacing w:after="0" w:line="259" w:lineRule="auto"/>
        <w:rPr>
          <w:sz w:val="20"/>
          <w:szCs w:val="20"/>
          <w:color w:val="auto"/>
        </w:rPr>
      </w:pPr>
      <w:r>
        <w:rPr>
          <w:rFonts w:ascii="Arial" w:cs="Arial" w:eastAsia="Arial" w:hAnsi="Arial"/>
          <w:sz w:val="18"/>
          <w:szCs w:val="18"/>
          <w:color w:val="auto"/>
        </w:rPr>
        <w:t>The fourth quarter of 2010 was impacted by $2,000 ($2,000 after tax) of start-up costs related to new large multi-year sales programs at our Wellington Plants. Additionally, the fourth quarter of 2010 was impacted by $865 ($687 after tax) in severance cost related to eliminating certain senior management positions.</w:t>
      </w:r>
    </w:p>
    <w:p>
      <w:pPr>
        <w:spacing w:after="0" w:line="256"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left="912"/>
        <w:spacing w:after="0" w:line="314" w:lineRule="auto"/>
        <w:rPr>
          <w:sz w:val="20"/>
          <w:szCs w:val="20"/>
          <w:color w:val="auto"/>
        </w:rPr>
      </w:pPr>
      <w:r>
        <w:rPr>
          <w:rFonts w:ascii="Arial" w:cs="Arial" w:eastAsia="Arial" w:hAnsi="Arial"/>
          <w:sz w:val="15"/>
          <w:szCs w:val="15"/>
          <w:color w:val="auto"/>
        </w:rPr>
        <w:t>We believe the fair value of financial instruments with maturities of less than a year approximate their carrying value due to the short maturity of these instruments or in the case of our variable rate debt, due to the variable interest rates. We elected not to measure any of our financial instruments at fair value and as such will continue to show the fair value of our financial instruments for disclosure purposes only. The fair value of our fixed rate long-term borrowings is calculated using significant other observable inputs (Level 2 inputs under the U.S. GAAP fair value hierarchy). The fair value is calculated using a discounted cash flow analysis factoring in current market borrowing rates for similar types of borrowing arrangements under our credit profile. The carrying amounts and fair values of our long-term debt are in the table below (for disclosure purposes only):</w:t>
      </w:r>
    </w:p>
    <w:p>
      <w:pPr>
        <w:spacing w:after="0" w:line="12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2011</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2010</w:t>
            </w:r>
          </w:p>
        </w:tc>
      </w:tr>
      <w:tr>
        <w:trPr>
          <w:trHeight w:val="149"/>
        </w:trPr>
        <w:tc>
          <w:tcPr>
            <w:tcW w:w="35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Variable rate long-term debt</w:t>
            </w:r>
          </w:p>
        </w:tc>
        <w:tc>
          <w:tcPr>
            <w:tcW w:w="3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$40,989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ind w:left="3320"/>
              <w:spacing w:after="0"/>
              <w:rPr>
                <w:sz w:val="20"/>
                <w:szCs w:val="20"/>
                <w:color w:val="auto"/>
              </w:rPr>
            </w:pPr>
            <w:r>
              <w:rPr>
                <w:rFonts w:ascii="Arial" w:cs="Arial" w:eastAsia="Arial" w:hAnsi="Arial"/>
                <w:sz w:val="18"/>
                <w:szCs w:val="18"/>
                <w:color w:val="auto"/>
              </w:rPr>
              <w:t>$37,143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$22,857</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$22,195</w:t>
            </w:r>
          </w:p>
        </w:tc>
        <w:tc>
          <w:tcPr>
            <w:tcW w:w="100" w:type="dxa"/>
            <w:vAlign w:val="bottom"/>
          </w:tcPr>
          <w:p>
            <w:pPr>
              <w:spacing w:after="0"/>
              <w:rPr>
                <w:sz w:val="19"/>
                <w:szCs w:val="19"/>
                <w:color w:val="auto"/>
              </w:rPr>
            </w:pPr>
          </w:p>
        </w:tc>
      </w:tr>
      <w:tr>
        <w:trPr>
          <w:trHeight w:val="356"/>
        </w:trPr>
        <w:tc>
          <w:tcPr>
            <w:tcW w:w="358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92"/>
          </w:cols>
          <w:pgMar w:left="248" w:top="274" w:right="259" w:bottom="1440" w:gutter="0" w:footer="0" w:header="0"/>
        </w:sectPr>
      </w:pPr>
    </w:p>
    <w:bookmarkStart w:id="63" w:name="page64"/>
    <w:bookmarkEnd w:id="63"/>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2011, 2010 and 2009</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or Other Comprehensive Income (Loss)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 majority of our Accumulated Other Comprehensive Income balance relates to foreign currency translation of our foreign subsidiary balances.</w:t>
      </w:r>
    </w:p>
    <w:p>
      <w:pPr>
        <w:spacing w:after="0" w:line="38" w:lineRule="exact"/>
        <w:rPr>
          <w:sz w:val="20"/>
          <w:szCs w:val="20"/>
          <w:color w:val="auto"/>
        </w:rPr>
      </w:pPr>
    </w:p>
    <w:p>
      <w:pPr>
        <w:ind w:left="912"/>
        <w:spacing w:after="0"/>
        <w:rPr>
          <w:sz w:val="20"/>
          <w:szCs w:val="20"/>
          <w:color w:val="auto"/>
        </w:rPr>
      </w:pPr>
      <w:r>
        <w:rPr>
          <w:rFonts w:ascii="Arial" w:cs="Arial" w:eastAsia="Arial" w:hAnsi="Arial"/>
          <w:sz w:val="15"/>
          <w:szCs w:val="15"/>
          <w:color w:val="auto"/>
        </w:rPr>
        <w:t>During the year ended December 31, 2011, we have deducted from other comprehensive income (loss) $2,578 due to foreign currency translations.</w:t>
      </w:r>
    </w:p>
    <w:p>
      <w:pPr>
        <w:spacing w:after="0" w:line="44" w:lineRule="exact"/>
        <w:rPr>
          <w:sz w:val="20"/>
          <w:szCs w:val="20"/>
          <w:color w:val="auto"/>
        </w:rPr>
      </w:pPr>
    </w:p>
    <w:p>
      <w:pPr>
        <w:ind w:left="912"/>
        <w:spacing w:after="0" w:line="292" w:lineRule="auto"/>
        <w:rPr>
          <w:sz w:val="20"/>
          <w:szCs w:val="20"/>
          <w:color w:val="auto"/>
        </w:rPr>
      </w:pPr>
      <w:r>
        <w:rPr>
          <w:rFonts w:ascii="Arial" w:cs="Arial" w:eastAsia="Arial" w:hAnsi="Arial"/>
          <w:sz w:val="16"/>
          <w:szCs w:val="16"/>
          <w:color w:val="auto"/>
        </w:rPr>
        <w:t>During the year ended December 31, 2010, we have deducted from other comprehensive income (loss) $6,726 due to foreign currency translation. During the year ended December 31, 2009, we have added to other comprehensive income (loss) $2,356 due to foreign currency translation. Income taxes on the foreign currency translation adjustment in other comprehensive income were not recognized because the earnings are intended to be indefinitely reinvested in those operations. Also deducted from accumulated other comprehensive income as of December 31, 2010 and 2009 were actuarial losses of, $392, net of tax and $315, net of tax, from our pension liability.</w:t>
      </w:r>
    </w:p>
    <w:p>
      <w:pPr>
        <w:spacing w:after="0" w:line="232"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912" w:right="20"/>
        <w:spacing w:after="0" w:line="259" w:lineRule="auto"/>
        <w:rPr>
          <w:sz w:val="20"/>
          <w:szCs w:val="20"/>
          <w:color w:val="auto"/>
        </w:rPr>
      </w:pPr>
      <w:r>
        <w:rPr>
          <w:rFonts w:ascii="Arial" w:cs="Arial" w:eastAsia="Arial" w:hAnsi="Arial"/>
          <w:sz w:val="18"/>
          <w:szCs w:val="18"/>
          <w:color w:val="auto"/>
        </w:rPr>
        <w:t>With the acquisition of Whirlaway, we entered into operating leases covering two of the Whirlaway manufacturing facilities with a company owned by the former owner of Whirlaway who was an officer of NN until September 1, 2011. The rent payments in 2011, 2010 and 2009 to this related party were $644 each year.</w:t>
      </w:r>
    </w:p>
    <w:p>
      <w:pPr>
        <w:spacing w:after="0" w:line="1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32"/>
          </w:cols>
          <w:pgMar w:left="248" w:top="274" w:right="319" w:bottom="1440" w:gutter="0" w:footer="0" w:header="0"/>
        </w:sectPr>
      </w:pPr>
    </w:p>
    <w:bookmarkStart w:id="64" w:name="page65"/>
    <w:bookmarkEnd w:id="6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7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2011, the end of the period covered by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management of NN, Inc. is responsible for establishing and maintaining adequate internal control over financial reporting, as such term is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 design of any system of controls is based in part on certain assumptions about the likelihood of future events, and there can be no assurance that any design will succeed in achieving its stated goals under all potential future conditions.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Based on its evaluation, management concluded that the Company’s internal control over financial reporting was effective as of December 31, 2011.</w:t>
      </w:r>
    </w:p>
    <w:p>
      <w:pPr>
        <w:spacing w:after="0" w:line="12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effectiveness of our internal control over financial reporting as of December 31, 2011 has been audited by PricewaterhouseCoopers LLP, an independent registered public accounting firm, as stated in their report which appears under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2011 that have materially affected, or are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2011, in accordance with General Instruction G to Form 10-K, is hereby incorporated herein by reference.</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5" w:name="page66"/>
    <w:bookmarkEnd w:id="6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Regulations S-K concerning the Company’s equity compensation plans is set forth in the table below: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Number of securities remaining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available for future issuance</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88"/>
              </w:rPr>
              <w:t>Number of securities to</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under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84"/>
              </w:rPr>
              <w:t>be issued upon</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equity compensation plans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87"/>
              </w:rPr>
              <w:t>exercise of outstanding</w:t>
            </w:r>
          </w:p>
        </w:tc>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rPr>
              <w:t>Weighted – average exercise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(excluding securities reflected</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86"/>
              </w:rPr>
              <w:t>options, warrants and</w:t>
            </w:r>
          </w:p>
        </w:tc>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rPr>
              <w:t>price of outstanding options,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in</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Plan Category</w:t>
            </w:r>
          </w:p>
        </w:tc>
        <w:tc>
          <w:tcPr>
            <w:tcW w:w="3800" w:type="dxa"/>
            <w:vAlign w:val="bottom"/>
            <w:vMerge w:val="restart"/>
          </w:tcPr>
          <w:p>
            <w:pPr>
              <w:spacing w:after="0"/>
              <w:rPr>
                <w:sz w:val="12"/>
                <w:szCs w:val="12"/>
                <w:color w:val="auto"/>
              </w:rPr>
            </w:pPr>
          </w:p>
        </w:tc>
        <w:tc>
          <w:tcPr>
            <w:tcW w:w="236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87"/>
              </w:rPr>
              <w:t>rights</w:t>
            </w:r>
          </w:p>
        </w:tc>
        <w:tc>
          <w:tcPr>
            <w:tcW w:w="18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color w:val="auto"/>
                <w:w w:val="87"/>
              </w:rPr>
              <w:t>warrants and rights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column (a))</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2360" w:type="dxa"/>
            <w:vAlign w:val="bottom"/>
            <w:gridSpan w:val="2"/>
          </w:tcPr>
          <w:p>
            <w:pPr>
              <w:jc w:val="center"/>
              <w:ind w:right="1100"/>
              <w:spacing w:after="0" w:line="146" w:lineRule="exact"/>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4"/>
                <w:szCs w:val="14"/>
                <w:color w:val="auto"/>
              </w:rPr>
            </w:pPr>
          </w:p>
        </w:tc>
        <w:tc>
          <w:tcPr>
            <w:tcW w:w="2460" w:type="dxa"/>
            <w:vAlign w:val="bottom"/>
            <w:gridSpan w:val="2"/>
          </w:tcPr>
          <w:p>
            <w:pPr>
              <w:jc w:val="center"/>
              <w:ind w:right="1260"/>
              <w:spacing w:after="0" w:line="146" w:lineRule="exact"/>
              <w:rPr>
                <w:sz w:val="20"/>
                <w:szCs w:val="20"/>
                <w:color w:val="auto"/>
              </w:rPr>
            </w:pPr>
            <w:r>
              <w:rPr>
                <w:rFonts w:ascii="Arial" w:cs="Arial" w:eastAsia="Arial" w:hAnsi="Arial"/>
                <w:sz w:val="14"/>
                <w:szCs w:val="14"/>
                <w:color w:val="auto"/>
                <w:w w:val="93"/>
              </w:rPr>
              <w:t>(b)</w:t>
            </w:r>
          </w:p>
        </w:tc>
        <w:tc>
          <w:tcPr>
            <w:tcW w:w="180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181"/>
        </w:trPr>
        <w:tc>
          <w:tcPr>
            <w:tcW w:w="4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23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security holders</w:t>
            </w:r>
          </w:p>
        </w:tc>
        <w:tc>
          <w:tcPr>
            <w:tcW w:w="2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the acquisition of Whirlaway, we entered into operating leases covering two of the Whirlaway manufacturing facilities with a company owned by the former owner of Whirlaway, Mr. Thomas Zupan, who was an officer of NN until September 1, 2011. The rent payments in 2011, 2010 and 2009 to this related party were $0.6 million each year.</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6" w:name="page67"/>
    <w:bookmarkEnd w:id="6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240" w:hanging="232"/>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of the Company filed as part of this Annual Report on Form 10-K begin on the following pages hereof: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7"/>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4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December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(Loss) and Comprehensive Income (Loss) for the years ended December 31, 2011,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8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Changes in Stockholders’ Equity for the years ended December 31, 2011, 2010, and 2009</w:t>
              </w:r>
            </w:hyperlink>
          </w:p>
        </w:tc>
        <w:tc>
          <w:tcPr>
            <w:tcW w:w="12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04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December 31, 2011,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678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4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97"/>
        </w:trPr>
        <w:tc>
          <w:tcPr>
            <w:tcW w:w="3080" w:type="dxa"/>
            <w:vAlign w:val="bottom"/>
            <w:tcBorders>
              <w:top w:val="single" w:sz="8" w:color="0000EE"/>
            </w:tcBorders>
          </w:tcPr>
          <w:p>
            <w:pPr>
              <w:ind w:left="460"/>
              <w:spacing w:after="0"/>
              <w:rPr>
                <w:sz w:val="20"/>
                <w:szCs w:val="20"/>
                <w:color w:val="auto"/>
              </w:rPr>
            </w:pPr>
            <w:r>
              <w:rPr>
                <w:rFonts w:ascii="Arial" w:cs="Arial" w:eastAsia="Arial" w:hAnsi="Arial"/>
                <w:sz w:val="18"/>
                <w:szCs w:val="18"/>
                <w:color w:val="auto"/>
                <w:w w:val="96"/>
              </w:rPr>
              <w:t>2. Financial Statement Schedules</w:t>
            </w:r>
          </w:p>
        </w:tc>
        <w:tc>
          <w:tcPr>
            <w:tcW w:w="796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40" w:type="dxa"/>
            <w:vAlign w:val="bottom"/>
            <w:gridSpan w:val="7"/>
          </w:tcPr>
          <w:p>
            <w:pPr>
              <w:ind w:left="4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40" w:type="dxa"/>
            <w:vAlign w:val="bottom"/>
            <w:gridSpan w:val="7"/>
          </w:tcPr>
          <w:p>
            <w:pPr>
              <w:ind w:left="460"/>
              <w:spacing w:after="0"/>
              <w:rPr>
                <w:sz w:val="20"/>
                <w:szCs w:val="20"/>
                <w:color w:val="auto"/>
              </w:rPr>
            </w:pPr>
            <w:r>
              <w:rPr>
                <w:rFonts w:ascii="Arial" w:cs="Arial" w:eastAsia="Arial" w:hAnsi="Arial"/>
                <w:sz w:val="18"/>
                <w:szCs w:val="18"/>
                <w:color w:val="auto"/>
              </w:rPr>
              <w:t>3. See Index to Exhibits (attached hereto)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 Exhibits: See Index to Exhibits (attached hereto).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provide without charge to any person, upon the written request of such person, a copy of any of the Exhibits to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 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27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9" w:lineRule="exact"/>
        <w:rPr>
          <w:sz w:val="20"/>
          <w:szCs w:val="20"/>
          <w:color w:val="auto"/>
        </w:rPr>
      </w:pPr>
    </w:p>
    <w:p>
      <w:pPr>
        <w:ind w:left="6860"/>
        <w:spacing w:after="0"/>
        <w:tabs>
          <w:tab w:leader="none" w:pos="828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ODERICK</w:t>
      </w:r>
      <w:r>
        <w:rPr>
          <w:rFonts w:ascii="Arial" w:cs="Arial" w:eastAsia="Arial" w:hAnsi="Arial"/>
          <w:sz w:val="16"/>
          <w:szCs w:val="16"/>
          <w:color w:val="auto"/>
        </w:rPr>
        <w:t xml:space="preserve"> R. B</w:t>
      </w:r>
      <w:r>
        <w:rPr>
          <w:rFonts w:ascii="Arial" w:cs="Arial" w:eastAsia="Arial" w:hAnsi="Arial"/>
          <w:sz w:val="13"/>
          <w:szCs w:val="13"/>
          <w:color w:val="auto"/>
        </w:rPr>
        <w:t>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Roderick R. Baty</w:t>
      </w:r>
    </w:p>
    <w:p>
      <w:pPr>
        <w:jc w:val="center"/>
        <w:ind w:left="7220"/>
        <w:spacing w:after="0" w:line="223" w:lineRule="auto"/>
        <w:rPr>
          <w:sz w:val="20"/>
          <w:szCs w:val="20"/>
          <w:color w:val="auto"/>
        </w:rPr>
      </w:pPr>
      <w:r>
        <w:rPr>
          <w:rFonts w:ascii="Arial" w:cs="Arial" w:eastAsia="Arial" w:hAnsi="Arial"/>
          <w:sz w:val="14"/>
          <w:szCs w:val="14"/>
          <w:b w:val="1"/>
          <w:bCs w:val="1"/>
          <w:i w:val="1"/>
          <w:iCs w:val="1"/>
          <w:color w:val="auto"/>
        </w:rPr>
        <w:t>Chairman of the Board,</w:t>
      </w:r>
    </w:p>
    <w:p>
      <w:pPr>
        <w:jc w:val="center"/>
        <w:ind w:left="7220"/>
        <w:spacing w:after="0"/>
        <w:rPr>
          <w:sz w:val="20"/>
          <w:szCs w:val="20"/>
          <w:color w:val="auto"/>
        </w:rPr>
      </w:pPr>
      <w:r>
        <w:rPr>
          <w:rFonts w:ascii="Arial" w:cs="Arial" w:eastAsia="Arial" w:hAnsi="Arial"/>
          <w:sz w:val="14"/>
          <w:szCs w:val="14"/>
          <w:b w:val="1"/>
          <w:bCs w:val="1"/>
          <w:i w:val="1"/>
          <w:iCs w:val="1"/>
          <w:color w:val="auto"/>
        </w:rPr>
        <w:t>Chief Executive Officer and President</w:t>
      </w:r>
    </w:p>
    <w:p>
      <w:pPr>
        <w:spacing w:after="0" w:line="20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March 15, 2012</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p>
      <w:pPr>
        <w:ind w:left="1240"/>
        <w:spacing w:after="0"/>
        <w:tabs>
          <w:tab w:leader="none" w:pos="6820" w:val="left"/>
          <w:tab w:leader="none" w:pos="10700" w:val="left"/>
        </w:tabs>
        <w:rPr>
          <w:sz w:val="20"/>
          <w:szCs w:val="20"/>
          <w:color w:val="auto"/>
        </w:rPr>
      </w:pPr>
      <w:r>
        <w:rPr>
          <w:rFonts w:ascii="Arial" w:cs="Arial" w:eastAsia="Arial" w:hAnsi="Arial"/>
          <w:sz w:val="14"/>
          <w:szCs w:val="14"/>
          <w:b w:val="1"/>
          <w:bCs w:val="1"/>
          <w:u w:val="single" w:color="auto"/>
          <w:color w:val="auto"/>
        </w:rPr>
        <w:t>Name and 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420"/>
          </w:cols>
          <w:pgMar w:left="240" w:top="280" w:right="239" w:bottom="1440" w:gutter="0" w:footer="0" w:header="0"/>
        </w:sectPr>
      </w:pPr>
    </w:p>
    <w:p>
      <w:pPr>
        <w:spacing w:after="0" w:line="222" w:lineRule="exact"/>
        <w:rPr>
          <w:sz w:val="20"/>
          <w:szCs w:val="20"/>
          <w:color w:val="auto"/>
        </w:rPr>
      </w:pPr>
    </w:p>
    <w:p>
      <w:pPr>
        <w:ind w:left="800"/>
        <w:spacing w:after="0"/>
        <w:tabs>
          <w:tab w:leader="none" w:pos="1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ODERICK</w:t>
      </w:r>
      <w:r>
        <w:rPr>
          <w:rFonts w:ascii="Arial" w:cs="Arial" w:eastAsia="Arial" w:hAnsi="Arial"/>
          <w:sz w:val="16"/>
          <w:szCs w:val="16"/>
          <w:color w:val="auto"/>
        </w:rPr>
        <w:t xml:space="preserve"> R. B</w:t>
      </w:r>
      <w:r>
        <w:rPr>
          <w:rFonts w:ascii="Arial" w:cs="Arial" w:eastAsia="Arial" w:hAnsi="Arial"/>
          <w:sz w:val="13"/>
          <w:szCs w:val="13"/>
          <w:color w:val="auto"/>
        </w:rPr>
        <w:t>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b w:val="1"/>
          <w:bCs w:val="1"/>
          <w:color w:val="auto"/>
        </w:rPr>
        <w:t>Roderick R. Baty</w:t>
      </w:r>
    </w:p>
    <w:p>
      <w:pPr>
        <w:spacing w:after="0" w:line="262"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H. D</w:t>
      </w:r>
      <w:r>
        <w:rPr>
          <w:rFonts w:ascii="Arial" w:cs="Arial" w:eastAsia="Arial" w:hAnsi="Arial"/>
          <w:sz w:val="13"/>
          <w:szCs w:val="13"/>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b w:val="1"/>
          <w:bCs w:val="1"/>
          <w:color w:val="auto"/>
        </w:rPr>
        <w:t>James H. Dorton</w:t>
      </w:r>
    </w:p>
    <w:p>
      <w:pPr>
        <w:spacing w:after="0" w:line="262" w:lineRule="exact"/>
        <w:rPr>
          <w:sz w:val="20"/>
          <w:szCs w:val="20"/>
          <w:color w:val="auto"/>
        </w:rPr>
      </w:pPr>
    </w:p>
    <w:p>
      <w:pPr>
        <w:ind w:left="640"/>
        <w:spacing w:after="0"/>
        <w:tabs>
          <w:tab w:leader="none" w:pos="9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C. K</w:t>
      </w:r>
      <w:r>
        <w:rPr>
          <w:rFonts w:ascii="Arial" w:cs="Arial" w:eastAsia="Arial" w:hAnsi="Arial"/>
          <w:sz w:val="14"/>
          <w:szCs w:val="14"/>
          <w:color w:val="auto"/>
        </w:rPr>
        <w:t>ELLY</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William C. Kelly, Jr.</w:t>
      </w:r>
    </w:p>
    <w:p>
      <w:pPr>
        <w:spacing w:after="0" w:line="262"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C. B</w:t>
      </w:r>
      <w:r>
        <w:rPr>
          <w:rFonts w:ascii="Arial" w:cs="Arial" w:eastAsia="Arial" w:hAnsi="Arial"/>
          <w:sz w:val="13"/>
          <w:szCs w:val="13"/>
          <w:color w:val="auto"/>
        </w:rPr>
        <w:t>URWELL</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b w:val="1"/>
          <w:bCs w:val="1"/>
          <w:color w:val="auto"/>
        </w:rPr>
        <w:t>Thomas C. Burwell, Jr.</w:t>
      </w:r>
    </w:p>
    <w:p>
      <w:pPr>
        <w:spacing w:after="0" w:line="262" w:lineRule="exact"/>
        <w:rPr>
          <w:sz w:val="20"/>
          <w:szCs w:val="20"/>
          <w:color w:val="auto"/>
        </w:rPr>
      </w:pPr>
    </w:p>
    <w:p>
      <w:pPr>
        <w:ind w:left="780"/>
        <w:spacing w:after="0"/>
        <w:tabs>
          <w:tab w:leader="none" w:pos="1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 R</w:t>
      </w:r>
      <w:r>
        <w:rPr>
          <w:rFonts w:ascii="Arial" w:cs="Arial" w:eastAsia="Arial" w:hAnsi="Arial"/>
          <w:sz w:val="13"/>
          <w:szCs w:val="13"/>
          <w:color w:val="auto"/>
        </w:rPr>
        <w:t>ONALD</w:t>
      </w:r>
      <w:r>
        <w:rPr>
          <w:rFonts w:ascii="Arial" w:cs="Arial" w:eastAsia="Arial" w:hAnsi="Arial"/>
          <w:sz w:val="16"/>
          <w:szCs w:val="16"/>
          <w:color w:val="auto"/>
        </w:rPr>
        <w:t xml:space="preserve"> M</w:t>
      </w:r>
      <w:r>
        <w:rPr>
          <w:rFonts w:ascii="Arial" w:cs="Arial" w:eastAsia="Arial" w:hAnsi="Arial"/>
          <w:sz w:val="13"/>
          <w:szCs w:val="13"/>
          <w:color w:val="auto"/>
        </w:rPr>
        <w:t>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4"/>
          <w:szCs w:val="14"/>
          <w:b w:val="1"/>
          <w:bCs w:val="1"/>
          <w:color w:val="auto"/>
        </w:rPr>
        <w:t>G. Ronald Morris</w:t>
      </w:r>
    </w:p>
    <w:p>
      <w:pPr>
        <w:spacing w:after="0" w:line="222"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E. W</w:t>
      </w:r>
      <w:r>
        <w:rPr>
          <w:rFonts w:ascii="Arial" w:cs="Arial" w:eastAsia="Arial" w:hAnsi="Arial"/>
          <w:sz w:val="13"/>
          <w:szCs w:val="13"/>
          <w:color w:val="auto"/>
        </w:rPr>
        <w:t>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4"/>
          <w:szCs w:val="14"/>
          <w:b w:val="1"/>
          <w:bCs w:val="1"/>
          <w:color w:val="auto"/>
        </w:rPr>
        <w:t>Michael E. Werner</w:t>
      </w:r>
    </w:p>
    <w:p>
      <w:pPr>
        <w:spacing w:after="0" w:line="222"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T. W</w:t>
      </w:r>
      <w:r>
        <w:rPr>
          <w:rFonts w:ascii="Arial" w:cs="Arial" w:eastAsia="Arial" w:hAnsi="Arial"/>
          <w:sz w:val="13"/>
          <w:szCs w:val="13"/>
          <w:color w:val="auto"/>
        </w:rPr>
        <w:t>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4"/>
          <w:szCs w:val="14"/>
          <w:b w:val="1"/>
          <w:bCs w:val="1"/>
          <w:color w:val="auto"/>
        </w:rPr>
        <w:t>Steven T. Warshaw</w:t>
      </w:r>
    </w:p>
    <w:p>
      <w:pPr>
        <w:spacing w:after="0" w:line="222" w:lineRule="exact"/>
        <w:rPr>
          <w:sz w:val="20"/>
          <w:szCs w:val="20"/>
          <w:color w:val="auto"/>
        </w:rPr>
      </w:pPr>
    </w:p>
    <w:p>
      <w:pPr>
        <w:ind w:left="740"/>
        <w:spacing w:after="0"/>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G. F</w:t>
      </w:r>
      <w:r>
        <w:rPr>
          <w:rFonts w:ascii="Arial" w:cs="Arial" w:eastAsia="Arial" w:hAnsi="Arial"/>
          <w:sz w:val="14"/>
          <w:szCs w:val="14"/>
          <w:color w:val="auto"/>
        </w:rPr>
        <w:t>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4"/>
          <w:szCs w:val="14"/>
          <w:b w:val="1"/>
          <w:bCs w:val="1"/>
          <w:color w:val="auto"/>
        </w:rPr>
        <w:t>Richard G. Fanelli</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Chairman of the Board, Chief Executive Officer</w:t>
      </w:r>
      <w:r>
        <w:rPr>
          <w:sz w:val="20"/>
          <w:szCs w:val="20"/>
          <w:color w:val="auto"/>
        </w:rPr>
        <w:tab/>
      </w:r>
      <w:r>
        <w:rPr>
          <w:rFonts w:ascii="Arial" w:cs="Arial" w:eastAsia="Arial" w:hAnsi="Arial"/>
          <w:sz w:val="16"/>
          <w:szCs w:val="16"/>
          <w:color w:val="auto"/>
        </w:rPr>
        <w:t>March 15, 2012</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President</w:t>
      </w:r>
    </w:p>
    <w:p>
      <w:pPr>
        <w:spacing w:after="0" w:line="219"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Senior Vice President-Corporate Development</w:t>
      </w:r>
      <w:r>
        <w:rPr>
          <w:sz w:val="20"/>
          <w:szCs w:val="20"/>
          <w:color w:val="auto"/>
        </w:rPr>
        <w:tab/>
      </w:r>
      <w:r>
        <w:rPr>
          <w:rFonts w:ascii="Arial" w:cs="Arial" w:eastAsia="Arial" w:hAnsi="Arial"/>
          <w:sz w:val="16"/>
          <w:szCs w:val="16"/>
          <w:color w:val="auto"/>
        </w:rPr>
        <w:t>March 15, 2012</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Chief Financial Officer</w:t>
      </w:r>
    </w:p>
    <w:p>
      <w:pPr>
        <w:spacing w:after="0" w:line="219"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Vice President-Chief Administrative Officer,</w:t>
      </w:r>
      <w:r>
        <w:rPr>
          <w:sz w:val="20"/>
          <w:szCs w:val="20"/>
          <w:color w:val="auto"/>
        </w:rPr>
        <w:tab/>
      </w:r>
      <w:r>
        <w:rPr>
          <w:rFonts w:ascii="Arial" w:cs="Arial" w:eastAsia="Arial" w:hAnsi="Arial"/>
          <w:sz w:val="16"/>
          <w:szCs w:val="16"/>
          <w:color w:val="auto"/>
        </w:rPr>
        <w:t>March 15, 2012</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Secretary and Treasurer</w:t>
      </w:r>
    </w:p>
    <w:p>
      <w:pPr>
        <w:spacing w:after="0" w:line="219"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Vice President-Chief Accounting Officer and</w:t>
      </w:r>
      <w:r>
        <w:rPr>
          <w:sz w:val="20"/>
          <w:szCs w:val="20"/>
          <w:color w:val="auto"/>
        </w:rPr>
        <w:tab/>
      </w:r>
      <w:r>
        <w:rPr>
          <w:rFonts w:ascii="Arial" w:cs="Arial" w:eastAsia="Arial" w:hAnsi="Arial"/>
          <w:sz w:val="16"/>
          <w:szCs w:val="16"/>
          <w:color w:val="auto"/>
        </w:rPr>
        <w:t>March 15, 2012</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 Controller</w:t>
      </w:r>
    </w:p>
    <w:p>
      <w:pPr>
        <w:spacing w:after="0" w:line="219"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2012</w:t>
      </w:r>
    </w:p>
    <w:p>
      <w:pPr>
        <w:spacing w:after="0" w:line="200" w:lineRule="exact"/>
        <w:rPr>
          <w:sz w:val="20"/>
          <w:szCs w:val="20"/>
          <w:color w:val="auto"/>
        </w:rPr>
      </w:pPr>
    </w:p>
    <w:p>
      <w:pPr>
        <w:spacing w:after="0" w:line="224"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2012</w:t>
      </w:r>
    </w:p>
    <w:p>
      <w:pPr>
        <w:spacing w:after="0" w:line="200" w:lineRule="exact"/>
        <w:rPr>
          <w:sz w:val="20"/>
          <w:szCs w:val="20"/>
          <w:color w:val="auto"/>
        </w:rPr>
      </w:pPr>
    </w:p>
    <w:p>
      <w:pPr>
        <w:spacing w:after="0" w:line="224"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2012</w:t>
      </w:r>
    </w:p>
    <w:p>
      <w:pPr>
        <w:spacing w:after="0" w:line="200" w:lineRule="exact"/>
        <w:rPr>
          <w:sz w:val="20"/>
          <w:szCs w:val="20"/>
          <w:color w:val="auto"/>
        </w:rPr>
      </w:pPr>
    </w:p>
    <w:p>
      <w:pPr>
        <w:spacing w:after="0" w:line="224"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2012</w:t>
      </w:r>
    </w:p>
    <w:p>
      <w:pPr>
        <w:spacing w:after="0" w:line="3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520" w:space="720"/>
            <w:col w:w="6180"/>
          </w:cols>
          <w:pgMar w:left="240" w:top="280"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ind w:left="820" w:right="420" w:hanging="722"/>
        <w:spacing w:after="0" w:line="268"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April 14, 2003 among SKF Holding Maatschappij Holland B.V., SKF B.V., NN, Inc. and NN Netherlands B.V. (incorporated by reference to Exhibit 2.1 of Form 8-K filed on May 16, 2003)</w:t>
      </w:r>
    </w:p>
    <w:p>
      <w:pPr>
        <w:spacing w:after="0" w:line="7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Company (incorporated by reference to Exhibit 3.1 of the Company’s Registration Statement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89950 on Form S-3 filed June 6, 2002)</w:t>
      </w:r>
    </w:p>
    <w:p>
      <w:pPr>
        <w:spacing w:after="0" w:line="111" w:lineRule="exact"/>
        <w:rPr>
          <w:sz w:val="20"/>
          <w:szCs w:val="20"/>
          <w:color w:val="auto"/>
        </w:rPr>
      </w:pPr>
    </w:p>
    <w:p>
      <w:pPr>
        <w:ind w:left="820" w:right="200" w:hanging="722"/>
        <w:spacing w:after="0" w:line="268"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the Company (incorporated by reference to Exhibit 3.2 of the Company’s Registration Statement No. 333-89950 on Form S-3 filed June 6, 2002)</w:t>
      </w:r>
    </w:p>
    <w:p>
      <w:pPr>
        <w:spacing w:after="0" w:line="7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Amendments to the Restated By-Laws of NN, Inc. (incorporated by reference to the Company’s Form 8-K filed December 18, 2008)</w:t>
      </w:r>
    </w:p>
    <w:p>
      <w:pPr>
        <w:spacing w:after="0" w:line="117" w:lineRule="exact"/>
        <w:rPr>
          <w:sz w:val="20"/>
          <w:szCs w:val="20"/>
          <w:color w:val="auto"/>
        </w:rPr>
      </w:pPr>
    </w:p>
    <w:p>
      <w:pPr>
        <w:ind w:left="820" w:right="40" w:hanging="722"/>
        <w:spacing w:after="0" w:line="268"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the Company’s Common Stock, par value $0.01 per share (incorporated by reference to Exhibit 4.1 of the Company’s Registration Statement No. 333-89950 on Form S-3 filed June 6, 2002)</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NN, Inc. 1994 Stock Incentive Plan*</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No. 1 to the NN, Inc. 1994 Stock Incentive Plan (incorporated by reference to Exhibit 4.6 of the Company’s Registration Statement No.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333-50934 on Form S-8 filed on November 30, 2000)*</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No. 2 to the NN, Inc. 1994 Stock Incentive Plan (incorporated by reference to Exhibit 4.7 of the Company’s Registration Statement No.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333-69588 on Form S-8 filed on September 18, 2001)*</w:t>
      </w:r>
    </w:p>
    <w:p>
      <w:pPr>
        <w:spacing w:after="0" w:line="111" w:lineRule="exact"/>
        <w:rPr>
          <w:sz w:val="20"/>
          <w:szCs w:val="20"/>
          <w:color w:val="auto"/>
        </w:rPr>
      </w:pPr>
    </w:p>
    <w:p>
      <w:pPr>
        <w:jc w:val="both"/>
        <w:ind w:left="820" w:right="20" w:hanging="809"/>
        <w:spacing w:after="0" w:line="259"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No. 3 to NN, Inc. 1994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NN, Inc. 2005 Stock Incentive Plan (incorporated by reference to the Company’s Form S-8 filed December 16, 2005)*</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NN, Inc. 2011 Stock Incentive Plan (incorporated by reference to the Company’s Proxy Statement filed April 6, 2011)*</w:t>
      </w:r>
    </w:p>
    <w:p>
      <w:pPr>
        <w:spacing w:after="0" w:line="117"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 (incorporated by reference to Exhibit 10.6 of the Company’s Registration Statement No. 333-89950 on Form S-3/A filed July 15, 2002)</w:t>
      </w:r>
    </w:p>
    <w:p>
      <w:pPr>
        <w:spacing w:after="0" w:line="78" w:lineRule="exact"/>
        <w:rPr>
          <w:sz w:val="20"/>
          <w:szCs w:val="20"/>
          <w:color w:val="auto"/>
        </w:rPr>
      </w:pPr>
    </w:p>
    <w:p>
      <w:pPr>
        <w:jc w:val="both"/>
        <w:ind w:left="820" w:right="440" w:hanging="809"/>
        <w:spacing w:after="0" w:line="259"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Incentive Stock Option Agreement used in connection with the 1994 Stock Incentive Plan, 2005 Stock Incentive Plan, and 2011 Stock Incentive Plan (incorporated by reference to Exhibit 10.1 of the Company’s Registration Statement No. 333-89950 on Form S-3/A filed July 15, 2002)*</w:t>
      </w:r>
    </w:p>
    <w:p>
      <w:pPr>
        <w:spacing w:after="0" w:line="86" w:lineRule="exact"/>
        <w:rPr>
          <w:sz w:val="20"/>
          <w:szCs w:val="20"/>
          <w:color w:val="auto"/>
        </w:rPr>
      </w:pPr>
    </w:p>
    <w:p>
      <w:pPr>
        <w:ind w:left="820" w:right="40" w:hanging="809"/>
        <w:spacing w:after="0" w:line="259"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Stock Option Agreement, dated December 7, 1998, between the Company and the non-employee directors of the Company, used in connection with the 1994 Stock Incentive Plan, 2005 Stock Incentive Plan, and 2011 Stock Incentive Plan (incorporated by reference to Exhibit 10.15 of the Company’s Annual Report on Form 10-K filed March 31, 1999)*</w:t>
      </w:r>
    </w:p>
    <w:p>
      <w:pPr>
        <w:spacing w:after="0" w:line="86" w:lineRule="exact"/>
        <w:rPr>
          <w:sz w:val="20"/>
          <w:szCs w:val="20"/>
          <w:color w:val="auto"/>
        </w:rPr>
      </w:pPr>
    </w:p>
    <w:p>
      <w:pPr>
        <w:ind w:left="820" w:right="540" w:hanging="809"/>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Restricted Stock Grant Agreement used in connection with the 1994 Stock Incentive Plan, 2005 Stock Incentive Plan, and 2011 Stock Incentive Plan*#</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Elective Deferred Compensation Plan, dated February 26, 1999 (incorporated by reference to Exhibit 10.16 of the Company’s Annual Report on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filed March 31, 1999)*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69" w:name="page70"/>
    <w:bookmarkEnd w:id="69"/>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10.12</w:t>
      </w:r>
      <w:r>
        <w:rPr>
          <w:sz w:val="20"/>
          <w:szCs w:val="20"/>
          <w:color w:val="auto"/>
        </w:rPr>
        <w:tab/>
      </w:r>
      <w:r>
        <w:rPr>
          <w:rFonts w:ascii="Arial" w:cs="Arial" w:eastAsia="Arial" w:hAnsi="Arial"/>
          <w:sz w:val="18"/>
          <w:szCs w:val="18"/>
          <w:color w:val="auto"/>
        </w:rPr>
        <w:t>Executive Employment Agreement, dated August 21, 2006, between the Company and Roderick R. Baty (incorporated by reference to the Company’s Forms 8-K filed August 24, 2006 and March 18, 2010)*</w:t>
      </w:r>
    </w:p>
    <w:p>
      <w:pPr>
        <w:spacing w:after="0" w:line="78"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Executive Employment Agreement, dated August 21, 2006, between the Company and James H. Dorton (incorporated by reference to the Company’s Forms 8-K filed August 24, 2006 and March 18, 2010)*</w:t>
      </w:r>
    </w:p>
    <w:p>
      <w:pPr>
        <w:spacing w:after="0" w:line="78" w:lineRule="exact"/>
        <w:rPr>
          <w:sz w:val="20"/>
          <w:szCs w:val="20"/>
          <w:color w:val="auto"/>
        </w:rPr>
      </w:pPr>
    </w:p>
    <w:p>
      <w:pPr>
        <w:ind w:left="820" w:right="40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Executive Employment Agreement, dated August 21, 2006, between the Company and Frank T. Gentry (incorporated by reference to Company’s Current Report on Forms 8-K filed August 24, 2006 and March 18, 2010)*</w:t>
      </w:r>
    </w:p>
    <w:p>
      <w:pPr>
        <w:spacing w:after="0" w:line="78" w:lineRule="exact"/>
        <w:rPr>
          <w:sz w:val="20"/>
          <w:szCs w:val="20"/>
          <w:color w:val="auto"/>
        </w:rPr>
      </w:pPr>
    </w:p>
    <w:p>
      <w:pPr>
        <w:ind w:left="820" w:right="700" w:hanging="809"/>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Executive Employment Agreement dated August 21, 2006, between the Company and William C. Kelly, Jr. (incorporated by reference to the Company’s Current Report on Forms 8-K filed August 24, 2006 and March 18, 2010)*</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Executive Employment Agreement dated August 21, 2006, between the Company and Jeffrey H. Hodge (incorporated by reference to Exhibit 10.16 of the Company’s Annual Report on Forms 10-K filed March 31, 2010)*</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Amended and Restated Executive Employment Agreement dated September 1, 2011, between the Company and Thomas C. Burwell, Jr.* #</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Executive Employment Agreement dated July 21, 2011, between Whirlaway and James R. Widders *#</w:t>
      </w:r>
    </w:p>
    <w:p>
      <w:pPr>
        <w:spacing w:after="0" w:line="117" w:lineRule="exact"/>
        <w:rPr>
          <w:sz w:val="20"/>
          <w:szCs w:val="20"/>
          <w:color w:val="auto"/>
        </w:rPr>
      </w:pPr>
    </w:p>
    <w:p>
      <w:pPr>
        <w:ind w:left="820" w:right="220" w:hanging="809"/>
        <w:spacing w:after="0" w:line="268"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NN Euroball, ApS Shareholder Agreement dated April 6, 2000 among NN, Inc., AB SKF and FAG Kugelfischer Georg ShaferAG (incorporated by reference to Exhibit 10.26 of the Company’s Annual Report on Form 10-K filed March 29, 2002)</w:t>
      </w:r>
    </w:p>
    <w:p>
      <w:pPr>
        <w:spacing w:after="0" w:line="78" w:lineRule="exact"/>
        <w:rPr>
          <w:sz w:val="20"/>
          <w:szCs w:val="20"/>
          <w:color w:val="auto"/>
        </w:rPr>
      </w:pPr>
    </w:p>
    <w:p>
      <w:pPr>
        <w:ind w:left="820" w:right="20" w:hanging="809"/>
        <w:spacing w:after="0" w:line="294"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62" w:lineRule="exact"/>
        <w:rPr>
          <w:sz w:val="20"/>
          <w:szCs w:val="20"/>
          <w:color w:val="auto"/>
        </w:rPr>
      </w:pPr>
    </w:p>
    <w:p>
      <w:pPr>
        <w:ind w:left="820" w:right="80" w:hanging="809"/>
        <w:spacing w:after="0" w:line="29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Second Amended and Restated Credit Agreement among NN, Inc. as U.S. Borrower and its subsidiaries and the Lenders named therein Key Bank National Association as lead arranger, book runner and administrative agent, and Branch Bank and Trust Company as documentation agent and Wells Fargo Bank, N.A. as Foreign Swing line Lender and Regions Bank as Domestic Swing line Lender dated as of December 21, 2010 (incorporated by reference to the Company’s Current Report on Form 8-K filed December 27, 2010).</w:t>
      </w:r>
    </w:p>
    <w:p>
      <w:pPr>
        <w:spacing w:after="0" w:line="59" w:lineRule="exact"/>
        <w:rPr>
          <w:sz w:val="20"/>
          <w:szCs w:val="20"/>
          <w:color w:val="auto"/>
        </w:rPr>
      </w:pPr>
    </w:p>
    <w:p>
      <w:pPr>
        <w:ind w:left="820" w:right="32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No.1 to Second Amended and Restated Credit Agreement, dated March 9, 2011 (incorporated by reference to the Company’s Current Report on Form 8-K filed December 22, 2011)</w:t>
      </w:r>
    </w:p>
    <w:p>
      <w:pPr>
        <w:spacing w:after="0" w:line="78" w:lineRule="exact"/>
        <w:rPr>
          <w:sz w:val="20"/>
          <w:szCs w:val="20"/>
          <w:color w:val="auto"/>
        </w:rPr>
      </w:pPr>
    </w:p>
    <w:p>
      <w:pPr>
        <w:ind w:left="820" w:right="560" w:hanging="809"/>
        <w:spacing w:after="0" w:line="26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No.2 to Second Amended and Restated Credit Agreement, dated December 20, 2011 (incorporated by reference to the Company’s Current Report on Form 8-K filed December 22, 2011)</w:t>
      </w:r>
    </w:p>
    <w:p>
      <w:pPr>
        <w:spacing w:after="0" w:line="78" w:lineRule="exact"/>
        <w:rPr>
          <w:sz w:val="20"/>
          <w:szCs w:val="20"/>
          <w:color w:val="auto"/>
        </w:rPr>
      </w:pPr>
    </w:p>
    <w:p>
      <w:pPr>
        <w:ind w:left="820" w:right="80" w:hanging="809"/>
        <w:spacing w:after="0" w:line="332"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Third Amended and Restated Note Purchase and Shelf Agreement dated December 21, 2010 among NN, Inc. and certain Series A Note Purchasers as defined therein (incorporated by reference to the Company’s Current Report on Form 8-K filed December 27, 2010)</w:t>
      </w:r>
    </w:p>
    <w:p>
      <w:pPr>
        <w:spacing w:after="0" w:line="31"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No.1 to Third Amended and Restated Note Purchase and Shelf Agreement, dated September 30, 2011 (incorporated by reference to the Company’s Current Report on Form 8-K filed December 22,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88" w:right="239" w:bottom="1440" w:gutter="0" w:footer="0" w:header="0"/>
        </w:sectPr>
      </w:pPr>
    </w:p>
    <w:bookmarkStart w:id="70" w:name="page71"/>
    <w:bookmarkEnd w:id="70"/>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10.26</w:t>
      </w:r>
      <w:r>
        <w:rPr>
          <w:sz w:val="20"/>
          <w:szCs w:val="20"/>
          <w:color w:val="auto"/>
        </w:rPr>
        <w:tab/>
      </w:r>
      <w:r>
        <w:rPr>
          <w:rFonts w:ascii="Arial" w:cs="Arial" w:eastAsia="Arial" w:hAnsi="Arial"/>
          <w:sz w:val="18"/>
          <w:szCs w:val="18"/>
          <w:color w:val="auto"/>
        </w:rPr>
        <w:t>Amendment No. 2 to Third Amended and Restated Note Purchase and Shelf Agreement, dated December 20, 2011 (incorporated by reference to the Company’s Current Report on Form 8-K filed December 22, 2011)</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388" w:right="4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Restricted Stock Grant Agreement (“Agreement”) is made as of by NN, Inc. (the “Company”) and (“Grantee”) to effect an award of restricted stock by Company to Grantee on the terms and conditions set forth below:</w:t>
      </w:r>
    </w:p>
    <w:p>
      <w:pPr>
        <w:spacing w:after="0" w:line="126"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 of Restricted Stock. </w:t>
      </w:r>
      <w:r>
        <w:rPr>
          <w:rFonts w:ascii="Arial" w:cs="Arial" w:eastAsia="Arial" w:hAnsi="Arial"/>
          <w:sz w:val="16"/>
          <w:szCs w:val="16"/>
          <w:color w:val="auto"/>
        </w:rPr>
        <w:t>As of the above-entered date, subject to the terms, conditions and restrictions set forth herein, the Company grants and</w:t>
      </w:r>
    </w:p>
    <w:p>
      <w:pPr>
        <w:spacing w:after="0" w:line="44"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issues to Grantee</w:t>
      </w:r>
      <w:r>
        <w:rPr>
          <w:sz w:val="20"/>
          <w:szCs w:val="20"/>
          <w:color w:val="auto"/>
        </w:rPr>
        <w:tab/>
      </w:r>
      <w:r>
        <w:rPr>
          <w:rFonts w:ascii="Arial" w:cs="Arial" w:eastAsia="Arial" w:hAnsi="Arial"/>
          <w:sz w:val="16"/>
          <w:szCs w:val="16"/>
          <w:color w:val="auto"/>
        </w:rPr>
        <w:t>shares of the Company’s common stock (the “Granted Stock”).</w:t>
      </w:r>
    </w:p>
    <w:p>
      <w:pPr>
        <w:spacing w:after="0" w:line="159" w:lineRule="exact"/>
        <w:rPr>
          <w:sz w:val="20"/>
          <w:szCs w:val="20"/>
          <w:color w:val="auto"/>
        </w:rPr>
      </w:pPr>
    </w:p>
    <w:p>
      <w:pPr>
        <w:ind w:right="200" w:firstLine="464"/>
        <w:spacing w:after="0" w:line="262" w:lineRule="auto"/>
        <w:tabs>
          <w:tab w:leader="none" w:pos="6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Plan. </w:t>
      </w:r>
      <w:r>
        <w:rPr>
          <w:rFonts w:ascii="Arial" w:cs="Arial" w:eastAsia="Arial" w:hAnsi="Arial"/>
          <w:sz w:val="18"/>
          <w:szCs w:val="18"/>
          <w:color w:val="auto"/>
        </w:rPr>
        <w:t>The Granted Stock shall be granted pursuant to and (except as specifically set forth herein) subject in all respects to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NN, Inc. 2011 Stock Incentive Plan (“Plan”), which are incorporated herein by reference. Terms not otherwise defined in this Agreement have the meanings ascribed to them in the Plan.</w:t>
      </w:r>
    </w:p>
    <w:p>
      <w:pPr>
        <w:spacing w:after="0" w:line="132" w:lineRule="exact"/>
        <w:rPr>
          <w:rFonts w:ascii="Arial" w:cs="Arial" w:eastAsia="Arial" w:hAnsi="Arial"/>
          <w:sz w:val="18"/>
          <w:szCs w:val="18"/>
          <w:b w:val="1"/>
          <w:bCs w:val="1"/>
          <w:color w:val="auto"/>
        </w:rPr>
      </w:pPr>
    </w:p>
    <w:p>
      <w:pPr>
        <w:ind w:left="640" w:hanging="176"/>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Granted Stock.</w:t>
      </w:r>
    </w:p>
    <w:p>
      <w:pPr>
        <w:spacing w:after="0" w:line="96" w:lineRule="exact"/>
        <w:rPr>
          <w:rFonts w:ascii="Arial" w:cs="Arial" w:eastAsia="Arial" w:hAnsi="Arial"/>
          <w:sz w:val="18"/>
          <w:szCs w:val="18"/>
          <w:b w:val="1"/>
          <w:bCs w:val="1"/>
          <w:color w:val="auto"/>
        </w:rPr>
      </w:pPr>
    </w:p>
    <w:p>
      <w:pPr>
        <w:ind w:left="460" w:right="180" w:firstLine="443"/>
        <w:spacing w:after="0" w:line="335" w:lineRule="auto"/>
        <w:tabs>
          <w:tab w:leader="none" w:pos="1137"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No Transfer</w:t>
      </w:r>
      <w:r>
        <w:rPr>
          <w:rFonts w:ascii="Arial" w:cs="Arial" w:eastAsia="Arial" w:hAnsi="Arial"/>
          <w:sz w:val="15"/>
          <w:szCs w:val="15"/>
          <w:color w:val="auto"/>
        </w:rPr>
        <w:t>. The shares of Granted Stock (including any shares received by Grantee with respect to shares of Granted Stock as a result of stock dividends, stock splits or any other form of recapitalization or a similar transaction affecting the Company’s securities without receipt of consideration) may not be sold, assigned, transferred, pledged, hypothecated or otherwise disposed of, alienated or encumbered during the Restricted Period.</w:t>
      </w:r>
    </w:p>
    <w:p>
      <w:pPr>
        <w:spacing w:after="0" w:line="88" w:lineRule="exact"/>
        <w:rPr>
          <w:rFonts w:ascii="Arial" w:cs="Arial" w:eastAsia="Arial" w:hAnsi="Arial"/>
          <w:sz w:val="15"/>
          <w:szCs w:val="15"/>
          <w:color w:val="auto"/>
        </w:rPr>
      </w:pPr>
    </w:p>
    <w:p>
      <w:pPr>
        <w:ind w:left="460" w:right="40" w:firstLine="443"/>
        <w:spacing w:after="0" w:line="259"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restrictions imposed under Section 3(a) will be removed from the Granted Stock as set forth on the Vesting Schedule attached hereto as Exhibit “A”. Removal of the restrictions imposed under Section 3(a) from particular shares of Granted Stock is referred to as “vesting” of those shares and shares from which the restrictions have been removed are referred to as “vested.”</w:t>
      </w:r>
    </w:p>
    <w:p>
      <w:pPr>
        <w:spacing w:after="0" w:line="134" w:lineRule="exact"/>
        <w:rPr>
          <w:rFonts w:ascii="Arial" w:cs="Arial" w:eastAsia="Arial" w:hAnsi="Arial"/>
          <w:sz w:val="18"/>
          <w:szCs w:val="18"/>
          <w:color w:val="auto"/>
        </w:rPr>
      </w:pPr>
    </w:p>
    <w:p>
      <w:pPr>
        <w:ind w:right="60" w:firstLine="464"/>
        <w:spacing w:after="0" w:line="296" w:lineRule="auto"/>
        <w:tabs>
          <w:tab w:leader="none" w:pos="63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Voting and Other Rights. </w:t>
      </w:r>
      <w:r>
        <w:rPr>
          <w:rFonts w:ascii="Arial" w:cs="Arial" w:eastAsia="Arial" w:hAnsi="Arial"/>
          <w:sz w:val="16"/>
          <w:szCs w:val="16"/>
          <w:color w:val="auto"/>
        </w:rPr>
        <w:t>During the period prior to vesting, except as otherwise provided herein, Grantee will have all of the rights of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all of the Granted Stock, including without limitation the right to vote such Granted Stock and the right to receive all dividends or other distributions with respect to such Granted Stock. In connection with the payment of such dividends or other distributions, the Company will be entitled to deduct from any amounts otherwise payable by the Company to Grantee (including without limitation salary or other compensation) any taxes or other amounts required by any governmental authority to be withheld and paid over to such authority for Grantee’s account.</w:t>
      </w:r>
    </w:p>
    <w:p>
      <w:pPr>
        <w:spacing w:after="0" w:line="107" w:lineRule="exact"/>
        <w:rPr>
          <w:rFonts w:ascii="Arial" w:cs="Arial" w:eastAsia="Arial" w:hAnsi="Arial"/>
          <w:sz w:val="16"/>
          <w:szCs w:val="16"/>
          <w:b w:val="1"/>
          <w:bCs w:val="1"/>
          <w:color w:val="auto"/>
        </w:rPr>
      </w:pPr>
    </w:p>
    <w:p>
      <w:pPr>
        <w:ind w:left="640" w:hanging="176"/>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Certification, Escrow and Delivery of Shares.</w:t>
      </w:r>
    </w:p>
    <w:p>
      <w:pPr>
        <w:spacing w:after="0" w:line="96" w:lineRule="exact"/>
        <w:rPr>
          <w:rFonts w:ascii="Arial" w:cs="Arial" w:eastAsia="Arial" w:hAnsi="Arial"/>
          <w:sz w:val="18"/>
          <w:szCs w:val="18"/>
          <w:b w:val="1"/>
          <w:bCs w:val="1"/>
          <w:color w:val="auto"/>
        </w:rPr>
      </w:pPr>
    </w:p>
    <w:p>
      <w:pPr>
        <w:ind w:left="460" w:right="420" w:firstLine="443"/>
        <w:spacing w:after="0" w:line="332" w:lineRule="auto"/>
        <w:tabs>
          <w:tab w:leader="none" w:pos="113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Each certificate representing any unvested portion of the Granted Stock will be endorsed with a legend substantially as set forth below, as well as such other legends as the Company may deem appropriate to comply with applicable laws and regulations:</w:t>
      </w:r>
    </w:p>
    <w:p>
      <w:pPr>
        <w:sectPr>
          <w:pgSz w:w="11900" w:h="16838" w:orient="portrait"/>
          <w:cols w:equalWidth="0" w:num="1">
            <w:col w:w="11420"/>
          </w:cols>
          <w:pgMar w:left="240" w:top="125" w:right="239" w:bottom="1440" w:gutter="0" w:footer="0" w:header="0"/>
        </w:sectPr>
      </w:pPr>
    </w:p>
    <w:bookmarkStart w:id="72" w:name="page73"/>
    <w:bookmarkEnd w:id="72"/>
    <w:p>
      <w:pPr>
        <w:ind w:left="45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evidenced by this certificate are subject to certain limitations on transfer and other restrictions as set forth in that certain Restricted</w:t>
      </w:r>
    </w:p>
    <w:p>
      <w:pPr>
        <w:spacing w:after="0" w:line="38" w:lineRule="exact"/>
        <w:rPr>
          <w:sz w:val="20"/>
          <w:szCs w:val="20"/>
          <w:color w:val="auto"/>
        </w:rPr>
      </w:pPr>
    </w:p>
    <w:p>
      <w:pPr>
        <w:ind w:left="456" w:right="260"/>
        <w:spacing w:after="0" w:line="261" w:lineRule="auto"/>
        <w:rPr>
          <w:sz w:val="20"/>
          <w:szCs w:val="20"/>
          <w:color w:val="auto"/>
        </w:rPr>
      </w:pPr>
      <w:r>
        <w:rPr>
          <w:rFonts w:ascii="Arial" w:cs="Arial" w:eastAsia="Arial" w:hAnsi="Arial"/>
          <w:sz w:val="18"/>
          <w:szCs w:val="18"/>
          <w:color w:val="auto"/>
        </w:rPr>
        <w:t>Stock Agreement, dated as of , between the Company and the holder of such securities, pursuant to the NN, Inc. 2011 Stock Incentive Plan (copies of which are available for inspection at the offices of the Company).</w:t>
      </w:r>
    </w:p>
    <w:p>
      <w:pPr>
        <w:spacing w:after="0" w:line="138" w:lineRule="exact"/>
        <w:rPr>
          <w:sz w:val="20"/>
          <w:szCs w:val="20"/>
          <w:color w:val="auto"/>
        </w:rPr>
      </w:pPr>
    </w:p>
    <w:p>
      <w:pPr>
        <w:ind w:left="-4" w:right="60" w:firstLine="443"/>
        <w:spacing w:after="0" w:line="298" w:lineRule="auto"/>
        <w:tabs>
          <w:tab w:leader="none" w:pos="682"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With respect to each unvested share of Granted Stock (including any shares received by Grantee with respect to shares of Granted Stock that have not yet vested as a result of stock dividends, stock splits or any other form of recapitalization or a similar transaction affecting the Company’s securities without receipt of consideration), the Secretary of the Company, or such other escrow holder as the Secretary may appoint, will retain physical custody of the certificate representing such share until such share vests.</w:t>
      </w:r>
    </w:p>
    <w:p>
      <w:pPr>
        <w:spacing w:after="0" w:line="112" w:lineRule="exact"/>
        <w:rPr>
          <w:rFonts w:ascii="Arial" w:cs="Arial" w:eastAsia="Arial" w:hAnsi="Arial"/>
          <w:sz w:val="16"/>
          <w:szCs w:val="16"/>
          <w:color w:val="auto"/>
        </w:rPr>
      </w:pPr>
    </w:p>
    <w:p>
      <w:pPr>
        <w:ind w:left="-4" w:right="60" w:firstLine="443"/>
        <w:spacing w:after="0" w:line="294" w:lineRule="auto"/>
        <w:tabs>
          <w:tab w:leader="none" w:pos="672"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Delivery of Certificates</w:t>
      </w:r>
      <w:r>
        <w:rPr>
          <w:rFonts w:ascii="Arial" w:cs="Arial" w:eastAsia="Arial" w:hAnsi="Arial"/>
          <w:sz w:val="16"/>
          <w:szCs w:val="16"/>
          <w:color w:val="auto"/>
        </w:rPr>
        <w:t>. As soon as reasonably practicable after the vesting of any Granted Stock, the Company will release the certificate(s) representing such vested Granted Stock to Grantee. If other still unvested shares of Granted Stock are also represented by the same stock certificate as vested shares, then such certificate will be retired and new certificates representing the vested and unvested portions of the Granted Stock will be issued in place of the existing certificate. The certificate representing the vested Granted Stock will be delivered to Grantee and the certificate representing the still unvested shares of Granted Stock will be retained by the escrow holder.</w:t>
      </w:r>
    </w:p>
    <w:p>
      <w:pPr>
        <w:spacing w:after="0" w:line="109" w:lineRule="exact"/>
        <w:rPr>
          <w:rFonts w:ascii="Arial" w:cs="Arial" w:eastAsia="Arial" w:hAnsi="Arial"/>
          <w:sz w:val="16"/>
          <w:szCs w:val="16"/>
          <w:color w:val="auto"/>
        </w:rPr>
      </w:pPr>
    </w:p>
    <w:p>
      <w:pPr>
        <w:ind w:left="176" w:hanging="176"/>
        <w:spacing w:after="0"/>
        <w:tabs>
          <w:tab w:leader="none" w:pos="17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Agreements.</w:t>
      </w:r>
    </w:p>
    <w:p>
      <w:pPr>
        <w:spacing w:after="0" w:line="96" w:lineRule="exact"/>
        <w:rPr>
          <w:rFonts w:ascii="Arial" w:cs="Arial" w:eastAsia="Arial" w:hAnsi="Arial"/>
          <w:sz w:val="18"/>
          <w:szCs w:val="18"/>
          <w:b w:val="1"/>
          <w:bCs w:val="1"/>
          <w:color w:val="auto"/>
        </w:rPr>
      </w:pPr>
    </w:p>
    <w:p>
      <w:pPr>
        <w:ind w:left="-4" w:firstLine="443"/>
        <w:spacing w:after="0" w:line="286" w:lineRule="auto"/>
        <w:tabs>
          <w:tab w:leader="none" w:pos="672"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The Granted Stock is subject to appropriate income tax withholding and other deductions required by applicable laws or regulations, and Grantee and his successors will be responsible for all income and other taxes payable as a result of grant or vesting of the Granted Stock or otherwise in connection with this Agreement. The Company is not required to provide any gross-up or other tax assistance. Grantee understands that Grantee may make an election pursuant to Section 83(b) of the Internal Revenue Code (the “Code”) within thirty (30) days after the date Grantee acquired the Granted Stock hereunder, or comparable provisions of any state tax law, to include in Grantee’s gross income the fair market value (as of the date of acquisition) of the Granted Stock. Grantee may make such an election </w:t>
      </w:r>
      <w:r>
        <w:rPr>
          <w:rFonts w:ascii="Arial" w:cs="Arial" w:eastAsia="Arial" w:hAnsi="Arial"/>
          <w:sz w:val="16"/>
          <w:szCs w:val="16"/>
          <w:i w:val="1"/>
          <w:iCs w:val="1"/>
          <w:color w:val="auto"/>
        </w:rPr>
        <w:t>only if,</w:t>
      </w:r>
      <w:r>
        <w:rPr>
          <w:rFonts w:ascii="Arial" w:cs="Arial" w:eastAsia="Arial" w:hAnsi="Arial"/>
          <w:sz w:val="16"/>
          <w:szCs w:val="16"/>
          <w:color w:val="auto"/>
        </w:rPr>
        <w:t xml:space="preserve"> prior to making any such election, Grantee (a) notifies the Company of Grantee’s intention to make such election, by delivering to the Company a copy of the fully-executed Section 83(b) Election Form attached hereto as Exhibit “B”, and (b) pays to the Company an amount sufficient to satisfy any taxes or other amounts required by any governmental authority to be withheld or paid over to such authority for Grantee’s account, or otherwise makes arrangements satisfactory to the Company for the payment of such amounts through withholding or otherwise. Grantee understands that if Grantee does not make a proper and timely Section 83(b) election, generally under Section 83 of the Code, at the time the forfeiture restrictions applicable to the Granted Stock lapse, Grantee will recognize ordinary income and be taxed in an amount equal to the fair market value (as of the date the forfeiture restrictions lapse) of the Granted Stock less the Acquisition Consideration paid</w:t>
      </w:r>
    </w:p>
    <w:p>
      <w:pPr>
        <w:sectPr>
          <w:pgSz w:w="11900" w:h="16838" w:orient="portrait"/>
          <w:cols w:equalWidth="0" w:num="1">
            <w:col w:w="10916"/>
          </w:cols>
          <w:pgMar w:left="704" w:top="280" w:right="279" w:bottom="1440" w:gutter="0" w:footer="0" w:header="0"/>
        </w:sectPr>
      </w:pPr>
    </w:p>
    <w:bookmarkStart w:id="73" w:name="page74"/>
    <w:bookmarkEnd w:id="73"/>
    <w:p>
      <w:pPr>
        <w:ind w:right="40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Granted Stock. </w:t>
      </w:r>
      <w:r>
        <w:rPr>
          <w:rFonts w:ascii="Arial" w:cs="Arial" w:eastAsia="Arial" w:hAnsi="Arial"/>
          <w:sz w:val="16"/>
          <w:szCs w:val="16"/>
          <w:b w:val="1"/>
          <w:bCs w:val="1"/>
          <w:color w:val="auto"/>
        </w:rPr>
        <w:t>Grantee acknowledges that it is Grantee’s sole responsibility, and not the Company’s, to file a timely election under</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83(b), even if Grantee requests the Company or its representative to make this filing on Grantee’s behalf. Grantee is relying solely on Grantee’s advisors with respect to the decision as to whether or not to file a Section 83(b) election.</w:t>
      </w:r>
    </w:p>
    <w:p>
      <w:pPr>
        <w:spacing w:after="0" w:line="103" w:lineRule="exact"/>
        <w:rPr>
          <w:sz w:val="20"/>
          <w:szCs w:val="20"/>
          <w:color w:val="auto"/>
        </w:rPr>
      </w:pPr>
    </w:p>
    <w:p>
      <w:pPr>
        <w:ind w:right="20" w:firstLine="443"/>
        <w:spacing w:after="0" w:line="294"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Independent Advice; No Representations</w:t>
      </w:r>
      <w:r>
        <w:rPr>
          <w:rFonts w:ascii="Arial" w:cs="Arial" w:eastAsia="Arial" w:hAnsi="Arial"/>
          <w:sz w:val="16"/>
          <w:szCs w:val="16"/>
          <w:color w:val="auto"/>
        </w:rPr>
        <w:t>. Grantee acknowledges that (i) (s)he was free to use professional advisors of his choice in connection with this Agreement, has received advice from her/his professional advisors in connection with this Agreement, understands its meaning and import, and is entering into this Agreement freely and without coercion or duress; and (ii) (s)he has not received and is not relying upon any advice, representations or assurances made by or on behalf of the Company or any Company affiliate or any employee of or counsel to the Company regarding any tax or other effects or implications of the Granted Stock or other matters contemplated by this Agreement.</w:t>
      </w:r>
    </w:p>
    <w:p>
      <w:pPr>
        <w:spacing w:after="0" w:line="115" w:lineRule="exact"/>
        <w:rPr>
          <w:rFonts w:ascii="Arial" w:cs="Arial" w:eastAsia="Arial" w:hAnsi="Arial"/>
          <w:sz w:val="16"/>
          <w:szCs w:val="16"/>
          <w:color w:val="auto"/>
        </w:rPr>
      </w:pPr>
    </w:p>
    <w:p>
      <w:pPr>
        <w:ind w:firstLine="443"/>
        <w:spacing w:after="0" w:line="291" w:lineRule="auto"/>
        <w:tabs>
          <w:tab w:leader="none" w:pos="67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Value of Granted Stock</w:t>
      </w:r>
      <w:r>
        <w:rPr>
          <w:rFonts w:ascii="Arial" w:cs="Arial" w:eastAsia="Arial" w:hAnsi="Arial"/>
          <w:sz w:val="16"/>
          <w:szCs w:val="16"/>
          <w:color w:val="auto"/>
        </w:rPr>
        <w:t>. No representations or promises are made to Grantee regarding the value of the Granted Stock or Company’s business prospects. Grantee acknowledges that information about investment in Company stock, including financial information and related risks, is contained in Company’s SEC reports which have been made available for Grantee’s review at any time before Grantee’s acceptance of this Agreement. Further, Grantee understands that the Company does not provide tax or investment advice and acknowledges Company’s recommendation that Grantee consult with independent specialists regarding such matters. Sale or other transfer of the Company stock may be limited by and subject to Company policies as well as applicable securities laws and regulations.</w:t>
      </w:r>
    </w:p>
    <w:p>
      <w:pPr>
        <w:spacing w:after="0" w:line="120" w:lineRule="exact"/>
        <w:rPr>
          <w:rFonts w:ascii="Arial" w:cs="Arial" w:eastAsia="Arial" w:hAnsi="Arial"/>
          <w:sz w:val="16"/>
          <w:szCs w:val="16"/>
          <w:color w:val="auto"/>
        </w:rPr>
      </w:pPr>
    </w:p>
    <w:p>
      <w:pPr>
        <w:ind w:right="20" w:firstLine="443"/>
        <w:spacing w:after="0" w:line="294"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Adjustment in Capitalization</w:t>
      </w:r>
      <w:r>
        <w:rPr>
          <w:rFonts w:ascii="Arial" w:cs="Arial" w:eastAsia="Arial" w:hAnsi="Arial"/>
          <w:sz w:val="16"/>
          <w:szCs w:val="16"/>
          <w:color w:val="auto"/>
        </w:rPr>
        <w:t>. In the event of an Adjustment Event that is a merger, consolidation, reorganization, liquidation, dissolution or other similar transaction, then the Award pursuant to Section 1 of this Agreement shall be deemed to pertain to the securities and other property, including cash, to which a holder of the number of shares equal to the Granted Stock would have been entitled to receive in connection with such Adjustment Event; provided, that any securities issued to Grantee in respect of unvested Granted Shares will be subject to the same restrictions and vesting provisions that were applicable to the Granted Stock for which they were issued.</w:t>
      </w:r>
    </w:p>
    <w:p>
      <w:pPr>
        <w:spacing w:after="0" w:line="115" w:lineRule="exact"/>
        <w:rPr>
          <w:rFonts w:ascii="Arial" w:cs="Arial" w:eastAsia="Arial" w:hAnsi="Arial"/>
          <w:sz w:val="16"/>
          <w:szCs w:val="16"/>
          <w:color w:val="auto"/>
        </w:rPr>
      </w:pPr>
    </w:p>
    <w:p>
      <w:pPr>
        <w:ind w:left="680" w:hanging="237"/>
        <w:spacing w:after="0"/>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Upon a Change of Control, vesting shall occur, if at all, with respect to the Granted Stock in accordance with Article 15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left="660" w:hanging="21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a Termination of Employment, any unvested Granted Stock shall be forfeited.</w:t>
      </w:r>
    </w:p>
    <w:p>
      <w:pPr>
        <w:spacing w:after="0" w:line="171" w:lineRule="exact"/>
        <w:rPr>
          <w:rFonts w:ascii="Arial" w:cs="Arial" w:eastAsia="Arial" w:hAnsi="Arial"/>
          <w:sz w:val="18"/>
          <w:szCs w:val="18"/>
          <w:color w:val="auto"/>
        </w:rPr>
      </w:pPr>
    </w:p>
    <w:p>
      <w:pPr>
        <w:ind w:right="120" w:firstLine="443"/>
        <w:spacing w:after="0" w:line="259"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does not confer upon Grantee any right to continue as an employee of the Company or its affiliate or to any particular employment tenure, nor does it limit in any way the right of Company or its affiliate to terminate Grantee’s services to the Company or its affiliate at any time, with or without cause.</w:t>
      </w:r>
    </w:p>
    <w:p>
      <w:pPr>
        <w:sectPr>
          <w:pgSz w:w="11900" w:h="16838" w:orient="portrait"/>
          <w:cols w:equalWidth="0" w:num="1">
            <w:col w:w="10920"/>
          </w:cols>
          <w:pgMar w:left="700" w:top="274" w:right="279" w:bottom="1440" w:gutter="0" w:footer="0" w:header="0"/>
        </w:sectPr>
      </w:pPr>
    </w:p>
    <w:bookmarkStart w:id="74" w:name="page75"/>
    <w:bookmarkEnd w:id="74"/>
    <w:p>
      <w:pPr>
        <w:ind w:left="640" w:hanging="176"/>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96" w:lineRule="exact"/>
        <w:rPr>
          <w:rFonts w:ascii="Arial" w:cs="Arial" w:eastAsia="Arial" w:hAnsi="Arial"/>
          <w:sz w:val="18"/>
          <w:szCs w:val="18"/>
          <w:b w:val="1"/>
          <w:bCs w:val="1"/>
          <w:color w:val="auto"/>
        </w:rPr>
      </w:pPr>
    </w:p>
    <w:p>
      <w:pPr>
        <w:ind w:left="1140" w:hanging="237"/>
        <w:spacing w:after="0"/>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is personal in its nature and Grantee may not assign or transfer his/her rights under this Agreement.</w:t>
      </w:r>
    </w:p>
    <w:p>
      <w:pPr>
        <w:spacing w:after="0" w:line="194" w:lineRule="exact"/>
        <w:rPr>
          <w:rFonts w:ascii="Arial" w:cs="Arial" w:eastAsia="Arial" w:hAnsi="Arial"/>
          <w:sz w:val="16"/>
          <w:szCs w:val="16"/>
          <w:color w:val="auto"/>
        </w:rPr>
      </w:pPr>
    </w:p>
    <w:p>
      <w:pPr>
        <w:jc w:val="both"/>
        <w:ind w:left="460" w:firstLine="443"/>
        <w:spacing w:after="0" w:line="294" w:lineRule="auto"/>
        <w:tabs>
          <w:tab w:leader="none" w:pos="1147"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demands or other communications required or desired to be given by any party shall be in writing and shall be validly given to another party if served either personally or if deposited in the United States mail, certified or registered, postage prepaid, return receipt requested. If such notice, demand or other communication shall be served personally, service shall be conclusively deemed made at the time of such personal service. If such notice, demand or other communication is given by mail, such notice shall be conclusively deemed given forty-eight (48) hours after the deposit thereof in the United States mail addressed to the party to whom such notice, demand or other communication is to be given as hereinafter set forth:</w:t>
      </w:r>
    </w:p>
    <w:p>
      <w:pPr>
        <w:sectPr>
          <w:pgSz w:w="11900" w:h="16838" w:orient="portrait"/>
          <w:cols w:equalWidth="0" w:num="1">
            <w:col w:w="11420"/>
          </w:cols>
          <w:pgMar w:left="240" w:top="274" w:right="239" w:bottom="1440" w:gutter="0" w:footer="0" w:header="0"/>
        </w:sectPr>
      </w:pP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2000 Waters Edge Drive, Suite 12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C. Kelly, Jr.</w:t>
      </w:r>
    </w:p>
    <w:p>
      <w:pPr>
        <w:spacing w:after="0" w:line="178"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To Grantee: At his/her address of record as maintained in the Company’s files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party may change its address for the purpose of receiving notices, demands and other communications by providing written notice to the other party in the manner described in this paragraph.</w:t>
      </w:r>
    </w:p>
    <w:p>
      <w:pPr>
        <w:spacing w:after="0" w:line="132" w:lineRule="exact"/>
        <w:rPr>
          <w:sz w:val="20"/>
          <w:szCs w:val="20"/>
          <w:color w:val="auto"/>
        </w:rPr>
      </w:pPr>
    </w:p>
    <w:p>
      <w:pPr>
        <w:ind w:left="460" w:right="140" w:firstLine="443"/>
        <w:spacing w:after="0" w:line="256"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this Agreement may expressly provide otherwise, this Agreement, the Addendum and the Plan constitute the entire agreement and understanding of the Company and Grantee with respect to the subject matter hereof and thereof, and supersede all prior written or verbal agreements and understandings between Grantee and the Company relating to such subject matter. This Agreement may only be amended by written instrument signed by Grantee and an authorized officer of the Company.</w:t>
      </w:r>
    </w:p>
    <w:p>
      <w:pPr>
        <w:spacing w:after="0" w:line="143" w:lineRule="exact"/>
        <w:rPr>
          <w:rFonts w:ascii="Arial" w:cs="Arial" w:eastAsia="Arial" w:hAnsi="Arial"/>
          <w:sz w:val="18"/>
          <w:szCs w:val="18"/>
          <w:color w:val="auto"/>
        </w:rPr>
      </w:pPr>
    </w:p>
    <w:p>
      <w:pPr>
        <w:ind w:left="460" w:right="20" w:firstLine="443"/>
        <w:spacing w:after="0" w:line="288"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Agreement will be construed and interpreted under the laws of the State of Delaware applicable to agreements executed and to be wholly performed within the State of Delaware. If any provision of this Agreement as applied to any party or to any circumstance is adjudged by a court of competent jurisdiction to be void or unenforceable for any reason, the invalidity of that provision shall in no way affect (to the maximum extent permissible by law) the application of such provision under circumstances different from those adjudicated by the court, the application of any other provision of this Agreement, or the enforceability or invalidity of this Agreement as a whole. If any provision of this Agreement becomes or is deemed invalid, illegal or unenforceable in any jurisdiction by reason of the scope, extent or duration of its coverage, then such provision shall be deemed amended to the extent necessary to conform to applicable law so as to be valid and enforceable or, if such provision cannot be so amended without materially altering the intention of the parties, then such provision will be stricken and the remainder of this Agreement shall continue in full force and effect.</w:t>
      </w:r>
    </w:p>
    <w:p>
      <w:pPr>
        <w:sectPr>
          <w:pgSz w:w="11900" w:h="16838" w:orient="portrait"/>
          <w:cols w:equalWidth="0" w:num="1">
            <w:col w:w="11420"/>
          </w:cols>
          <w:pgMar w:left="240" w:top="274" w:right="239" w:bottom="1440" w:gutter="0" w:footer="0" w:header="0"/>
          <w:type w:val="continuous"/>
        </w:sectPr>
      </w:pPr>
    </w:p>
    <w:bookmarkStart w:id="75" w:name="page76"/>
    <w:bookmarkEnd w:id="75"/>
    <w:p>
      <w:pPr>
        <w:ind w:left="-443" w:right="380" w:firstLine="443"/>
        <w:spacing w:after="0" w:line="306" w:lineRule="auto"/>
        <w:tabs>
          <w:tab w:leader="none" w:pos="23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w:t>
      </w:r>
      <w:r>
        <w:rPr>
          <w:rFonts w:ascii="Arial" w:cs="Arial" w:eastAsia="Arial" w:hAnsi="Arial"/>
          <w:sz w:val="16"/>
          <w:szCs w:val="16"/>
          <w:color w:val="auto"/>
        </w:rPr>
        <w:t>. All rights and remedies provided pursuant to this Agreement or by law shall be cumulative, and no such right or remedy shall be exclusive of any other. A party may pursue any one or more rights or remedies hereunder or may seek damages or specific performance in the event of another party’s breach hereunder or may pursue any other remedy by law or equity, whether or not stated in this Agreement.</w:t>
      </w:r>
    </w:p>
    <w:p>
      <w:pPr>
        <w:spacing w:after="0" w:line="106" w:lineRule="exact"/>
        <w:rPr>
          <w:rFonts w:ascii="Arial" w:cs="Arial" w:eastAsia="Arial" w:hAnsi="Arial"/>
          <w:sz w:val="16"/>
          <w:szCs w:val="16"/>
          <w:color w:val="auto"/>
        </w:rPr>
      </w:pPr>
    </w:p>
    <w:p>
      <w:pPr>
        <w:ind w:left="-443" w:right="180" w:firstLine="443"/>
        <w:spacing w:after="0" w:line="332"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Headings herein are for convenience of reference only, do not constitute a part of this Agreement, and will not affect the meaning or interpretation of this Agreement. References herein to Sections are references to the referenced Section hereof, unless otherwise specified.</w:t>
      </w:r>
    </w:p>
    <w:p>
      <w:pPr>
        <w:spacing w:after="0" w:line="85" w:lineRule="exact"/>
        <w:rPr>
          <w:rFonts w:ascii="Arial" w:cs="Arial" w:eastAsia="Arial" w:hAnsi="Arial"/>
          <w:sz w:val="16"/>
          <w:szCs w:val="16"/>
          <w:color w:val="auto"/>
        </w:rPr>
      </w:pPr>
    </w:p>
    <w:p>
      <w:pPr>
        <w:ind w:left="-443" w:right="40" w:firstLine="443"/>
        <w:spacing w:after="0" w:line="332" w:lineRule="auto"/>
        <w:tabs>
          <w:tab w:leader="none" w:pos="24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Waivers; Amendments</w:t>
      </w:r>
      <w:r>
        <w:rPr>
          <w:rFonts w:ascii="Arial" w:cs="Arial" w:eastAsia="Arial" w:hAnsi="Arial"/>
          <w:sz w:val="16"/>
          <w:szCs w:val="16"/>
          <w:color w:val="auto"/>
        </w:rPr>
        <w:t>. The waiver by either party of a breach of any provision of this Agreement shall not operate or be construed as a waiver of any later breach of that provision. This Agreement may be modified only by written agreement signed by Grantee and the Company.</w:t>
      </w:r>
    </w:p>
    <w:p>
      <w:pPr>
        <w:spacing w:after="0" w:line="85" w:lineRule="exact"/>
        <w:rPr>
          <w:rFonts w:ascii="Arial" w:cs="Arial" w:eastAsia="Arial" w:hAnsi="Arial"/>
          <w:sz w:val="16"/>
          <w:szCs w:val="16"/>
          <w:color w:val="auto"/>
        </w:rPr>
      </w:pPr>
    </w:p>
    <w:p>
      <w:pPr>
        <w:ind w:left="-443" w:right="20" w:firstLine="443"/>
        <w:spacing w:after="0" w:line="259" w:lineRule="auto"/>
        <w:tabs>
          <w:tab w:leader="none" w:pos="2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more than one counterpart, each of which shall be deemed an original, but all of which together shall constitute but one and the same instrument. Facsimile or photographic copies of originally signed copies of this Agreement will be deemed to be originals.</w:t>
      </w:r>
    </w:p>
    <w:p>
      <w:pPr>
        <w:spacing w:after="0" w:line="181" w:lineRule="exact"/>
        <w:rPr>
          <w:sz w:val="20"/>
          <w:szCs w:val="20"/>
          <w:color w:val="auto"/>
        </w:rPr>
      </w:pPr>
    </w:p>
    <w:p>
      <w:pPr>
        <w:ind w:left="5957"/>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5957"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19"/>
                <w:szCs w:val="19"/>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William C. Kelly, Jr.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517"/>
          </w:cols>
          <w:pgMar w:left="1143" w:top="280" w:right="239" w:bottom="1440" w:gutter="0" w:footer="0" w:header="0"/>
        </w:sectPr>
      </w:pPr>
    </w:p>
    <w:bookmarkStart w:id="76" w:name="page77"/>
    <w:bookmarkEnd w:id="76"/>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VESTING SCHEDULE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restrictions imposed in Section 3(a) of the Agreement shall be removed from the Granted Stock according to the following table:</w:t>
      </w:r>
    </w:p>
    <w:p>
      <w:pPr>
        <w:spacing w:after="0" w:line="225"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Arial" w:cs="Arial" w:eastAsia="Arial" w:hAnsi="Arial"/>
                <w:sz w:val="18"/>
                <w:szCs w:val="18"/>
                <w:color w:val="auto"/>
              </w:rPr>
              <w:t>Amount of Granted Stock</w:t>
            </w:r>
          </w:p>
        </w:tc>
        <w:tc>
          <w:tcPr>
            <w:tcW w:w="2400" w:type="dxa"/>
            <w:vAlign w:val="bottom"/>
            <w:gridSpan w:val="2"/>
          </w:tcPr>
          <w:p>
            <w:pPr>
              <w:spacing w:after="0"/>
              <w:rPr>
                <w:sz w:val="20"/>
                <w:szCs w:val="20"/>
                <w:color w:val="auto"/>
              </w:rPr>
            </w:pPr>
            <w:r>
              <w:rPr>
                <w:rFonts w:ascii="Arial" w:cs="Arial" w:eastAsia="Arial" w:hAnsi="Arial"/>
                <w:sz w:val="18"/>
                <w:szCs w:val="18"/>
                <w:color w:val="auto"/>
              </w:rPr>
              <w:t>Date Restrictions Removed</w:t>
            </w:r>
          </w:p>
        </w:tc>
      </w:tr>
      <w:tr>
        <w:trPr>
          <w:trHeight w:val="20"/>
        </w:trPr>
        <w:tc>
          <w:tcPr>
            <w:tcW w:w="18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8"/>
        </w:trPr>
        <w:tc>
          <w:tcPr>
            <w:tcW w:w="18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0" w:type="dxa"/>
            <w:vAlign w:val="bottom"/>
            <w:gridSpan w:val="2"/>
          </w:tcPr>
          <w:p>
            <w:pPr>
              <w:spacing w:after="0" w:line="189" w:lineRule="exact"/>
              <w:rPr>
                <w:sz w:val="20"/>
                <w:szCs w:val="20"/>
                <w:color w:val="auto"/>
              </w:rPr>
            </w:pPr>
            <w:r>
              <w:rPr>
                <w:rFonts w:ascii="Arial" w:cs="Arial" w:eastAsia="Arial" w:hAnsi="Arial"/>
                <w:sz w:val="18"/>
                <w:szCs w:val="18"/>
                <w:color w:val="auto"/>
                <w:w w:val="89"/>
              </w:rPr>
              <w:t>1st anniversary of the Agreement</w:t>
            </w:r>
          </w:p>
        </w:tc>
      </w:tr>
      <w:tr>
        <w:trPr>
          <w:trHeight w:val="216"/>
        </w:trPr>
        <w:tc>
          <w:tcPr>
            <w:tcW w:w="1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7"/>
              </w:rPr>
              <w:t>2nd anniversary of the Agreement</w:t>
            </w:r>
          </w:p>
        </w:tc>
      </w:tr>
      <w:tr>
        <w:trPr>
          <w:trHeight w:val="222"/>
        </w:trPr>
        <w:tc>
          <w:tcPr>
            <w:tcW w:w="18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9"/>
              </w:rPr>
              <w:t>3rd anniversary of the Agreement</w:t>
            </w:r>
          </w:p>
        </w:tc>
      </w:tr>
    </w:tbl>
    <w:p>
      <w:pPr>
        <w:sectPr>
          <w:pgSz w:w="11900" w:h="16838" w:orient="portrait"/>
          <w:cols w:equalWidth="0" w:num="1">
            <w:col w:w="9759"/>
          </w:cols>
          <w:pgMar w:left="700" w:top="274" w:right="1440"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RESTRICTED STOCK GRANT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 2011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TO INCLUDE VALUE OF RESTRICTED PROPERTY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GROSS INCOME IN YEAR OF TRANSFER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INTERNAL REVENUE CODE § 83(b)</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undersigned hereby elects pursuant to Section 83(b) of the Internal Revenue Code with respect to the property described below, and supplies the following information in accordance with the regulations promulgated thereunder:</w:t>
      </w:r>
    </w:p>
    <w:p>
      <w:pPr>
        <w:spacing w:after="0" w:line="5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Name, address and taxpayer identification number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628650</wp:posOffset>
            </wp:positionV>
            <wp:extent cx="23412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396875</wp:posOffset>
            </wp:positionV>
            <wp:extent cx="23412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139700</wp:posOffset>
            </wp:positionV>
            <wp:extent cx="23412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Taxpayer SSN.:</w:t>
      </w:r>
    </w:p>
    <w:p>
      <w:pPr>
        <w:spacing w:after="0" w:line="21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property with respect to which the election is being made:</w:t>
      </w:r>
    </w:p>
    <w:p>
      <w:pPr>
        <w:spacing w:after="0" w:line="9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shares of common stock (“Common Stock”) of NN, Inc., a Delaware corporation (“the Company”)</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Date on which property was transferred:</w:t>
      </w:r>
    </w:p>
    <w:p>
      <w:pPr>
        <w:spacing w:after="0" w:line="211" w:lineRule="exact"/>
        <w:rPr>
          <w:rFonts w:ascii="Arial" w:cs="Arial" w:eastAsia="Arial" w:hAnsi="Arial"/>
          <w:sz w:val="18"/>
          <w:szCs w:val="18"/>
          <w:b w:val="1"/>
          <w:bCs w:val="1"/>
          <w:i w:val="1"/>
          <w:iCs w:val="1"/>
          <w:color w:val="auto"/>
        </w:rPr>
      </w:pPr>
    </w:p>
    <w:p>
      <w:pPr>
        <w:ind w:left="900" w:hanging="446"/>
        <w:spacing w:after="0"/>
        <w:tabs>
          <w:tab w:leader="none" w:pos="9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Taxable year to which this election relates:</w:t>
      </w:r>
    </w:p>
    <w:p>
      <w:pPr>
        <w:spacing w:after="0" w:line="211" w:lineRule="exact"/>
        <w:rPr>
          <w:rFonts w:ascii="Arial" w:cs="Arial" w:eastAsia="Arial" w:hAnsi="Arial"/>
          <w:sz w:val="18"/>
          <w:szCs w:val="18"/>
          <w:b w:val="1"/>
          <w:bCs w:val="1"/>
          <w:i w:val="1"/>
          <w:iCs w:val="1"/>
          <w:color w:val="auto"/>
        </w:rPr>
      </w:pPr>
    </w:p>
    <w:p>
      <w:pPr>
        <w:ind w:left="460" w:right="6300" w:hanging="6"/>
        <w:spacing w:after="0" w:line="469" w:lineRule="auto"/>
        <w:tabs>
          <w:tab w:leader="none" w:pos="895" w:val="left"/>
        </w:tabs>
        <w:numPr>
          <w:ilvl w:val="0"/>
          <w:numId w:val="6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Nature of the restrictions to which the property is subject: </w:t>
      </w:r>
      <w:r>
        <w:rPr>
          <w:rFonts w:ascii="Arial" w:cs="Arial" w:eastAsia="Arial" w:hAnsi="Arial"/>
          <w:sz w:val="15"/>
          <w:szCs w:val="15"/>
          <w:color w:val="auto"/>
        </w:rPr>
        <w:t>The Common Stock vests according to the following schedule: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Common Stock is non-transferable in the taxpayer’s hands, prior to vesting and payment of any required consideration and tax-related amounts.</w:t>
      </w:r>
    </w:p>
    <w:p>
      <w:pPr>
        <w:spacing w:after="0" w:line="235"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market value of the property: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market value at the time of transfer (determined without regard to any restrictions other than restrictions that by their terms will never lapse) of the</w:t>
      </w:r>
    </w:p>
    <w:p>
      <w:pPr>
        <w:spacing w:after="0" w:line="38"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property with respect to which this election is being made is $</w:t>
      </w:r>
      <w:r>
        <w:rPr>
          <w:sz w:val="20"/>
          <w:szCs w:val="20"/>
          <w:color w:val="auto"/>
        </w:rPr>
        <w:tab/>
      </w:r>
      <w:r>
        <w:rPr>
          <w:rFonts w:ascii="Arial" w:cs="Arial" w:eastAsia="Arial" w:hAnsi="Arial"/>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-17780</wp:posOffset>
            </wp:positionV>
            <wp:extent cx="3625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185"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Amount paid for the property:</w:t>
      </w:r>
    </w:p>
    <w:p>
      <w:pPr>
        <w:spacing w:after="0" w:line="90"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The amount paid by the taxpayer for said property is $</w:t>
      </w:r>
      <w:r>
        <w:rPr>
          <w:sz w:val="20"/>
          <w:szCs w:val="20"/>
          <w:color w:val="auto"/>
        </w:rPr>
        <w:tab/>
      </w:r>
      <w:r>
        <w:rPr>
          <w:rFonts w:ascii="Arial" w:cs="Arial" w:eastAsia="Arial" w:hAnsi="Arial"/>
          <w:sz w:val="15"/>
          <w:szCs w:val="15"/>
          <w:color w:val="auto"/>
        </w:rPr>
        <w:t>per share.</w:t>
      </w:r>
    </w:p>
    <w:p>
      <w:pPr>
        <w:spacing w:after="0" w:line="21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Furnishing statement to employer: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this statement has been furnished to the Company.</w:t>
      </w:r>
    </w:p>
    <w:p>
      <w:pPr>
        <w:sectPr>
          <w:pgSz w:w="11900" w:h="16838" w:orient="portrait"/>
          <w:cols w:equalWidth="0" w:num="1">
            <w:col w:w="11360"/>
          </w:cols>
          <w:pgMar w:left="240" w:top="274"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3395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Printed Name</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This election must be filed with the Internal Revenue Service Center with which taxpayer files his or her Federal income tax returns and must be made within thirty (30) days after the execution date of the Grant. This filing should be made by registered or certified mail, return receipt requested. The taxpayer must retain two (2) copies of the completed form for filing with his or her Federal and state tax returns for the current tax year and an additional copy for his or her records.</w:t>
      </w:r>
    </w:p>
    <w:p>
      <w:pPr>
        <w:sectPr>
          <w:pgSz w:w="11900" w:h="16838" w:orient="portrait"/>
          <w:cols w:equalWidth="0" w:num="1">
            <w:col w:w="11380"/>
          </w:cols>
          <w:pgMar w:left="240" w:top="496" w:right="2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10.17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5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2011 by and between</w:t>
      </w:r>
      <w:r>
        <w:rPr>
          <w:rFonts w:ascii="Arial" w:cs="Arial" w:eastAsia="Arial" w:hAnsi="Arial"/>
          <w:sz w:val="18"/>
          <w:szCs w:val="18"/>
          <w:b w:val="1"/>
          <w:bCs w:val="1"/>
          <w:color w:val="auto"/>
        </w:rPr>
        <w:t xml:space="preserve"> NN, Inc., </w:t>
      </w:r>
      <w:r>
        <w:rPr>
          <w:rFonts w:ascii="Arial" w:cs="Arial" w:eastAsia="Arial" w:hAnsi="Arial"/>
          <w:sz w:val="18"/>
          <w:szCs w:val="18"/>
          <w:color w:val="auto"/>
        </w:rPr>
        <w:t>a Delaware Corporation with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Johnson City, Tennessee (the “Company”), and </w:t>
      </w:r>
      <w:r>
        <w:rPr>
          <w:rFonts w:ascii="Arial" w:cs="Arial" w:eastAsia="Arial" w:hAnsi="Arial"/>
          <w:sz w:val="18"/>
          <w:szCs w:val="18"/>
          <w:b w:val="1"/>
          <w:bCs w:val="1"/>
          <w:color w:val="auto"/>
        </w:rPr>
        <w:t>Thomas C. Burwell, Jr.</w:t>
      </w:r>
      <w:r>
        <w:rPr>
          <w:rFonts w:ascii="Arial" w:cs="Arial" w:eastAsia="Arial" w:hAnsi="Arial"/>
          <w:sz w:val="18"/>
          <w:szCs w:val="18"/>
          <w:color w:val="auto"/>
        </w:rPr>
        <w:t xml:space="preserve"> (the “Executive”).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the value of the Executive’s experience and expertise and desire to continue Executive’s employment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Accounting Officer and Corporate Controller of the Company, the Company and Executive previously entered into an Executive Employment Agreement (the “Prior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revise the Prior Agreement; and</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do hereby agree that the Prior Agreement is null and void and that the terms of their employment relationship are as follows:</w:t>
      </w:r>
    </w:p>
    <w:p>
      <w:pPr>
        <w:spacing w:after="0" w:line="57" w:lineRule="exact"/>
        <w:rPr>
          <w:sz w:val="20"/>
          <w:szCs w:val="20"/>
          <w:color w:val="auto"/>
        </w:rPr>
      </w:pPr>
    </w:p>
    <w:p>
      <w:pPr>
        <w:ind w:left="460" w:right="30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 forth herein.</w:t>
      </w:r>
    </w:p>
    <w:p>
      <w:pPr>
        <w:spacing w:after="0" w:line="172"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September 1, 2011, and end on September 1, 2012 unless further extended or sooner terminated as hereinafter provided. On September 1, 2012 and on September 1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156" w:lineRule="exact"/>
        <w:rPr>
          <w:rFonts w:ascii="Arial" w:cs="Arial" w:eastAsia="Arial" w:hAnsi="Arial"/>
          <w:sz w:val="16"/>
          <w:szCs w:val="16"/>
          <w:color w:val="auto"/>
        </w:rPr>
      </w:pPr>
    </w:p>
    <w:p>
      <w:pPr>
        <w:ind w:left="460" w:right="20" w:hanging="452"/>
        <w:spacing w:after="0" w:line="29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shall serve as the Corporate Controller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ectPr>
          <w:pgSz w:w="11900" w:h="16838" w:orient="portrait"/>
          <w:cols w:equalWidth="0" w:num="1">
            <w:col w:w="11420"/>
          </w:cols>
          <w:pgMar w:left="240" w:top="131" w:right="239" w:bottom="1440" w:gutter="0" w:footer="0" w:header="0"/>
        </w:sectPr>
      </w:pPr>
    </w:p>
    <w:bookmarkStart w:id="80" w:name="page81"/>
    <w:bookmarkEnd w:id="80"/>
    <w:p>
      <w:pPr>
        <w:ind w:left="452" w:right="240" w:hanging="452"/>
        <w:spacing w:after="0" w:line="268"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50" w:lineRule="exact"/>
        <w:rPr>
          <w:rFonts w:ascii="Arial" w:cs="Arial" w:eastAsia="Arial" w:hAnsi="Arial"/>
          <w:sz w:val="18"/>
          <w:szCs w:val="18"/>
          <w:color w:val="auto"/>
        </w:rPr>
      </w:pPr>
    </w:p>
    <w:p>
      <w:pPr>
        <w:ind w:left="892" w:right="520" w:hanging="446"/>
        <w:spacing w:after="0" w:line="259"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160,000 Dollars ($160,000) per annum, payable in accordance with the Company’s normal payroll practices. Such base salary may be increased from time to time by the Board of Directors in accordance with the normal business practices of the Company.</w:t>
      </w:r>
    </w:p>
    <w:p>
      <w:pPr>
        <w:spacing w:after="0" w:line="59" w:lineRule="exact"/>
        <w:rPr>
          <w:rFonts w:ascii="Arial" w:cs="Arial" w:eastAsia="Arial" w:hAnsi="Arial"/>
          <w:sz w:val="18"/>
          <w:szCs w:val="18"/>
          <w:color w:val="auto"/>
        </w:rPr>
      </w:pPr>
    </w:p>
    <w:p>
      <w:pPr>
        <w:ind w:left="892" w:right="60" w:hanging="446"/>
        <w:spacing w:after="0" w:line="298" w:lineRule="auto"/>
        <w:tabs>
          <w:tab w:leader="none" w:pos="892"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31" w:lineRule="exact"/>
        <w:rPr>
          <w:rFonts w:ascii="Arial" w:cs="Arial" w:eastAsia="Arial" w:hAnsi="Arial"/>
          <w:sz w:val="16"/>
          <w:szCs w:val="16"/>
          <w:color w:val="auto"/>
        </w:rPr>
      </w:pPr>
    </w:p>
    <w:p>
      <w:pPr>
        <w:ind w:left="892" w:hanging="446"/>
        <w:spacing w:after="0" w:line="256"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62" w:lineRule="exact"/>
        <w:rPr>
          <w:rFonts w:ascii="Arial" w:cs="Arial" w:eastAsia="Arial" w:hAnsi="Arial"/>
          <w:sz w:val="18"/>
          <w:szCs w:val="18"/>
          <w:color w:val="auto"/>
        </w:rPr>
      </w:pPr>
    </w:p>
    <w:p>
      <w:pPr>
        <w:ind w:left="892" w:right="520" w:hanging="446"/>
        <w:spacing w:after="0" w:line="259"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18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90" w:lineRule="exact"/>
        <w:rPr>
          <w:rFonts w:ascii="Arial" w:cs="Arial" w:eastAsia="Arial" w:hAnsi="Arial"/>
          <w:sz w:val="18"/>
          <w:szCs w:val="18"/>
          <w:color w:val="auto"/>
        </w:rPr>
      </w:pPr>
    </w:p>
    <w:p>
      <w:pPr>
        <w:jc w:val="both"/>
        <w:ind w:left="892" w:right="40" w:hanging="446"/>
        <w:spacing w:after="0" w:line="259"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1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80" w:right="319" w:bottom="1440" w:gutter="0" w:footer="0" w:header="0"/>
        </w:sectPr>
      </w:pPr>
    </w:p>
    <w:bookmarkStart w:id="81" w:name="page82"/>
    <w:bookmarkEnd w:id="81"/>
    <w:p>
      <w:pPr>
        <w:ind w:left="892" w:right="140" w:hanging="446"/>
        <w:spacing w:after="0" w:line="268"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From Service with the Company following a “Change in Control” as defined in Paragraph 6(a)(iii) and as provided in Paragraph 6(d)(i); or</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180" w:lineRule="exact"/>
        <w:rPr>
          <w:rFonts w:ascii="Arial" w:cs="Arial" w:eastAsia="Arial" w:hAnsi="Arial"/>
          <w:sz w:val="18"/>
          <w:szCs w:val="18"/>
          <w:color w:val="auto"/>
        </w:rPr>
      </w:pPr>
    </w:p>
    <w:p>
      <w:pPr>
        <w:ind w:left="452" w:right="280" w:hanging="452"/>
        <w:spacing w:after="0" w:line="259" w:lineRule="auto"/>
        <w:tabs>
          <w:tab w:leader="none" w:pos="45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90" w:lineRule="exact"/>
        <w:rPr>
          <w:rFonts w:ascii="Arial" w:cs="Arial" w:eastAsia="Arial" w:hAnsi="Arial"/>
          <w:sz w:val="18"/>
          <w:szCs w:val="18"/>
          <w:color w:val="auto"/>
        </w:rPr>
      </w:pPr>
    </w:p>
    <w:p>
      <w:pPr>
        <w:ind w:left="1472" w:right="40" w:hanging="567"/>
        <w:spacing w:after="0" w:line="289" w:lineRule="auto"/>
        <w:tabs>
          <w:tab w:leader="none" w:pos="1472"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7" w:lineRule="exact"/>
        <w:rPr>
          <w:rFonts w:ascii="Arial" w:cs="Arial" w:eastAsia="Arial" w:hAnsi="Arial"/>
          <w:sz w:val="16"/>
          <w:szCs w:val="16"/>
          <w:color w:val="auto"/>
        </w:rPr>
      </w:pPr>
    </w:p>
    <w:p>
      <w:pPr>
        <w:ind w:left="1472" w:hanging="567"/>
        <w:spacing w:after="0"/>
        <w:tabs>
          <w:tab w:leader="none" w:pos="147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90" w:lineRule="exact"/>
        <w:rPr>
          <w:rFonts w:ascii="Arial" w:cs="Arial" w:eastAsia="Arial" w:hAnsi="Arial"/>
          <w:sz w:val="18"/>
          <w:szCs w:val="18"/>
          <w:color w:val="auto"/>
        </w:rPr>
      </w:pPr>
    </w:p>
    <w:p>
      <w:pPr>
        <w:ind w:left="1912" w:right="80" w:hanging="440"/>
        <w:spacing w:after="0" w:line="256" w:lineRule="auto"/>
        <w:tabs>
          <w:tab w:leader="none" w:pos="1912" w:val="left"/>
        </w:tabs>
        <w:numPr>
          <w:ilvl w:val="3"/>
          <w:numId w:val="68"/>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62" w:lineRule="exact"/>
        <w:rPr>
          <w:rFonts w:ascii="Arial" w:cs="Arial" w:eastAsia="Arial" w:hAnsi="Arial"/>
          <w:sz w:val="18"/>
          <w:szCs w:val="18"/>
          <w:color w:val="auto"/>
        </w:rPr>
      </w:pPr>
    </w:p>
    <w:p>
      <w:pPr>
        <w:ind w:left="1912" w:right="160" w:hanging="440"/>
        <w:spacing w:after="0" w:line="268" w:lineRule="auto"/>
        <w:tabs>
          <w:tab w:leader="none" w:pos="1912" w:val="left"/>
        </w:tabs>
        <w:numPr>
          <w:ilvl w:val="3"/>
          <w:numId w:val="68"/>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82" w:name="page83"/>
    <w:bookmarkEnd w:id="82"/>
    <w:p>
      <w:pPr>
        <w:ind w:left="567" w:hanging="567"/>
        <w:spacing w:after="0"/>
        <w:tabs>
          <w:tab w:leader="none" w:pos="567"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“Change in Control” shall mean either:</w:t>
      </w:r>
    </w:p>
    <w:p>
      <w:pPr>
        <w:spacing w:after="0" w:line="90" w:lineRule="exact"/>
        <w:rPr>
          <w:rFonts w:ascii="Arial" w:cs="Arial" w:eastAsia="Arial" w:hAnsi="Arial"/>
          <w:sz w:val="18"/>
          <w:szCs w:val="18"/>
          <w:color w:val="auto"/>
        </w:rPr>
      </w:pPr>
    </w:p>
    <w:p>
      <w:pPr>
        <w:ind w:left="1007" w:right="60" w:hanging="440"/>
        <w:spacing w:after="0" w:line="253" w:lineRule="auto"/>
        <w:tabs>
          <w:tab w:leader="none" w:pos="10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66" w:lineRule="exact"/>
        <w:rPr>
          <w:rFonts w:ascii="Arial" w:cs="Arial" w:eastAsia="Arial" w:hAnsi="Arial"/>
          <w:sz w:val="18"/>
          <w:szCs w:val="18"/>
          <w:color w:val="auto"/>
        </w:rPr>
      </w:pPr>
    </w:p>
    <w:p>
      <w:pPr>
        <w:ind w:left="1007" w:right="380" w:hanging="440"/>
        <w:spacing w:after="0" w:line="259" w:lineRule="auto"/>
        <w:tabs>
          <w:tab w:leader="none" w:pos="10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59" w:lineRule="exact"/>
        <w:rPr>
          <w:rFonts w:ascii="Arial" w:cs="Arial" w:eastAsia="Arial" w:hAnsi="Arial"/>
          <w:sz w:val="18"/>
          <w:szCs w:val="18"/>
          <w:color w:val="auto"/>
        </w:rPr>
      </w:pPr>
    </w:p>
    <w:p>
      <w:pPr>
        <w:ind w:left="1007" w:hanging="440"/>
        <w:spacing w:after="0"/>
        <w:tabs>
          <w:tab w:leader="none" w:pos="1007" w:val="left"/>
        </w:tabs>
        <w:numPr>
          <w:ilvl w:val="1"/>
          <w:numId w:val="69"/>
        </w:numPr>
        <w:rPr>
          <w:rFonts w:ascii="Arial" w:cs="Arial" w:eastAsia="Arial" w:hAnsi="Arial"/>
          <w:sz w:val="16"/>
          <w:szCs w:val="16"/>
          <w:color w:val="auto"/>
        </w:rPr>
      </w:pPr>
      <w:r>
        <w:rPr>
          <w:rFonts w:ascii="Arial" w:cs="Arial" w:eastAsia="Arial" w:hAnsi="Arial"/>
          <w:sz w:val="16"/>
          <w:szCs w:val="16"/>
          <w:color w:val="auto"/>
        </w:rPr>
        <w:t>NN sells fifty percent (50%) or more of its assets to any other person or persons (other than an affiliate or affiliates of the NN); or</w:t>
      </w:r>
    </w:p>
    <w:p>
      <w:pPr>
        <w:spacing w:after="0" w:line="113" w:lineRule="exact"/>
        <w:rPr>
          <w:rFonts w:ascii="Arial" w:cs="Arial" w:eastAsia="Arial" w:hAnsi="Arial"/>
          <w:sz w:val="16"/>
          <w:szCs w:val="16"/>
          <w:color w:val="auto"/>
        </w:rPr>
      </w:pPr>
    </w:p>
    <w:p>
      <w:pPr>
        <w:ind w:left="1007" w:hanging="440"/>
        <w:spacing w:after="0" w:line="291" w:lineRule="auto"/>
        <w:tabs>
          <w:tab w:leader="none" w:pos="100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9" w:lineRule="exact"/>
        <w:rPr>
          <w:sz w:val="20"/>
          <w:szCs w:val="20"/>
          <w:color w:val="auto"/>
        </w:rPr>
      </w:pPr>
    </w:p>
    <w:p>
      <w:pPr>
        <w:jc w:val="center"/>
        <w:ind w:right="1133"/>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158" w:lineRule="exact"/>
        <w:rPr>
          <w:sz w:val="20"/>
          <w:szCs w:val="20"/>
          <w:color w:val="auto"/>
        </w:rPr>
      </w:pPr>
    </w:p>
    <w:p>
      <w:pPr>
        <w:jc w:val="center"/>
        <w:ind w:right="87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80" w:right="259" w:bottom="1440" w:gutter="0" w:footer="0" w:header="0"/>
        </w:sectPr>
      </w:pPr>
    </w:p>
    <w:bookmarkStart w:id="83" w:name="page84"/>
    <w:bookmarkEnd w:id="83"/>
    <w:p>
      <w:pPr>
        <w:ind w:left="567" w:hanging="567"/>
        <w:spacing w:after="0" w:line="288" w:lineRule="auto"/>
        <w:tabs>
          <w:tab w:leader="none" w:pos="56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38" w:lineRule="exact"/>
        <w:rPr>
          <w:rFonts w:ascii="Arial" w:cs="Arial" w:eastAsia="Arial" w:hAnsi="Arial"/>
          <w:sz w:val="16"/>
          <w:szCs w:val="16"/>
          <w:color w:val="auto"/>
        </w:rPr>
      </w:pPr>
    </w:p>
    <w:p>
      <w:pPr>
        <w:ind w:left="567" w:right="40" w:hanging="567"/>
        <w:spacing w:after="0" w:line="255" w:lineRule="auto"/>
        <w:tabs>
          <w:tab w:leader="none" w:pos="5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61" w:lineRule="exact"/>
        <w:rPr>
          <w:rFonts w:ascii="Arial" w:cs="Arial" w:eastAsia="Arial" w:hAnsi="Arial"/>
          <w:sz w:val="18"/>
          <w:szCs w:val="18"/>
          <w:color w:val="auto"/>
        </w:rPr>
      </w:pPr>
    </w:p>
    <w:p>
      <w:pPr>
        <w:ind w:left="567" w:right="220" w:hanging="567"/>
        <w:spacing w:after="0" w:line="255" w:lineRule="auto"/>
        <w:tabs>
          <w:tab w:leader="none" w:pos="5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61" w:lineRule="exact"/>
        <w:rPr>
          <w:rFonts w:ascii="Arial" w:cs="Arial" w:eastAsia="Arial" w:hAnsi="Arial"/>
          <w:sz w:val="18"/>
          <w:szCs w:val="18"/>
          <w:color w:val="auto"/>
        </w:rPr>
      </w:pPr>
    </w:p>
    <w:p>
      <w:pPr>
        <w:ind w:left="1007" w:hanging="440"/>
        <w:spacing w:after="0" w:line="298" w:lineRule="auto"/>
        <w:tabs>
          <w:tab w:leader="none" w:pos="1007"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9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80" w:right="259" w:bottom="1440" w:gutter="0" w:footer="0" w:header="0"/>
        </w:sectPr>
      </w:pPr>
    </w:p>
    <w:bookmarkStart w:id="84" w:name="page85"/>
    <w:bookmarkEnd w:id="84"/>
    <w:p>
      <w:pPr>
        <w:ind w:left="1466" w:right="20" w:hanging="440"/>
        <w:spacing w:after="0" w:line="255" w:lineRule="auto"/>
        <w:tabs>
          <w:tab w:leader="none" w:pos="1466" w:val="left"/>
        </w:tabs>
        <w:numPr>
          <w:ilvl w:val="2"/>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61" w:lineRule="exact"/>
        <w:rPr>
          <w:rFonts w:ascii="Arial" w:cs="Arial" w:eastAsia="Arial" w:hAnsi="Arial"/>
          <w:sz w:val="18"/>
          <w:szCs w:val="18"/>
          <w:color w:val="auto"/>
        </w:rPr>
      </w:pPr>
    </w:p>
    <w:p>
      <w:pPr>
        <w:ind w:left="1026" w:right="20" w:hanging="567"/>
        <w:spacing w:after="0" w:line="332" w:lineRule="auto"/>
        <w:tabs>
          <w:tab w:leader="none" w:pos="1026"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4" w:lineRule="exact"/>
        <w:rPr>
          <w:rFonts w:ascii="Arial" w:cs="Arial" w:eastAsia="Arial" w:hAnsi="Arial"/>
          <w:sz w:val="16"/>
          <w:szCs w:val="16"/>
          <w:color w:val="auto"/>
        </w:rPr>
      </w:pPr>
    </w:p>
    <w:p>
      <w:pPr>
        <w:ind w:left="446" w:right="80" w:hanging="446"/>
        <w:spacing w:after="0" w:line="286" w:lineRule="auto"/>
        <w:tabs>
          <w:tab w:leader="none" w:pos="44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Separation From Service By Company Not For Cause Or By Executive With Good Reason Prior To A Change In Control</w:t>
      </w:r>
      <w:r>
        <w:rPr>
          <w:rFonts w:ascii="Arial" w:cs="Arial" w:eastAsia="Arial" w:hAnsi="Arial"/>
          <w:sz w:val="16"/>
          <w:szCs w:val="16"/>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46"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 Or By The Executive Without Good Reason</w:t>
      </w:r>
      <w:r>
        <w:rPr>
          <w:rFonts w:ascii="Arial" w:cs="Arial" w:eastAsia="Arial" w:hAnsi="Arial"/>
          <w:sz w:val="16"/>
          <w:szCs w:val="16"/>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6" w:lineRule="exact"/>
        <w:rPr>
          <w:sz w:val="20"/>
          <w:szCs w:val="20"/>
          <w:color w:val="auto"/>
        </w:rPr>
      </w:pPr>
    </w:p>
    <w:p>
      <w:pPr>
        <w:ind w:left="1026" w:right="380" w:hanging="567"/>
        <w:spacing w:after="0" w:line="332" w:lineRule="auto"/>
        <w:tabs>
          <w:tab w:leader="none" w:pos="102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7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6"/>
          </w:cols>
          <w:pgMar w:left="694" w:top="280" w:right="319" w:bottom="1440" w:gutter="0" w:footer="0" w:header="0"/>
        </w:sectPr>
      </w:pPr>
    </w:p>
    <w:bookmarkStart w:id="85" w:name="page86"/>
    <w:bookmarkEnd w:id="85"/>
    <w:p>
      <w:pPr>
        <w:ind w:left="1026" w:hanging="567"/>
        <w:spacing w:after="0" w:line="298" w:lineRule="auto"/>
        <w:tabs>
          <w:tab w:leader="none" w:pos="1026"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31" w:lineRule="exact"/>
        <w:rPr>
          <w:rFonts w:ascii="Arial" w:cs="Arial" w:eastAsia="Arial" w:hAnsi="Arial"/>
          <w:sz w:val="16"/>
          <w:szCs w:val="16"/>
          <w:color w:val="auto"/>
        </w:rPr>
      </w:pPr>
    </w:p>
    <w:p>
      <w:pPr>
        <w:ind w:left="1026" w:right="320" w:hanging="567"/>
        <w:spacing w:after="0" w:line="268" w:lineRule="auto"/>
        <w:tabs>
          <w:tab w:leader="none" w:pos="102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90" w:lineRule="exact"/>
        <w:rPr>
          <w:sz w:val="20"/>
          <w:szCs w:val="20"/>
          <w:color w:val="auto"/>
        </w:rPr>
      </w:pPr>
    </w:p>
    <w:p>
      <w:pPr>
        <w:ind w:left="1026" w:right="160" w:hanging="567"/>
        <w:spacing w:after="0" w:line="298" w:lineRule="auto"/>
        <w:tabs>
          <w:tab w:leader="none" w:pos="102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31" w:lineRule="exact"/>
        <w:rPr>
          <w:rFonts w:ascii="Arial" w:cs="Arial" w:eastAsia="Arial" w:hAnsi="Arial"/>
          <w:sz w:val="16"/>
          <w:szCs w:val="16"/>
          <w:color w:val="auto"/>
        </w:rPr>
      </w:pPr>
    </w:p>
    <w:p>
      <w:pPr>
        <w:ind w:left="1466" w:right="120" w:hanging="440"/>
        <w:spacing w:after="0" w:line="256" w:lineRule="auto"/>
        <w:tabs>
          <w:tab w:leader="none" w:pos="14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62" w:lineRule="exact"/>
        <w:rPr>
          <w:rFonts w:ascii="Arial" w:cs="Arial" w:eastAsia="Arial" w:hAnsi="Arial"/>
          <w:sz w:val="18"/>
          <w:szCs w:val="18"/>
          <w:color w:val="auto"/>
        </w:rPr>
      </w:pPr>
    </w:p>
    <w:p>
      <w:pPr>
        <w:ind w:left="1466" w:right="40" w:hanging="440"/>
        <w:spacing w:after="0" w:line="298" w:lineRule="auto"/>
        <w:tabs>
          <w:tab w:leader="none" w:pos="1466"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31" w:lineRule="exact"/>
        <w:rPr>
          <w:rFonts w:ascii="Arial" w:cs="Arial" w:eastAsia="Arial" w:hAnsi="Arial"/>
          <w:sz w:val="16"/>
          <w:szCs w:val="16"/>
          <w:color w:val="auto"/>
        </w:rPr>
      </w:pPr>
    </w:p>
    <w:p>
      <w:pPr>
        <w:ind w:left="1466" w:hanging="440"/>
        <w:spacing w:after="0"/>
        <w:tabs>
          <w:tab w:leader="none" w:pos="14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Severance Payment, Pro-rated Bonus and Insurance Benefits are collectively referred to in this Agreement as the “Severance Benefit.”</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6"/>
          </w:cols>
          <w:pgMar w:left="694" w:top="280" w:right="279" w:bottom="1440" w:gutter="0" w:footer="0" w:header="0"/>
        </w:sectPr>
      </w:pPr>
    </w:p>
    <w:bookmarkStart w:id="86" w:name="page87"/>
    <w:bookmarkEnd w:id="86"/>
    <w:p>
      <w:pPr>
        <w:ind w:right="100" w:firstLine="443"/>
        <w:spacing w:after="0" w:line="255" w:lineRule="auto"/>
        <w:tabs>
          <w:tab w:leader="none" w:pos="69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61" w:lineRule="exact"/>
        <w:rPr>
          <w:rFonts w:ascii="Arial" w:cs="Arial" w:eastAsia="Arial" w:hAnsi="Arial"/>
          <w:sz w:val="18"/>
          <w:szCs w:val="18"/>
          <w:color w:val="auto"/>
        </w:rPr>
      </w:pPr>
    </w:p>
    <w:p>
      <w:pPr>
        <w:ind w:right="180" w:firstLine="443"/>
        <w:spacing w:after="0" w:line="283" w:lineRule="auto"/>
        <w:tabs>
          <w:tab w:leader="none" w:pos="74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w:t>
      </w:r>
    </w:p>
    <w:p>
      <w:pPr>
        <w:spacing w:after="0" w:line="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56" w:lineRule="exact"/>
        <w:rPr>
          <w:rFonts w:ascii="Arial" w:cs="Arial" w:eastAsia="Arial" w:hAnsi="Arial"/>
          <w:sz w:val="16"/>
          <w:szCs w:val="16"/>
          <w:color w:val="auto"/>
        </w:rPr>
      </w:pPr>
    </w:p>
    <w:p>
      <w:pPr>
        <w:ind w:right="60" w:firstLine="443"/>
        <w:spacing w:after="0" w:line="259" w:lineRule="auto"/>
        <w:tabs>
          <w:tab w:leader="none" w:pos="73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hanging="440"/>
        <w:spacing w:after="0" w:line="287" w:lineRule="auto"/>
        <w:tabs>
          <w:tab w:leader="none" w:pos="14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87" w:name="page88"/>
    <w:bookmarkEnd w:id="87"/>
    <w:p>
      <w:pPr>
        <w:ind w:left="720" w:hanging="440"/>
        <w:spacing w:after="0" w:line="253"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66" w:lineRule="exact"/>
        <w:rPr>
          <w:rFonts w:ascii="Arial" w:cs="Arial" w:eastAsia="Arial" w:hAnsi="Arial"/>
          <w:sz w:val="18"/>
          <w:szCs w:val="18"/>
          <w:color w:val="auto"/>
        </w:rPr>
      </w:pPr>
    </w:p>
    <w:p>
      <w:pPr>
        <w:ind w:left="1180" w:hanging="441"/>
        <w:spacing w:after="0"/>
        <w:tabs>
          <w:tab w:leader="none" w:pos="11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90" w:lineRule="exact"/>
        <w:rPr>
          <w:rFonts w:ascii="Arial" w:cs="Arial" w:eastAsia="Arial" w:hAnsi="Arial"/>
          <w:sz w:val="18"/>
          <w:szCs w:val="18"/>
          <w:color w:val="auto"/>
        </w:rPr>
      </w:pPr>
    </w:p>
    <w:p>
      <w:pPr>
        <w:jc w:val="both"/>
        <w:ind w:left="1180" w:right="20" w:hanging="441"/>
        <w:spacing w:after="0" w:line="259" w:lineRule="auto"/>
        <w:tabs>
          <w:tab w:leader="none" w:pos="11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59" w:lineRule="exact"/>
        <w:rPr>
          <w:rFonts w:ascii="Arial" w:cs="Arial" w:eastAsia="Arial" w:hAnsi="Arial"/>
          <w:sz w:val="18"/>
          <w:szCs w:val="18"/>
          <w:color w:val="auto"/>
        </w:rPr>
      </w:pPr>
    </w:p>
    <w:p>
      <w:pPr>
        <w:ind w:left="1180" w:hanging="441"/>
        <w:spacing w:after="0"/>
        <w:tabs>
          <w:tab w:leader="none" w:pos="11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90"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280" w:right="239" w:bottom="1440" w:gutter="0" w:footer="0" w:header="0"/>
        </w:sectPr>
      </w:pPr>
    </w:p>
    <w:bookmarkStart w:id="88" w:name="page89"/>
    <w:bookmarkEnd w:id="88"/>
    <w:p>
      <w:pPr>
        <w:ind w:left="104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37" w:lineRule="exact"/>
        <w:rPr>
          <w:sz w:val="20"/>
          <w:szCs w:val="20"/>
          <w:color w:val="auto"/>
        </w:rPr>
      </w:pPr>
    </w:p>
    <w:p>
      <w:pPr>
        <w:ind w:left="1026" w:right="60" w:hanging="567"/>
        <w:spacing w:after="0" w:line="291" w:lineRule="auto"/>
        <w:tabs>
          <w:tab w:leader="none" w:pos="102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39" w:lineRule="exact"/>
        <w:rPr>
          <w:rFonts w:ascii="Arial" w:cs="Arial" w:eastAsia="Arial" w:hAnsi="Arial"/>
          <w:sz w:val="16"/>
          <w:szCs w:val="16"/>
          <w:color w:val="auto"/>
        </w:rPr>
      </w:pPr>
    </w:p>
    <w:p>
      <w:pPr>
        <w:jc w:val="both"/>
        <w:ind w:left="1026" w:right="100" w:hanging="567"/>
        <w:spacing w:after="0" w:line="259" w:lineRule="auto"/>
        <w:tabs>
          <w:tab w:leader="none" w:pos="1026"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59" w:lineRule="exact"/>
        <w:rPr>
          <w:rFonts w:ascii="Arial" w:cs="Arial" w:eastAsia="Arial" w:hAnsi="Arial"/>
          <w:sz w:val="18"/>
          <w:szCs w:val="18"/>
          <w:color w:val="auto"/>
        </w:rPr>
      </w:pPr>
    </w:p>
    <w:p>
      <w:pPr>
        <w:ind w:left="1026" w:right="60" w:hanging="567"/>
        <w:spacing w:after="0" w:line="298" w:lineRule="auto"/>
        <w:tabs>
          <w:tab w:leader="none" w:pos="102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53" w:lineRule="exact"/>
        <w:rPr>
          <w:rFonts w:ascii="Arial" w:cs="Arial" w:eastAsia="Arial" w:hAnsi="Arial"/>
          <w:sz w:val="16"/>
          <w:szCs w:val="16"/>
          <w:color w:val="auto"/>
        </w:rPr>
      </w:pPr>
    </w:p>
    <w:p>
      <w:pPr>
        <w:ind w:left="446" w:right="60" w:hanging="446"/>
        <w:spacing w:after="0" w:line="254"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Disclosure of Confidential Information</w:t>
      </w:r>
      <w:r>
        <w:rPr>
          <w:rFonts w:ascii="Arial" w:cs="Arial" w:eastAsia="Arial" w:hAnsi="Arial"/>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w:t>
      </w:r>
    </w:p>
    <w:p>
      <w:pPr>
        <w:spacing w:after="0" w:line="13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89" w:name="page90"/>
    <w:bookmarkEnd w:id="89"/>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59" w:lineRule="exact"/>
        <w:rPr>
          <w:sz w:val="20"/>
          <w:szCs w:val="20"/>
          <w:color w:val="auto"/>
        </w:rPr>
      </w:pPr>
    </w:p>
    <w:p>
      <w:pPr>
        <w:ind w:left="446" w:right="100" w:hanging="446"/>
        <w:spacing w:after="0" w:line="298" w:lineRule="auto"/>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53"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167" w:lineRule="exact"/>
        <w:rPr>
          <w:rFonts w:ascii="Arial" w:cs="Arial" w:eastAsia="Arial" w:hAnsi="Arial"/>
          <w:sz w:val="16"/>
          <w:szCs w:val="16"/>
          <w:color w:val="auto"/>
        </w:rPr>
      </w:pPr>
    </w:p>
    <w:p>
      <w:pPr>
        <w:ind w:left="446" w:right="140" w:hanging="446"/>
        <w:spacing w:after="0" w:line="259"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6"/>
          </w:cols>
          <w:pgMar w:left="694" w:top="280" w:right="259" w:bottom="1440" w:gutter="0" w:footer="0" w:header="0"/>
        </w:sectPr>
      </w:pPr>
    </w:p>
    <w:bookmarkStart w:id="90" w:name="page91"/>
    <w:bookmarkEnd w:id="90"/>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Proprietary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right="140" w:hanging="567"/>
        <w:spacing w:after="0" w:line="255" w:lineRule="auto"/>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61" w:lineRule="exact"/>
        <w:rPr>
          <w:rFonts w:ascii="Arial" w:cs="Arial" w:eastAsia="Arial" w:hAnsi="Arial"/>
          <w:sz w:val="18"/>
          <w:szCs w:val="18"/>
          <w:color w:val="auto"/>
        </w:rPr>
      </w:pPr>
    </w:p>
    <w:p>
      <w:pPr>
        <w:ind w:left="1026" w:right="20" w:hanging="567"/>
        <w:spacing w:after="0" w:line="256" w:lineRule="auto"/>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62" w:lineRule="exact"/>
        <w:rPr>
          <w:rFonts w:ascii="Arial" w:cs="Arial" w:eastAsia="Arial" w:hAnsi="Arial"/>
          <w:sz w:val="18"/>
          <w:szCs w:val="18"/>
          <w:color w:val="auto"/>
        </w:rPr>
      </w:pPr>
    </w:p>
    <w:p>
      <w:pPr>
        <w:ind w:left="1026" w:right="60" w:hanging="567"/>
        <w:spacing w:after="0" w:line="259" w:lineRule="auto"/>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180" w:lineRule="exact"/>
        <w:rPr>
          <w:rFonts w:ascii="Arial" w:cs="Arial" w:eastAsia="Arial" w:hAnsi="Arial"/>
          <w:sz w:val="18"/>
          <w:szCs w:val="18"/>
          <w:color w:val="auto"/>
        </w:rPr>
      </w:pPr>
    </w:p>
    <w:p>
      <w:pPr>
        <w:ind w:left="446" w:right="220" w:hanging="446"/>
        <w:spacing w:after="0" w:line="306"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Representation and Warranty of Executive</w:t>
      </w:r>
      <w:r>
        <w:rPr>
          <w:rFonts w:ascii="Arial" w:cs="Arial" w:eastAsia="Arial" w:hAnsi="Arial"/>
          <w:sz w:val="16"/>
          <w:szCs w:val="16"/>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47"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53" w:lineRule="exact"/>
        <w:rPr>
          <w:rFonts w:ascii="Arial" w:cs="Arial" w:eastAsia="Arial" w:hAnsi="Arial"/>
          <w:sz w:val="16"/>
          <w:szCs w:val="16"/>
          <w:color w:val="auto"/>
        </w:rPr>
      </w:pPr>
    </w:p>
    <w:p>
      <w:pPr>
        <w:ind w:left="446" w:right="60" w:hanging="446"/>
        <w:spacing w:after="0" w:line="323" w:lineRule="auto"/>
        <w:tabs>
          <w:tab w:leader="none" w:pos="446"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Mitigation</w:t>
      </w:r>
      <w:r>
        <w:rPr>
          <w:rFonts w:ascii="Arial" w:cs="Arial" w:eastAsia="Arial" w:hAnsi="Arial"/>
          <w:sz w:val="15"/>
          <w:szCs w:val="15"/>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38" w:lineRule="exact"/>
        <w:rPr>
          <w:rFonts w:ascii="Arial" w:cs="Arial" w:eastAsia="Arial" w:hAnsi="Arial"/>
          <w:sz w:val="15"/>
          <w:szCs w:val="15"/>
          <w:color w:val="auto"/>
        </w:rPr>
      </w:pPr>
    </w:p>
    <w:p>
      <w:pPr>
        <w:jc w:val="both"/>
        <w:ind w:left="446" w:right="100" w:hanging="446"/>
        <w:spacing w:after="0" w:line="306"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9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80" w:right="239" w:bottom="1440" w:gutter="0" w:footer="0" w:header="0"/>
        </w:sectPr>
      </w:pPr>
    </w:p>
    <w:bookmarkStart w:id="91" w:name="page92"/>
    <w:bookmarkEnd w:id="91"/>
    <w:p>
      <w:pPr>
        <w:ind w:left="1066"/>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-288290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2000 Waters Edge Drive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Johnson City, TN 37604</w:t>
      </w:r>
    </w:p>
    <w:p>
      <w:pPr>
        <w:spacing w:after="0" w:line="147" w:lineRule="exact"/>
        <w:rPr>
          <w:sz w:val="20"/>
          <w:szCs w:val="20"/>
          <w:color w:val="auto"/>
        </w:rPr>
      </w:pPr>
    </w:p>
    <w:p>
      <w:pPr>
        <w:sectPr>
          <w:pgSz w:w="11900" w:h="16838" w:orient="portrait"/>
          <w:cols w:equalWidth="0" w:num="2">
            <w:col w:w="2286" w:space="600"/>
            <w:col w:w="8020"/>
          </w:cols>
          <w:pgMar w:left="694" w:top="388" w:right="299" w:bottom="1440" w:gutter="0" w:footer="0" w:header="0"/>
        </w:sectPr>
      </w:pPr>
    </w:p>
    <w:p>
      <w:pPr>
        <w:ind w:left="1066"/>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Thomas C. Burwell, Jr.</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2000 Waters Edge Drive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2306" w:space="580"/>
            <w:col w:w="8020"/>
          </w:cols>
          <w:pgMar w:left="694" w:top="388" w:right="299" w:bottom="1440" w:gutter="0" w:footer="0" w:header="0"/>
          <w:type w:val="continuous"/>
        </w:sectPr>
      </w:pPr>
    </w:p>
    <w:p>
      <w:pPr>
        <w:spacing w:after="0" w:line="42" w:lineRule="exact"/>
        <w:rPr>
          <w:sz w:val="20"/>
          <w:szCs w:val="20"/>
          <w:color w:val="auto"/>
        </w:rPr>
      </w:pPr>
    </w:p>
    <w:p>
      <w:pPr>
        <w:ind w:left="446" w:hanging="446"/>
        <w:spacing w:after="0" w:line="290" w:lineRule="auto"/>
        <w:tabs>
          <w:tab w:leader="none" w:pos="44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118"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53" w:lineRule="exact"/>
        <w:rPr>
          <w:sz w:val="20"/>
          <w:szCs w:val="20"/>
          <w:color w:val="auto"/>
        </w:rPr>
      </w:pPr>
    </w:p>
    <w:p>
      <w:pPr>
        <w:ind w:left="446" w:right="120" w:hanging="446"/>
        <w:spacing w:after="0" w:line="289" w:lineRule="auto"/>
        <w:tabs>
          <w:tab w:leader="none" w:pos="44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Modification, Waiver or Discharge</w:t>
      </w:r>
      <w:r>
        <w:rPr>
          <w:rFonts w:ascii="Arial" w:cs="Arial" w:eastAsia="Arial" w:hAnsi="Arial"/>
          <w:sz w:val="16"/>
          <w:szCs w:val="16"/>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0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6"/>
          </w:cols>
          <w:pgMar w:left="694" w:top="388" w:right="299" w:bottom="1440" w:gutter="0" w:footer="0" w:header="0"/>
          <w:type w:val="continuous"/>
        </w:sectPr>
      </w:pPr>
    </w:p>
    <w:bookmarkStart w:id="92" w:name="page93"/>
    <w:bookmarkEnd w:id="92"/>
    <w:p>
      <w:pPr>
        <w:ind w:left="446" w:right="40" w:hanging="446"/>
        <w:spacing w:after="0" w:line="294"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6"/>
          <w:szCs w:val="16"/>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July 21, 2011, which shall continue and remain in full force and effect.</w:t>
      </w:r>
    </w:p>
    <w:p>
      <w:pPr>
        <w:spacing w:after="0" w:line="156" w:lineRule="exact"/>
        <w:rPr>
          <w:rFonts w:ascii="Arial" w:cs="Arial" w:eastAsia="Arial" w:hAnsi="Arial"/>
          <w:sz w:val="16"/>
          <w:szCs w:val="16"/>
          <w:color w:val="auto"/>
        </w:rPr>
      </w:pPr>
    </w:p>
    <w:p>
      <w:pPr>
        <w:ind w:left="446" w:right="40" w:hanging="446"/>
        <w:spacing w:after="0" w:line="268"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72" w:lineRule="exact"/>
        <w:rPr>
          <w:rFonts w:ascii="Arial" w:cs="Arial" w:eastAsia="Arial" w:hAnsi="Arial"/>
          <w:sz w:val="18"/>
          <w:szCs w:val="18"/>
          <w:color w:val="auto"/>
        </w:rPr>
      </w:pPr>
    </w:p>
    <w:p>
      <w:pPr>
        <w:ind w:left="446" w:right="160" w:hanging="446"/>
        <w:spacing w:after="0" w:line="323" w:lineRule="auto"/>
        <w:tabs>
          <w:tab w:leader="none" w:pos="446"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Resolution of Disputes</w:t>
      </w:r>
      <w:r>
        <w:rPr>
          <w:rFonts w:ascii="Arial" w:cs="Arial" w:eastAsia="Arial" w:hAnsi="Arial"/>
          <w:sz w:val="15"/>
          <w:szCs w:val="15"/>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38" w:lineRule="exact"/>
        <w:rPr>
          <w:rFonts w:ascii="Arial" w:cs="Arial" w:eastAsia="Arial" w:hAnsi="Arial"/>
          <w:sz w:val="15"/>
          <w:szCs w:val="15"/>
          <w:color w:val="auto"/>
        </w:rPr>
      </w:pPr>
    </w:p>
    <w:p>
      <w:pPr>
        <w:ind w:left="446" w:right="40" w:hanging="446"/>
        <w:spacing w:after="0" w:line="268"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72" w:lineRule="exact"/>
        <w:rPr>
          <w:rFonts w:ascii="Arial" w:cs="Arial" w:eastAsia="Arial" w:hAnsi="Arial"/>
          <w:sz w:val="18"/>
          <w:szCs w:val="18"/>
          <w:color w:val="auto"/>
        </w:rPr>
      </w:pPr>
    </w:p>
    <w:p>
      <w:pPr>
        <w:ind w:left="446" w:right="140" w:hanging="446"/>
        <w:spacing w:after="0" w:line="306"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Compliance with Internal Revenue Code and Section 409A</w:t>
      </w:r>
      <w:r>
        <w:rPr>
          <w:rFonts w:ascii="Arial" w:cs="Arial" w:eastAsia="Arial" w:hAnsi="Arial"/>
          <w:sz w:val="16"/>
          <w:szCs w:val="16"/>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47"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183" w:lineRule="exact"/>
        <w:rPr>
          <w:rFonts w:ascii="Arial" w:cs="Arial" w:eastAsia="Arial" w:hAnsi="Arial"/>
          <w:sz w:val="18"/>
          <w:szCs w:val="18"/>
          <w:color w:val="auto"/>
        </w:rPr>
      </w:pPr>
    </w:p>
    <w:p>
      <w:pPr>
        <w:ind w:left="446" w:right="20" w:hanging="446"/>
        <w:spacing w:after="0" w:line="294"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Non-Assignability</w:t>
      </w:r>
      <w:r>
        <w:rPr>
          <w:rFonts w:ascii="Arial" w:cs="Arial" w:eastAsia="Arial" w:hAnsi="Arial"/>
          <w:sz w:val="16"/>
          <w:szCs w:val="16"/>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0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80" w:right="239" w:bottom="1440" w:gutter="0" w:footer="0" w:header="0"/>
        </w:sectPr>
      </w:pPr>
    </w:p>
    <w:bookmarkStart w:id="93" w:name="page94"/>
    <w:bookmarkEnd w:id="93"/>
    <w:p>
      <w:pPr>
        <w:ind w:left="446" w:right="160" w:hanging="446"/>
        <w:spacing w:after="0" w:line="332" w:lineRule="auto"/>
        <w:tabs>
          <w:tab w:leader="none" w:pos="44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r>
        <w:rPr>
          <w:rFonts w:ascii="Arial" w:cs="Arial" w:eastAsia="Arial" w:hAnsi="Arial"/>
          <w:sz w:val="16"/>
          <w:szCs w:val="16"/>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25"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94"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6"/>
          </w:cols>
          <w:pgMar w:left="694" w:top="280" w:right="379" w:bottom="1440" w:gutter="0" w:footer="0" w:header="0"/>
        </w:sectPr>
      </w:pPr>
    </w:p>
    <w:bookmarkStart w:id="94" w:name="page95"/>
    <w:bookmarkEnd w:id="94"/>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Roderick R. Baty, Chairman, Chief</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Officer, and President</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246380</wp:posOffset>
            </wp:positionV>
            <wp:extent cx="28898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7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Thomas C. Burwell, Jr.</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274" w:right="479" w:bottom="1440" w:gutter="0" w:footer="0" w:header="0"/>
        </w:sectPr>
      </w:pPr>
    </w:p>
    <w:bookmarkStart w:id="95" w:name="page96"/>
    <w:bookmarkEnd w:id="95"/>
    <w:p>
      <w:pPr>
        <w:ind w:left="4846"/>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5"/>
          <w:szCs w:val="15"/>
          <w:color w:val="auto"/>
        </w:rPr>
        <w:t>Executive’s Severance Payment subsequent to a Change in Control as provided in Paragraph 6(d)(i) shall be a lump sum payment equal to:</w:t>
      </w:r>
    </w:p>
    <w:p>
      <w:pPr>
        <w:spacing w:after="0" w:line="125" w:lineRule="exact"/>
        <w:rPr>
          <w:sz w:val="20"/>
          <w:szCs w:val="20"/>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766"/>
          </w:cols>
          <w:pgMar w:left="694" w:top="274" w:right="1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10.18</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21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2011 by and between</w:t>
      </w:r>
      <w:r>
        <w:rPr>
          <w:rFonts w:ascii="Arial" w:cs="Arial" w:eastAsia="Arial" w:hAnsi="Arial"/>
          <w:sz w:val="18"/>
          <w:szCs w:val="18"/>
          <w:b w:val="1"/>
          <w:bCs w:val="1"/>
          <w:color w:val="auto"/>
        </w:rPr>
        <w:t xml:space="preserve"> Whirlaway Corporation</w:t>
      </w:r>
      <w:r>
        <w:rPr>
          <w:rFonts w:ascii="Arial" w:cs="Arial" w:eastAsia="Arial" w:hAnsi="Arial"/>
          <w:sz w:val="18"/>
          <w:szCs w:val="18"/>
          <w:color w:val="auto"/>
        </w:rPr>
        <w:t>, an Ohio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in Ohio (the “Company”), and </w:t>
      </w:r>
      <w:r>
        <w:rPr>
          <w:rFonts w:ascii="Arial" w:cs="Arial" w:eastAsia="Arial" w:hAnsi="Arial"/>
          <w:sz w:val="18"/>
          <w:szCs w:val="18"/>
          <w:b w:val="1"/>
          <w:bCs w:val="1"/>
          <w:color w:val="auto"/>
        </w:rPr>
        <w:t>James R. Widders</w:t>
      </w:r>
      <w:r>
        <w:rPr>
          <w:rFonts w:ascii="Arial" w:cs="Arial" w:eastAsia="Arial" w:hAnsi="Arial"/>
          <w:sz w:val="18"/>
          <w:szCs w:val="18"/>
          <w:color w:val="auto"/>
        </w:rPr>
        <w:t xml:space="preserve"> (the “Executive”).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agreed to serve and the Company has agreed to employ Executive as Vice President/General Manager Precision Metal</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of the Company; and</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do hereby agree that the terms of their employment relationship are as follows:</w:t>
      </w:r>
    </w:p>
    <w:p>
      <w:pPr>
        <w:spacing w:after="0" w:line="57" w:lineRule="exact"/>
        <w:rPr>
          <w:sz w:val="20"/>
          <w:szCs w:val="20"/>
          <w:color w:val="auto"/>
        </w:rPr>
      </w:pPr>
    </w:p>
    <w:p>
      <w:pPr>
        <w:ind w:left="460" w:right="30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 forth herein.</w:t>
      </w:r>
    </w:p>
    <w:p>
      <w:pPr>
        <w:spacing w:after="0" w:line="5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employment of the Executive by the Company as provided herein shall commence on July 21, 2011, and end on July 21, 2012 unless further extended or sooner terminated as hereinafter provided. On July 21, 2012 and on July 21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61"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shall serve as the Vice President/General Manager, Precision Metal Components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39"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ectPr>
          <w:pgSz w:w="11900" w:h="16838" w:orient="portrait"/>
          <w:cols w:equalWidth="0" w:num="1">
            <w:col w:w="11420"/>
          </w:cols>
          <w:pgMar w:left="240" w:top="131" w:right="239" w:bottom="1440" w:gutter="0" w:footer="0" w:header="0"/>
        </w:sectPr>
      </w:pPr>
    </w:p>
    <w:bookmarkStart w:id="97" w:name="page98"/>
    <w:bookmarkEnd w:id="97"/>
    <w:p>
      <w:pPr>
        <w:ind w:left="892" w:right="520" w:hanging="446"/>
        <w:spacing w:after="0" w:line="259"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Salary</w:t>
      </w:r>
      <w:r>
        <w:rPr>
          <w:rFonts w:ascii="Arial" w:cs="Arial" w:eastAsia="Arial" w:hAnsi="Arial"/>
          <w:sz w:val="18"/>
          <w:szCs w:val="18"/>
          <w:color w:val="auto"/>
        </w:rPr>
        <w:t>. The Company shall pay to the Executive an aggregate base salary at a rate of 210,000 Dollars ($210,000) per annum, payable in accordance with the Company’s normal payroll practices. Such base salary may be increased from time to time by the Board of Directors in accordance with the normal business practices of the Company.</w:t>
      </w:r>
    </w:p>
    <w:p>
      <w:pPr>
        <w:spacing w:after="0" w:line="59" w:lineRule="exact"/>
        <w:rPr>
          <w:rFonts w:ascii="Arial" w:cs="Arial" w:eastAsia="Arial" w:hAnsi="Arial"/>
          <w:sz w:val="18"/>
          <w:szCs w:val="18"/>
          <w:color w:val="auto"/>
        </w:rPr>
      </w:pPr>
    </w:p>
    <w:p>
      <w:pPr>
        <w:ind w:left="892" w:right="60" w:hanging="446"/>
        <w:spacing w:after="0" w:line="298" w:lineRule="auto"/>
        <w:tabs>
          <w:tab w:leader="none" w:pos="89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31" w:lineRule="exact"/>
        <w:rPr>
          <w:rFonts w:ascii="Arial" w:cs="Arial" w:eastAsia="Arial" w:hAnsi="Arial"/>
          <w:sz w:val="16"/>
          <w:szCs w:val="16"/>
          <w:color w:val="auto"/>
        </w:rPr>
      </w:pPr>
    </w:p>
    <w:p>
      <w:pPr>
        <w:ind w:left="892" w:hanging="446"/>
        <w:spacing w:after="0" w:line="256"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62" w:lineRule="exact"/>
        <w:rPr>
          <w:rFonts w:ascii="Arial" w:cs="Arial" w:eastAsia="Arial" w:hAnsi="Arial"/>
          <w:sz w:val="18"/>
          <w:szCs w:val="18"/>
          <w:color w:val="auto"/>
        </w:rPr>
      </w:pPr>
    </w:p>
    <w:p>
      <w:pPr>
        <w:ind w:left="892" w:right="520" w:hanging="446"/>
        <w:spacing w:after="0" w:line="259"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59"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90" w:lineRule="exact"/>
        <w:rPr>
          <w:rFonts w:ascii="Arial" w:cs="Arial" w:eastAsia="Arial" w:hAnsi="Arial"/>
          <w:sz w:val="18"/>
          <w:szCs w:val="18"/>
          <w:color w:val="auto"/>
        </w:rPr>
      </w:pPr>
    </w:p>
    <w:p>
      <w:pPr>
        <w:jc w:val="both"/>
        <w:ind w:left="892" w:right="40" w:hanging="446"/>
        <w:spacing w:after="0" w:line="259"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59"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80" w:right="319" w:bottom="1440" w:gutter="0" w:footer="0" w:header="0"/>
        </w:sectPr>
      </w:pPr>
    </w:p>
    <w:bookmarkStart w:id="98" w:name="page99"/>
    <w:bookmarkEnd w:id="98"/>
    <w:p>
      <w:pPr>
        <w:jc w:val="both"/>
        <w:ind w:left="892" w:hanging="446"/>
        <w:spacing w:after="0" w:line="259"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59" w:lineRule="exact"/>
        <w:rPr>
          <w:rFonts w:ascii="Arial" w:cs="Arial" w:eastAsia="Arial" w:hAnsi="Arial"/>
          <w:sz w:val="18"/>
          <w:szCs w:val="18"/>
          <w:color w:val="auto"/>
        </w:rPr>
      </w:pPr>
    </w:p>
    <w:p>
      <w:pPr>
        <w:ind w:left="452" w:right="280" w:hanging="452"/>
        <w:spacing w:after="0" w:line="259" w:lineRule="auto"/>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90" w:lineRule="exact"/>
        <w:rPr>
          <w:rFonts w:ascii="Arial" w:cs="Arial" w:eastAsia="Arial" w:hAnsi="Arial"/>
          <w:sz w:val="18"/>
          <w:szCs w:val="18"/>
          <w:color w:val="auto"/>
        </w:rPr>
      </w:pPr>
    </w:p>
    <w:p>
      <w:pPr>
        <w:ind w:left="1472" w:right="40" w:hanging="567"/>
        <w:spacing w:after="0" w:line="289" w:lineRule="auto"/>
        <w:tabs>
          <w:tab w:leader="none" w:pos="1472"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37" w:lineRule="exact"/>
        <w:rPr>
          <w:rFonts w:ascii="Arial" w:cs="Arial" w:eastAsia="Arial" w:hAnsi="Arial"/>
          <w:sz w:val="16"/>
          <w:szCs w:val="16"/>
          <w:color w:val="auto"/>
        </w:rPr>
      </w:pPr>
    </w:p>
    <w:p>
      <w:pPr>
        <w:ind w:left="1472" w:hanging="567"/>
        <w:spacing w:after="0"/>
        <w:tabs>
          <w:tab w:leader="none" w:pos="1472"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90" w:lineRule="exact"/>
        <w:rPr>
          <w:rFonts w:ascii="Arial" w:cs="Arial" w:eastAsia="Arial" w:hAnsi="Arial"/>
          <w:sz w:val="18"/>
          <w:szCs w:val="18"/>
          <w:color w:val="auto"/>
        </w:rPr>
      </w:pPr>
    </w:p>
    <w:p>
      <w:pPr>
        <w:ind w:left="1912" w:right="80" w:hanging="440"/>
        <w:spacing w:after="0" w:line="256" w:lineRule="auto"/>
        <w:tabs>
          <w:tab w:leader="none" w:pos="1912" w:val="left"/>
        </w:tabs>
        <w:numPr>
          <w:ilvl w:val="3"/>
          <w:numId w:val="93"/>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62" w:lineRule="exact"/>
        <w:rPr>
          <w:rFonts w:ascii="Arial" w:cs="Arial" w:eastAsia="Arial" w:hAnsi="Arial"/>
          <w:sz w:val="18"/>
          <w:szCs w:val="18"/>
          <w:color w:val="auto"/>
        </w:rPr>
      </w:pPr>
    </w:p>
    <w:p>
      <w:pPr>
        <w:ind w:left="1912" w:right="160" w:hanging="440"/>
        <w:spacing w:after="0" w:line="268" w:lineRule="auto"/>
        <w:tabs>
          <w:tab w:leader="none" w:pos="1912" w:val="left"/>
        </w:tabs>
        <w:numPr>
          <w:ilvl w:val="3"/>
          <w:numId w:val="93"/>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99" w:name="page100"/>
    <w:bookmarkEnd w:id="99"/>
    <w:p>
      <w:pPr>
        <w:ind w:left="567" w:hanging="567"/>
        <w:spacing w:after="0"/>
        <w:tabs>
          <w:tab w:leader="none" w:pos="567"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“Change in Control” shall mean either:</w:t>
      </w:r>
    </w:p>
    <w:p>
      <w:pPr>
        <w:spacing w:after="0" w:line="90" w:lineRule="exact"/>
        <w:rPr>
          <w:rFonts w:ascii="Arial" w:cs="Arial" w:eastAsia="Arial" w:hAnsi="Arial"/>
          <w:sz w:val="18"/>
          <w:szCs w:val="18"/>
          <w:color w:val="auto"/>
        </w:rPr>
      </w:pPr>
    </w:p>
    <w:p>
      <w:pPr>
        <w:ind w:left="1007" w:right="60" w:hanging="440"/>
        <w:spacing w:after="0" w:line="253" w:lineRule="auto"/>
        <w:tabs>
          <w:tab w:leader="none" w:pos="10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66" w:lineRule="exact"/>
        <w:rPr>
          <w:rFonts w:ascii="Arial" w:cs="Arial" w:eastAsia="Arial" w:hAnsi="Arial"/>
          <w:sz w:val="18"/>
          <w:szCs w:val="18"/>
          <w:color w:val="auto"/>
        </w:rPr>
      </w:pPr>
    </w:p>
    <w:p>
      <w:pPr>
        <w:ind w:left="1007" w:right="380" w:hanging="440"/>
        <w:spacing w:after="0" w:line="259" w:lineRule="auto"/>
        <w:tabs>
          <w:tab w:leader="none" w:pos="10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59" w:lineRule="exact"/>
        <w:rPr>
          <w:rFonts w:ascii="Arial" w:cs="Arial" w:eastAsia="Arial" w:hAnsi="Arial"/>
          <w:sz w:val="18"/>
          <w:szCs w:val="18"/>
          <w:color w:val="auto"/>
        </w:rPr>
      </w:pPr>
    </w:p>
    <w:p>
      <w:pPr>
        <w:ind w:left="1007" w:hanging="440"/>
        <w:spacing w:after="0"/>
        <w:tabs>
          <w:tab w:leader="none" w:pos="1007" w:val="left"/>
        </w:tabs>
        <w:numPr>
          <w:ilvl w:val="1"/>
          <w:numId w:val="94"/>
        </w:numPr>
        <w:rPr>
          <w:rFonts w:ascii="Arial" w:cs="Arial" w:eastAsia="Arial" w:hAnsi="Arial"/>
          <w:sz w:val="16"/>
          <w:szCs w:val="16"/>
          <w:color w:val="auto"/>
        </w:rPr>
      </w:pPr>
      <w:r>
        <w:rPr>
          <w:rFonts w:ascii="Arial" w:cs="Arial" w:eastAsia="Arial" w:hAnsi="Arial"/>
          <w:sz w:val="16"/>
          <w:szCs w:val="16"/>
          <w:color w:val="auto"/>
        </w:rPr>
        <w:t>NN sells fifty percent (50%) or more of its assets to any other person or persons (other than an affiliate or affiliates of the NN); or</w:t>
      </w:r>
    </w:p>
    <w:p>
      <w:pPr>
        <w:spacing w:after="0" w:line="113" w:lineRule="exact"/>
        <w:rPr>
          <w:rFonts w:ascii="Arial" w:cs="Arial" w:eastAsia="Arial" w:hAnsi="Arial"/>
          <w:sz w:val="16"/>
          <w:szCs w:val="16"/>
          <w:color w:val="auto"/>
        </w:rPr>
      </w:pPr>
    </w:p>
    <w:p>
      <w:pPr>
        <w:ind w:left="1007" w:hanging="440"/>
        <w:spacing w:after="0" w:line="291" w:lineRule="auto"/>
        <w:tabs>
          <w:tab w:leader="none" w:pos="1007"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90" w:lineRule="exact"/>
        <w:rPr>
          <w:sz w:val="20"/>
          <w:szCs w:val="20"/>
          <w:color w:val="auto"/>
        </w:rPr>
      </w:pPr>
    </w:p>
    <w:p>
      <w:pPr>
        <w:ind w:left="567" w:hanging="567"/>
        <w:spacing w:after="0" w:line="255" w:lineRule="auto"/>
        <w:tabs>
          <w:tab w:leader="none" w:pos="5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w:t>
      </w:r>
    </w:p>
    <w:p>
      <w:pPr>
        <w:spacing w:after="0" w:line="12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80" w:right="259" w:bottom="1440" w:gutter="0" w:footer="0" w:header="0"/>
        </w:sectPr>
      </w:pPr>
    </w:p>
    <w:bookmarkStart w:id="100" w:name="page101"/>
    <w:bookmarkEnd w:id="100"/>
    <w:p>
      <w:pPr>
        <w:ind w:left="567"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35" w:lineRule="exact"/>
        <w:rPr>
          <w:sz w:val="20"/>
          <w:szCs w:val="20"/>
          <w:color w:val="auto"/>
        </w:rPr>
      </w:pPr>
    </w:p>
    <w:p>
      <w:pPr>
        <w:ind w:left="567" w:right="40" w:hanging="567"/>
        <w:spacing w:after="0" w:line="255"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61" w:lineRule="exact"/>
        <w:rPr>
          <w:rFonts w:ascii="Arial" w:cs="Arial" w:eastAsia="Arial" w:hAnsi="Arial"/>
          <w:sz w:val="18"/>
          <w:szCs w:val="18"/>
          <w:color w:val="auto"/>
        </w:rPr>
      </w:pPr>
    </w:p>
    <w:p>
      <w:pPr>
        <w:ind w:left="567" w:right="220" w:hanging="567"/>
        <w:spacing w:after="0" w:line="255"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61" w:lineRule="exact"/>
        <w:rPr>
          <w:rFonts w:ascii="Arial" w:cs="Arial" w:eastAsia="Arial" w:hAnsi="Arial"/>
          <w:sz w:val="18"/>
          <w:szCs w:val="18"/>
          <w:color w:val="auto"/>
        </w:rPr>
      </w:pPr>
    </w:p>
    <w:p>
      <w:pPr>
        <w:ind w:left="1007" w:hanging="440"/>
        <w:spacing w:after="0" w:line="298" w:lineRule="auto"/>
        <w:tabs>
          <w:tab w:leader="none" w:pos="100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31" w:lineRule="exact"/>
        <w:rPr>
          <w:rFonts w:ascii="Arial" w:cs="Arial" w:eastAsia="Arial" w:hAnsi="Arial"/>
          <w:sz w:val="16"/>
          <w:szCs w:val="16"/>
          <w:color w:val="auto"/>
        </w:rPr>
      </w:pPr>
    </w:p>
    <w:p>
      <w:pPr>
        <w:ind w:left="1007" w:right="80" w:hanging="440"/>
        <w:spacing w:after="0" w:line="255" w:lineRule="auto"/>
        <w:tabs>
          <w:tab w:leader="none" w:pos="10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2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80" w:right="259" w:bottom="1440" w:gutter="0" w:footer="0" w:header="0"/>
        </w:sectPr>
      </w:pPr>
    </w:p>
    <w:bookmarkStart w:id="101" w:name="page102"/>
    <w:bookmarkEnd w:id="101"/>
    <w:p>
      <w:pPr>
        <w:ind w:left="1026" w:right="60" w:hanging="567"/>
        <w:spacing w:after="0" w:line="332" w:lineRule="auto"/>
        <w:tabs>
          <w:tab w:leader="none" w:pos="1026" w:val="left"/>
        </w:tabs>
        <w:numPr>
          <w:ilvl w:val="1"/>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4" w:lineRule="exact"/>
        <w:rPr>
          <w:rFonts w:ascii="Arial" w:cs="Arial" w:eastAsia="Arial" w:hAnsi="Arial"/>
          <w:sz w:val="16"/>
          <w:szCs w:val="16"/>
          <w:color w:val="auto"/>
        </w:rPr>
      </w:pPr>
    </w:p>
    <w:p>
      <w:pPr>
        <w:ind w:left="446" w:right="120" w:hanging="446"/>
        <w:spacing w:after="0" w:line="286" w:lineRule="auto"/>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Separation From Service By Company Not For Cause Or By Executive With Good Reason Prior To A Change In Control</w:t>
      </w:r>
      <w:r>
        <w:rPr>
          <w:rFonts w:ascii="Arial" w:cs="Arial" w:eastAsia="Arial" w:hAnsi="Arial"/>
          <w:sz w:val="16"/>
          <w:szCs w:val="16"/>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an amount equal to one year of his Annual Salary in effect on the date of termination of his employment which occurs in connection with the Separation From Service, payable (except as provided in Paragraph 6(e)) in accordance with the Company’s regular payroll procedures over the 12-month period following the Executive’s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pay to Executive an additional amount of $12,000 payable in installments in accordance with the Company’s normal payroll practices to assist with the Executive’s transition from employment.</w:t>
      </w:r>
    </w:p>
    <w:p>
      <w:pPr>
        <w:spacing w:after="0" w:line="46" w:lineRule="exact"/>
        <w:rPr>
          <w:rFonts w:ascii="Arial" w:cs="Arial" w:eastAsia="Arial" w:hAnsi="Arial"/>
          <w:sz w:val="16"/>
          <w:szCs w:val="16"/>
          <w:color w:val="auto"/>
        </w:rPr>
      </w:pPr>
    </w:p>
    <w:p>
      <w:pPr>
        <w:ind w:left="446" w:right="40" w:hanging="446"/>
        <w:spacing w:after="0" w:line="306" w:lineRule="auto"/>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 Or By The Executive Without Good Reason</w:t>
      </w:r>
      <w:r>
        <w:rPr>
          <w:rFonts w:ascii="Arial" w:cs="Arial" w:eastAsia="Arial" w:hAnsi="Arial"/>
          <w:sz w:val="16"/>
          <w:szCs w:val="16"/>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6" w:lineRule="exact"/>
        <w:rPr>
          <w:sz w:val="20"/>
          <w:szCs w:val="20"/>
          <w:color w:val="auto"/>
        </w:rPr>
      </w:pPr>
    </w:p>
    <w:p>
      <w:pPr>
        <w:ind w:left="1026" w:right="420" w:hanging="567"/>
        <w:spacing w:after="0" w:line="332" w:lineRule="auto"/>
        <w:tabs>
          <w:tab w:leader="none" w:pos="102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4" w:lineRule="exact"/>
        <w:rPr>
          <w:rFonts w:ascii="Arial" w:cs="Arial" w:eastAsia="Arial" w:hAnsi="Arial"/>
          <w:sz w:val="16"/>
          <w:szCs w:val="16"/>
          <w:color w:val="auto"/>
        </w:rPr>
      </w:pPr>
    </w:p>
    <w:p>
      <w:pPr>
        <w:ind w:left="1026" w:hanging="567"/>
        <w:spacing w:after="0" w:line="298" w:lineRule="auto"/>
        <w:tabs>
          <w:tab w:leader="none" w:pos="1026"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80" w:right="279" w:bottom="1440" w:gutter="0" w:footer="0" w:header="0"/>
        </w:sectPr>
      </w:pPr>
    </w:p>
    <w:bookmarkStart w:id="102" w:name="page103"/>
    <w:bookmarkEnd w:id="102"/>
    <w:p>
      <w:pPr>
        <w:ind w:left="1026" w:right="280" w:hanging="567"/>
        <w:spacing w:after="0" w:line="268" w:lineRule="auto"/>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promptly reimburse Executive for any and all reimbursable business expenses (to the extent not already reimbursed) upon Executive’s properly accounting for the same.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90" w:lineRule="exact"/>
        <w:rPr>
          <w:sz w:val="20"/>
          <w:szCs w:val="20"/>
          <w:color w:val="auto"/>
        </w:rPr>
      </w:pPr>
    </w:p>
    <w:p>
      <w:pPr>
        <w:ind w:left="1026" w:right="120" w:hanging="567"/>
        <w:spacing w:after="0" w:line="298" w:lineRule="auto"/>
        <w:tabs>
          <w:tab w:leader="none" w:pos="102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31" w:lineRule="exact"/>
        <w:rPr>
          <w:rFonts w:ascii="Arial" w:cs="Arial" w:eastAsia="Arial" w:hAnsi="Arial"/>
          <w:sz w:val="16"/>
          <w:szCs w:val="16"/>
          <w:color w:val="auto"/>
        </w:rPr>
      </w:pPr>
    </w:p>
    <w:p>
      <w:pPr>
        <w:ind w:left="1466" w:right="80" w:hanging="440"/>
        <w:spacing w:after="0" w:line="256" w:lineRule="auto"/>
        <w:tabs>
          <w:tab w:leader="none" w:pos="146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62" w:lineRule="exact"/>
        <w:rPr>
          <w:rFonts w:ascii="Arial" w:cs="Arial" w:eastAsia="Arial" w:hAnsi="Arial"/>
          <w:sz w:val="18"/>
          <w:szCs w:val="18"/>
          <w:color w:val="auto"/>
        </w:rPr>
      </w:pPr>
    </w:p>
    <w:p>
      <w:pPr>
        <w:ind w:left="1466" w:hanging="440"/>
        <w:spacing w:after="0" w:line="298" w:lineRule="auto"/>
        <w:tabs>
          <w:tab w:leader="none" w:pos="146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31" w:lineRule="exact"/>
        <w:rPr>
          <w:rFonts w:ascii="Arial" w:cs="Arial" w:eastAsia="Arial" w:hAnsi="Arial"/>
          <w:sz w:val="16"/>
          <w:szCs w:val="16"/>
          <w:color w:val="auto"/>
        </w:rPr>
      </w:pPr>
    </w:p>
    <w:p>
      <w:pPr>
        <w:ind w:left="1466" w:hanging="440"/>
        <w:spacing w:after="0"/>
        <w:tabs>
          <w:tab w:leader="none" w:pos="146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Severance Payment, Pro-rated Bonus and Insurance Benefits are collectively referred to in this Agreement as the “Severance Benefit.”</w:t>
      </w:r>
    </w:p>
    <w:p>
      <w:pPr>
        <w:spacing w:after="0" w:line="113" w:lineRule="exact"/>
        <w:rPr>
          <w:sz w:val="20"/>
          <w:szCs w:val="20"/>
          <w:color w:val="auto"/>
        </w:rPr>
      </w:pPr>
    </w:p>
    <w:p>
      <w:pPr>
        <w:ind w:left="6" w:right="40" w:firstLine="443"/>
        <w:spacing w:after="0" w:line="255" w:lineRule="auto"/>
        <w:tabs>
          <w:tab w:leader="none" w:pos="70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ten (10)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129"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6"/>
          </w:cols>
          <w:pgMar w:left="694" w:top="280" w:right="319" w:bottom="1440" w:gutter="0" w:footer="0" w:header="0"/>
        </w:sectPr>
      </w:pPr>
    </w:p>
    <w:bookmarkStart w:id="103" w:name="page104"/>
    <w:bookmarkEnd w:id="103"/>
    <w:p>
      <w:pPr>
        <w:ind w:right="200" w:firstLine="443"/>
        <w:spacing w:after="0" w:line="283" w:lineRule="auto"/>
        <w:tabs>
          <w:tab w:leader="none" w:pos="74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w:t>
      </w:r>
    </w:p>
    <w:p>
      <w:pPr>
        <w:spacing w:after="0" w:line="2"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56" w:lineRule="exact"/>
        <w:rPr>
          <w:rFonts w:ascii="Arial" w:cs="Arial" w:eastAsia="Arial" w:hAnsi="Arial"/>
          <w:sz w:val="16"/>
          <w:szCs w:val="16"/>
          <w:color w:val="auto"/>
        </w:rPr>
      </w:pPr>
    </w:p>
    <w:p>
      <w:pPr>
        <w:ind w:right="80" w:firstLine="443"/>
        <w:spacing w:after="0" w:line="259" w:lineRule="auto"/>
        <w:tabs>
          <w:tab w:leader="none" w:pos="73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20" w:hanging="440"/>
        <w:spacing w:after="0" w:line="287" w:lineRule="auto"/>
        <w:tabs>
          <w:tab w:leader="none" w:pos="14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41" w:lineRule="exact"/>
        <w:rPr>
          <w:rFonts w:ascii="Arial" w:cs="Arial" w:eastAsia="Arial" w:hAnsi="Arial"/>
          <w:sz w:val="16"/>
          <w:szCs w:val="16"/>
          <w:color w:val="auto"/>
        </w:rPr>
      </w:pPr>
    </w:p>
    <w:p>
      <w:pPr>
        <w:ind w:left="1460" w:hanging="440"/>
        <w:spacing w:after="0" w:line="298" w:lineRule="auto"/>
        <w:tabs>
          <w:tab w:leader="none" w:pos="14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04" w:name="page105"/>
    <w:bookmarkEnd w:id="104"/>
    <w:p>
      <w:pPr>
        <w:ind w:left="7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59" w:lineRule="exact"/>
        <w:rPr>
          <w:sz w:val="20"/>
          <w:szCs w:val="20"/>
          <w:color w:val="auto"/>
        </w:rPr>
      </w:pPr>
    </w:p>
    <w:p>
      <w:pPr>
        <w:ind w:left="1180" w:hanging="441"/>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90" w:lineRule="exact"/>
        <w:rPr>
          <w:rFonts w:ascii="Arial" w:cs="Arial" w:eastAsia="Arial" w:hAnsi="Arial"/>
          <w:sz w:val="18"/>
          <w:szCs w:val="18"/>
          <w:color w:val="auto"/>
        </w:rPr>
      </w:pPr>
    </w:p>
    <w:p>
      <w:pPr>
        <w:jc w:val="both"/>
        <w:ind w:left="1180" w:hanging="441"/>
        <w:spacing w:after="0" w:line="259"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59" w:lineRule="exact"/>
        <w:rPr>
          <w:rFonts w:ascii="Arial" w:cs="Arial" w:eastAsia="Arial" w:hAnsi="Arial"/>
          <w:sz w:val="18"/>
          <w:szCs w:val="18"/>
          <w:color w:val="auto"/>
        </w:rPr>
      </w:pPr>
    </w:p>
    <w:p>
      <w:pPr>
        <w:ind w:left="1180" w:hanging="441"/>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90"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w:t>
      </w:r>
    </w:p>
    <w:p>
      <w:pPr>
        <w:spacing w:after="0" w:line="1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00"/>
          </w:cols>
          <w:pgMar w:left="1440" w:top="280" w:right="259" w:bottom="1440" w:gutter="0" w:footer="0" w:header="0"/>
        </w:sectPr>
      </w:pPr>
    </w:p>
    <w:bookmarkStart w:id="105" w:name="page106"/>
    <w:bookmarkEnd w:id="105"/>
    <w:p>
      <w:pPr>
        <w:ind w:left="1492"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59" w:lineRule="exact"/>
        <w:rPr>
          <w:sz w:val="20"/>
          <w:szCs w:val="20"/>
          <w:color w:val="auto"/>
        </w:rPr>
      </w:pPr>
    </w:p>
    <w:p>
      <w:pPr>
        <w:ind w:left="892" w:right="180" w:hanging="446"/>
        <w:spacing w:after="0" w:line="291" w:lineRule="auto"/>
        <w:tabs>
          <w:tab w:leader="none" w:pos="892"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39" w:lineRule="exact"/>
        <w:rPr>
          <w:rFonts w:ascii="Arial" w:cs="Arial" w:eastAsia="Arial" w:hAnsi="Arial"/>
          <w:sz w:val="16"/>
          <w:szCs w:val="16"/>
          <w:color w:val="auto"/>
        </w:rPr>
      </w:pPr>
    </w:p>
    <w:p>
      <w:pPr>
        <w:ind w:left="892" w:right="440" w:hanging="446"/>
        <w:spacing w:after="0" w:line="259" w:lineRule="auto"/>
        <w:tabs>
          <w:tab w:leader="none" w:pos="89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59" w:lineRule="exact"/>
        <w:rPr>
          <w:rFonts w:ascii="Arial" w:cs="Arial" w:eastAsia="Arial" w:hAnsi="Arial"/>
          <w:sz w:val="18"/>
          <w:szCs w:val="18"/>
          <w:color w:val="auto"/>
        </w:rPr>
      </w:pPr>
    </w:p>
    <w:p>
      <w:pPr>
        <w:ind w:left="892" w:right="140" w:hanging="446"/>
        <w:spacing w:after="0" w:line="298" w:lineRule="auto"/>
        <w:tabs>
          <w:tab w:leader="none" w:pos="892"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31" w:lineRule="exact"/>
        <w:rPr>
          <w:rFonts w:ascii="Arial" w:cs="Arial" w:eastAsia="Arial" w:hAnsi="Arial"/>
          <w:sz w:val="16"/>
          <w:szCs w:val="16"/>
          <w:color w:val="auto"/>
        </w:rPr>
      </w:pPr>
    </w:p>
    <w:p>
      <w:pPr>
        <w:ind w:left="452" w:hanging="452"/>
        <w:spacing w:after="0" w:line="287" w:lineRule="auto"/>
        <w:tabs>
          <w:tab w:leader="none" w:pos="45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80" w:right="239" w:bottom="1440" w:gutter="0" w:footer="0" w:header="0"/>
        </w:sectPr>
      </w:pPr>
    </w:p>
    <w:bookmarkStart w:id="106" w:name="page107"/>
    <w:bookmarkEnd w:id="106"/>
    <w:p>
      <w:pPr>
        <w:ind w:left="452"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4" w:lineRule="exact"/>
        <w:rPr>
          <w:sz w:val="20"/>
          <w:szCs w:val="20"/>
          <w:color w:val="auto"/>
        </w:rPr>
      </w:pPr>
    </w:p>
    <w:p>
      <w:pPr>
        <w:ind w:left="452" w:hanging="452"/>
        <w:spacing w:after="0" w:line="298" w:lineRule="auto"/>
        <w:tabs>
          <w:tab w:leader="none" w:pos="45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31" w:lineRule="exact"/>
        <w:rPr>
          <w:rFonts w:ascii="Arial" w:cs="Arial" w:eastAsia="Arial" w:hAnsi="Arial"/>
          <w:sz w:val="16"/>
          <w:szCs w:val="16"/>
          <w:color w:val="auto"/>
        </w:rPr>
      </w:pPr>
    </w:p>
    <w:p>
      <w:pPr>
        <w:ind w:left="452" w:hanging="452"/>
        <w:spacing w:after="0" w:line="287" w:lineRule="auto"/>
        <w:tabs>
          <w:tab w:leader="none" w:pos="45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and ball and roller manufacturers who manufacture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41" w:lineRule="exact"/>
        <w:rPr>
          <w:rFonts w:ascii="Arial" w:cs="Arial" w:eastAsia="Arial" w:hAnsi="Arial"/>
          <w:sz w:val="16"/>
          <w:szCs w:val="16"/>
          <w:color w:val="auto"/>
        </w:rPr>
      </w:pPr>
    </w:p>
    <w:p>
      <w:pPr>
        <w:ind w:left="452" w:right="340" w:hanging="452"/>
        <w:spacing w:after="0" w:line="259" w:lineRule="auto"/>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0" w:hanging="446"/>
        <w:spacing w:after="0" w:line="255"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107" w:name="page108"/>
    <w:bookmarkEnd w:id="107"/>
    <w:p>
      <w:pPr>
        <w:ind w:left="900" w:right="60" w:hanging="446"/>
        <w:spacing w:after="0" w:line="256"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62"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59"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31"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31" w:lineRule="exact"/>
        <w:rPr>
          <w:rFonts w:ascii="Arial" w:cs="Arial" w:eastAsia="Arial" w:hAnsi="Arial"/>
          <w:sz w:val="16"/>
          <w:szCs w:val="16"/>
          <w:color w:val="auto"/>
        </w:rPr>
      </w:pPr>
    </w:p>
    <w:p>
      <w:pPr>
        <w:jc w:val="both"/>
        <w:ind w:left="460" w:right="6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Attn: 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2000 Waters Edge Drive, Suite 12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151" w:lineRule="exact"/>
        <w:rPr>
          <w:sz w:val="20"/>
          <w:szCs w:val="20"/>
          <w:color w:val="auto"/>
        </w:rPr>
      </w:pPr>
    </w:p>
    <w:p>
      <w:pPr>
        <w:sectPr>
          <w:pgSz w:w="11900" w:h="16838" w:orient="portrait"/>
          <w:cols w:equalWidth="0" w:num="2">
            <w:col w:w="1240" w:space="720"/>
            <w:col w:w="946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80"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James R. Widders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-219710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Whirlaway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720 Shiloh Ave.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Wellington, OH 44090</w:t>
      </w:r>
    </w:p>
    <w:p>
      <w:pPr>
        <w:spacing w:after="0" w:line="107" w:lineRule="exact"/>
        <w:rPr>
          <w:sz w:val="20"/>
          <w:szCs w:val="20"/>
          <w:color w:val="auto"/>
        </w:rPr>
      </w:pPr>
    </w:p>
    <w:p>
      <w:pPr>
        <w:sectPr>
          <w:pgSz w:w="11900" w:h="16838" w:orient="portrait"/>
          <w:cols w:equalWidth="0" w:num="2">
            <w:col w:w="1240" w:space="720"/>
            <w:col w:w="9440"/>
          </w:cols>
          <w:pgMar w:left="240" w:top="280" w:right="259" w:bottom="1440" w:gutter="0" w:footer="0" w:header="0"/>
        </w:sectPr>
      </w:pPr>
    </w:p>
    <w:p>
      <w:pPr>
        <w:ind w:left="460" w:right="100" w:hanging="452"/>
        <w:spacing w:after="0" w:line="314"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u w:val="single" w:color="auto"/>
          <w:color w:val="auto"/>
        </w:rPr>
        <w:t>Successors: Binding Agreement</w:t>
      </w:r>
      <w:r>
        <w:rPr>
          <w:rFonts w:ascii="Arial" w:cs="Arial" w:eastAsia="Arial" w:hAnsi="Arial"/>
          <w:sz w:val="15"/>
          <w:szCs w:val="15"/>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3" w:lineRule="exact"/>
        <w:rPr>
          <w:rFonts w:ascii="Arial" w:cs="Arial" w:eastAsia="Arial" w:hAnsi="Arial"/>
          <w:sz w:val="15"/>
          <w:szCs w:val="15"/>
          <w:color w:val="auto"/>
        </w:rPr>
      </w:pPr>
    </w:p>
    <w:p>
      <w:pPr>
        <w:ind w:left="460" w:right="60"/>
        <w:spacing w:after="0" w:line="298" w:lineRule="auto"/>
        <w:rPr>
          <w:rFonts w:ascii="Arial" w:cs="Arial" w:eastAsia="Arial" w:hAnsi="Arial"/>
          <w:sz w:val="15"/>
          <w:szCs w:val="15"/>
          <w:color w:val="auto"/>
        </w:rPr>
      </w:pPr>
      <w:r>
        <w:rPr>
          <w:rFonts w:ascii="Arial" w:cs="Arial" w:eastAsia="Arial" w:hAnsi="Arial"/>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31" w:lineRule="exact"/>
        <w:rPr>
          <w:rFonts w:ascii="Arial" w:cs="Arial" w:eastAsia="Arial" w:hAnsi="Arial"/>
          <w:sz w:val="15"/>
          <w:szCs w:val="15"/>
          <w:color w:val="auto"/>
        </w:rPr>
      </w:pPr>
    </w:p>
    <w:p>
      <w:pPr>
        <w:ind w:left="460" w:hanging="452"/>
        <w:spacing w:after="0" w:line="289"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Modification, Waiver or Discharge</w:t>
      </w:r>
      <w:r>
        <w:rPr>
          <w:rFonts w:ascii="Arial" w:cs="Arial" w:eastAsia="Arial" w:hAnsi="Arial"/>
          <w:sz w:val="16"/>
          <w:szCs w:val="16"/>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37" w:lineRule="exact"/>
        <w:rPr>
          <w:rFonts w:ascii="Arial" w:cs="Arial" w:eastAsia="Arial" w:hAnsi="Arial"/>
          <w:sz w:val="16"/>
          <w:szCs w:val="16"/>
          <w:color w:val="auto"/>
        </w:rPr>
      </w:pPr>
    </w:p>
    <w:p>
      <w:pPr>
        <w:ind w:left="460" w:right="460" w:hanging="452"/>
        <w:spacing w:after="0" w:line="305"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w:t>
      </w:r>
    </w:p>
    <w:p>
      <w:pPr>
        <w:ind w:left="460"/>
        <w:spacing w:after="0"/>
        <w:rPr>
          <w:rFonts w:ascii="Arial" w:cs="Arial" w:eastAsia="Arial" w:hAnsi="Arial"/>
          <w:sz w:val="15"/>
          <w:szCs w:val="15"/>
          <w:color w:val="auto"/>
        </w:rPr>
      </w:pPr>
      <w:r>
        <w:rPr>
          <w:rFonts w:ascii="Arial" w:cs="Arial" w:eastAsia="Arial" w:hAnsi="Arial"/>
          <w:sz w:val="15"/>
          <w:szCs w:val="15"/>
          <w:color w:val="auto"/>
        </w:rPr>
        <w:t>agreements, non-competition agreements or any other agreement related to Executive’s employment with the Company; provided, however, nothing herein</w:t>
      </w:r>
    </w:p>
    <w:p>
      <w:pPr>
        <w:spacing w:after="0" w:line="21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shall affect the terms of the Indemnification Agreement entered into between the Company and Executive dated June , 2011 which shall continue and remain in full force and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type w:val="continuous"/>
        </w:sectPr>
      </w:pPr>
    </w:p>
    <w:bookmarkStart w:id="109" w:name="page110"/>
    <w:bookmarkEnd w:id="109"/>
    <w:p>
      <w:pPr>
        <w:ind w:left="452" w:right="20" w:hanging="452"/>
        <w:spacing w:after="0" w:line="268"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50" w:lineRule="exact"/>
        <w:rPr>
          <w:rFonts w:ascii="Arial" w:cs="Arial" w:eastAsia="Arial" w:hAnsi="Arial"/>
          <w:sz w:val="18"/>
          <w:szCs w:val="18"/>
          <w:color w:val="auto"/>
        </w:rPr>
      </w:pPr>
    </w:p>
    <w:p>
      <w:pPr>
        <w:ind w:left="452" w:right="220" w:hanging="452"/>
        <w:spacing w:after="0" w:line="298" w:lineRule="auto"/>
        <w:tabs>
          <w:tab w:leader="none" w:pos="4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31" w:lineRule="exact"/>
        <w:rPr>
          <w:rFonts w:ascii="Arial" w:cs="Arial" w:eastAsia="Arial" w:hAnsi="Arial"/>
          <w:sz w:val="16"/>
          <w:szCs w:val="16"/>
          <w:color w:val="auto"/>
        </w:rPr>
      </w:pPr>
    </w:p>
    <w:p>
      <w:pPr>
        <w:ind w:left="452" w:right="180" w:hanging="452"/>
        <w:spacing w:after="0" w:line="268"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50" w:lineRule="exact"/>
        <w:rPr>
          <w:rFonts w:ascii="Arial" w:cs="Arial" w:eastAsia="Arial" w:hAnsi="Arial"/>
          <w:sz w:val="18"/>
          <w:szCs w:val="18"/>
          <w:color w:val="auto"/>
        </w:rPr>
      </w:pPr>
    </w:p>
    <w:p>
      <w:pPr>
        <w:ind w:left="452" w:right="180" w:hanging="452"/>
        <w:spacing w:after="0" w:line="306" w:lineRule="auto"/>
        <w:tabs>
          <w:tab w:leader="none" w:pos="4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Compliance with Internal Revenue Code and Section 409A</w:t>
      </w:r>
      <w:r>
        <w:rPr>
          <w:rFonts w:ascii="Arial" w:cs="Arial" w:eastAsia="Arial" w:hAnsi="Arial"/>
          <w:sz w:val="16"/>
          <w:szCs w:val="16"/>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25"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62"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61"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50"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13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80" w:right="259" w:bottom="1440" w:gutter="0" w:footer="0" w:header="0"/>
        </w:sectPr>
      </w:pPr>
    </w:p>
    <w:bookmarkStart w:id="110" w:name="page111"/>
    <w:bookmarkEnd w:id="110"/>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NN, Inc.</w:t>
      </w:r>
    </w:p>
    <w:p>
      <w:pPr>
        <w:spacing w:after="0" w:line="2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Roderick R. Baty, CEO and Chairman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127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109220</wp:posOffset>
            </wp:positionV>
            <wp:extent cx="3413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James R. Widders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274" w:right="479" w:bottom="1440" w:gutter="0" w:footer="0" w:header="0"/>
        </w:sectPr>
      </w:pPr>
    </w:p>
    <w:bookmarkStart w:id="111" w:name="page112"/>
    <w:bookmarkEnd w:id="111"/>
    <w:p>
      <w:pPr>
        <w:ind w:left="4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Schedule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Executive’s Severance Payment shall be a lump sum payment equal to:</w:t>
      </w:r>
    </w:p>
    <w:p>
      <w:pPr>
        <w:spacing w:after="0" w:line="90" w:lineRule="exact"/>
        <w:rPr>
          <w:sz w:val="20"/>
          <w:szCs w:val="20"/>
          <w:color w:val="auto"/>
        </w:rPr>
      </w:pPr>
    </w:p>
    <w:p>
      <w:pPr>
        <w:ind w:left="180" w:hanging="176"/>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90" w:lineRule="exact"/>
        <w:rPr>
          <w:rFonts w:ascii="Arial" w:cs="Arial" w:eastAsia="Arial" w:hAnsi="Arial"/>
          <w:sz w:val="18"/>
          <w:szCs w:val="18"/>
          <w:color w:val="auto"/>
        </w:rPr>
      </w:pPr>
    </w:p>
    <w:p>
      <w:pPr>
        <w:ind w:left="180" w:hanging="176"/>
        <w:spacing w:after="0"/>
        <w:tabs>
          <w:tab w:leader="none" w:pos="1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1.0 times Executive’s median bonus available at the following bonus target percentage: 45%.</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759"/>
          </w:cols>
          <w:pgMar w:left="700" w:top="27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r>
      <w:tr>
        <w:trPr>
          <w:trHeight w:val="20"/>
        </w:trPr>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31"/>
        </w:trPr>
        <w:tc>
          <w:tcPr>
            <w:tcW w:w="3940" w:type="dxa"/>
            <w:vAlign w:val="bottom"/>
          </w:tcPr>
          <w:p>
            <w:pPr>
              <w:ind w:left="440"/>
              <w:spacing w:after="0"/>
              <w:rPr>
                <w:sz w:val="20"/>
                <w:szCs w:val="20"/>
                <w:color w:val="auto"/>
              </w:rPr>
            </w:pPr>
            <w:r>
              <w:rPr>
                <w:rFonts w:ascii="Arial" w:cs="Arial" w:eastAsia="Arial" w:hAnsi="Arial"/>
                <w:sz w:val="18"/>
                <w:szCs w:val="18"/>
                <w:color w:val="auto"/>
              </w:rPr>
              <w:t>Subsidiaries of NN, Inc.</w:t>
            </w:r>
          </w:p>
        </w:tc>
        <w:tc>
          <w:tcPr>
            <w:tcW w:w="660" w:type="dxa"/>
            <w:vAlign w:val="bottom"/>
          </w:tcPr>
          <w:p>
            <w:pPr>
              <w:spacing w:after="0"/>
              <w:rPr>
                <w:sz w:val="24"/>
                <w:szCs w:val="24"/>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w w:val="90"/>
              </w:rPr>
              <w:t>Jurisdiction of Incorporation or Organization</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The Delta Rubber Company</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Connecticut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Industrial Molding Corp.</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Tennessee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Kugelfertigung Eltmann GmbH</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Germany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Europe, S.p.a.</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Italy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Euroball Ireland, Ltd.</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Ireland</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Netherlands B.V.</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The Netherlands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Holdings B.V.</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The Netherlands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Slovakia, s.r.o.</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Slovak Republic</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NN Precision Bearing Products Company Ltd.</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The People’s Republic of China</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Whirlaway Corporation</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Ohio</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Triumph, LLC</w:t>
            </w:r>
          </w:p>
        </w:tc>
        <w:tc>
          <w:tcPr>
            <w:tcW w:w="66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Arizona</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NN International B.V.</w:t>
            </w:r>
          </w:p>
        </w:tc>
        <w:tc>
          <w:tcPr>
            <w:tcW w:w="660" w:type="dxa"/>
            <w:vAlign w:val="bottom"/>
          </w:tcPr>
          <w:p>
            <w:pPr>
              <w:spacing w:after="0"/>
              <w:rPr>
                <w:sz w:val="19"/>
                <w:szCs w:val="19"/>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1420"/>
          </w:cols>
          <w:pgMar w:left="240" w:top="125" w:right="239" w:bottom="1440" w:gutter="0" w:footer="0" w:header="0"/>
        </w:sectPr>
      </w:pPr>
    </w:p>
    <w:bookmarkStart w:id="113" w:name="page114"/>
    <w:bookmarkEnd w:id="113"/>
    <w:p>
      <w:pPr>
        <w:ind w:left="10560"/>
        <w:spacing w:after="0"/>
        <w:rPr>
          <w:sz w:val="20"/>
          <w:szCs w:val="20"/>
          <w:color w:val="auto"/>
        </w:rPr>
      </w:pPr>
      <w:r>
        <w:rPr>
          <w:rFonts w:ascii="Arial" w:cs="Arial" w:eastAsia="Arial" w:hAnsi="Arial"/>
          <w:sz w:val="16"/>
          <w:szCs w:val="16"/>
          <w:color w:val="auto"/>
        </w:rPr>
        <w:t>Exhibit 23.1</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333-174519, No. 333-130395, No. 333-69588, No. 333-50934) and Form S-3 (No. 333-100119) of NN, Inc. of our report dated March 15, 2012 related to the financial statements and the effectiveness of internal control over financial reporting, which appears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ODERICK</w:t>
            </w:r>
            <w:r>
              <w:rPr>
                <w:rFonts w:ascii="Arial" w:cs="Arial" w:eastAsia="Arial" w:hAnsi="Arial"/>
                <w:sz w:val="18"/>
                <w:szCs w:val="18"/>
                <w:color w:val="auto"/>
              </w:rPr>
              <w:t xml:space="preserve"> R. B</w:t>
            </w:r>
            <w:r>
              <w:rPr>
                <w:rFonts w:ascii="Arial" w:cs="Arial" w:eastAsia="Arial" w:hAnsi="Arial"/>
                <w:sz w:val="14"/>
                <w:szCs w:val="14"/>
                <w:color w:val="auto"/>
              </w:rPr>
              <w:t>ATY</w:t>
            </w:r>
          </w:p>
        </w:tc>
      </w:tr>
      <w:tr>
        <w:trPr>
          <w:trHeight w:val="202"/>
        </w:trPr>
        <w:tc>
          <w:tcPr>
            <w:tcW w:w="960" w:type="dxa"/>
            <w:vAlign w:val="bottom"/>
          </w:tcPr>
          <w:p>
            <w:pPr>
              <w:spacing w:after="0"/>
              <w:rPr>
                <w:sz w:val="17"/>
                <w:szCs w:val="17"/>
                <w:color w:val="auto"/>
              </w:rPr>
            </w:pPr>
          </w:p>
        </w:tc>
        <w:tc>
          <w:tcPr>
            <w:tcW w:w="3620" w:type="dxa"/>
            <w:vAlign w:val="bottom"/>
          </w:tcPr>
          <w:p>
            <w:pPr>
              <w:ind w:left="60"/>
              <w:spacing w:after="0" w:line="202" w:lineRule="exact"/>
              <w:rPr>
                <w:sz w:val="20"/>
                <w:szCs w:val="20"/>
                <w:color w:val="auto"/>
              </w:rPr>
            </w:pPr>
            <w:r>
              <w:rPr>
                <w:rFonts w:ascii="Arial" w:cs="Arial" w:eastAsia="Arial" w:hAnsi="Arial"/>
                <w:sz w:val="18"/>
                <w:szCs w:val="18"/>
                <w:color w:val="auto"/>
              </w:rPr>
              <w:t>Roderick R. Baty</w:t>
            </w:r>
          </w:p>
        </w:tc>
      </w:tr>
      <w:tr>
        <w:trPr>
          <w:trHeight w:val="222"/>
        </w:trPr>
        <w:tc>
          <w:tcPr>
            <w:tcW w:w="960" w:type="dxa"/>
            <w:vAlign w:val="bottom"/>
          </w:tcPr>
          <w:p>
            <w:pPr>
              <w:spacing w:after="0"/>
              <w:rPr>
                <w:sz w:val="19"/>
                <w:szCs w:val="19"/>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w w:val="90"/>
              </w:rPr>
              <w:t>Chairman, Chief Executive Officer, and President</w:t>
            </w:r>
          </w:p>
        </w:tc>
      </w:tr>
    </w:tbl>
    <w:p>
      <w:pPr>
        <w:sectPr>
          <w:pgSz w:w="11900" w:h="16838" w:orient="portrait"/>
          <w:cols w:equalWidth="0" w:num="1">
            <w:col w:w="11420"/>
          </w:cols>
          <w:pgMar w:left="240" w:top="1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20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D</w:t>
      </w:r>
      <w:r>
        <w:rPr>
          <w:rFonts w:ascii="Arial" w:cs="Arial" w:eastAsia="Arial" w:hAnsi="Arial"/>
          <w:sz w:val="14"/>
          <w:szCs w:val="14"/>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 Chief Executive Officer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 Corporate Development and Chief</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upperLetter"/>
      <w:start w:val="1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1)"/>
      <w:numFmt w:val="lowerRoman"/>
      <w:start w:val="2"/>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lvl w:ilvl="1">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lowerLetter"/>
      <w:start w:val="1"/>
    </w:lvl>
  </w:abstractNum>
  <w:abstractNum w:abstractNumId="14">
    <w:nsid w:val="2F305DEF"/>
    <w:multiLevelType w:val="hybridMultilevel"/>
    <w:lvl w:ilvl="0">
      <w:lvlJc w:val="left"/>
      <w:lvlText w:val="%1)"/>
      <w:numFmt w:val="lowerLetter"/>
      <w:start w:val="2"/>
    </w:lvl>
  </w:abstractNum>
  <w:abstractNum w:abstractNumId="15">
    <w:nsid w:val="25A70BF7"/>
    <w:multiLevelType w:val="hybridMultilevel"/>
    <w:lvl w:ilvl="0">
      <w:lvlJc w:val="left"/>
      <w:lvlText w:val="%1)"/>
      <w:numFmt w:val="lowerLetter"/>
      <w:start w:val="3"/>
    </w:lvl>
  </w:abstractNum>
  <w:abstractNum w:abstractNumId="16">
    <w:nsid w:val="1DBABF00"/>
    <w:multiLevelType w:val="hybridMultilevel"/>
    <w:lvl w:ilvl="0">
      <w:lvlJc w:val="left"/>
      <w:lvlText w:val="%1)"/>
      <w:numFmt w:val="lowerLetter"/>
      <w:start w:val="4"/>
    </w:lvl>
  </w:abstractNum>
  <w:abstractNum w:abstractNumId="17">
    <w:nsid w:val="4AD084E9"/>
    <w:multiLevelType w:val="hybridMultilevel"/>
    <w:lvl w:ilvl="0">
      <w:lvlJc w:val="left"/>
      <w:lvlText w:val="%1)"/>
      <w:numFmt w:val="lowerLetter"/>
      <w:start w:val="5"/>
    </w:lvl>
  </w:abstractNum>
  <w:abstractNum w:abstractNumId="18">
    <w:nsid w:val="1F48EAA1"/>
    <w:multiLevelType w:val="hybridMultilevel"/>
    <w:lvl w:ilvl="0">
      <w:lvlJc w:val="left"/>
      <w:lvlText w:val="%1)"/>
      <w:numFmt w:val="lowerLetter"/>
      <w:start w:val="6"/>
    </w:lvl>
  </w:abstractNum>
  <w:abstractNum w:abstractNumId="19">
    <w:nsid w:val="1381823A"/>
    <w:multiLevelType w:val="hybridMultilevel"/>
    <w:lvl w:ilvl="0">
      <w:lvlJc w:val="left"/>
      <w:lvlText w:val="%1)"/>
      <w:numFmt w:val="lowerLetter"/>
      <w:start w:val="7"/>
    </w:lvl>
  </w:abstractNum>
  <w:abstractNum w:abstractNumId="20">
    <w:nsid w:val="5DB70AE5"/>
    <w:multiLevelType w:val="hybridMultilevel"/>
    <w:lvl w:ilvl="0">
      <w:lvlJc w:val="left"/>
      <w:lvlText w:val="%1)"/>
      <w:numFmt w:val="lowerLetter"/>
      <w:start w:val="8"/>
    </w:lvl>
  </w:abstractNum>
  <w:abstractNum w:abstractNumId="21">
    <w:nsid w:val="100F8FCA"/>
    <w:multiLevelType w:val="hybridMultilevel"/>
    <w:lvl w:ilvl="0">
      <w:lvlJc w:val="left"/>
      <w:lvlText w:val="%1)"/>
      <w:numFmt w:val="lowerRoman"/>
      <w:start w:val="1"/>
    </w:lvl>
  </w:abstractNum>
  <w:abstractNum w:abstractNumId="22">
    <w:nsid w:val="6590700B"/>
    <w:multiLevelType w:val="hybridMultilevel"/>
    <w:lvl w:ilvl="0">
      <w:lvlJc w:val="left"/>
      <w:lvlText w:val="%1)"/>
      <w:numFmt w:val="lowerLetter"/>
      <w:start w:val="10"/>
    </w:lvl>
  </w:abstractNum>
  <w:abstractNum w:abstractNumId="23">
    <w:nsid w:val="15014ACB"/>
    <w:multiLevelType w:val="hybridMultilevel"/>
    <w:lvl w:ilvl="0">
      <w:lvlJc w:val="left"/>
      <w:lvlText w:val="%1)"/>
      <w:numFmt w:val="lowerLetter"/>
      <w:start w:val="11"/>
    </w:lvl>
  </w:abstractNum>
  <w:abstractNum w:abstractNumId="24">
    <w:nsid w:val="5F5E7FD0"/>
    <w:multiLevelType w:val="hybridMultilevel"/>
    <w:lvl w:ilvl="0">
      <w:lvlJc w:val="left"/>
      <w:lvlText w:val="%1)"/>
      <w:numFmt w:val="lowerLetter"/>
      <w:start w:val="12"/>
    </w:lvl>
  </w:abstractNum>
  <w:abstractNum w:abstractNumId="25">
    <w:nsid w:val="98A3148"/>
    <w:multiLevelType w:val="hybridMultilevel"/>
    <w:lvl w:ilvl="0">
      <w:lvlJc w:val="left"/>
      <w:lvlText w:val="%1)"/>
      <w:numFmt w:val="lowerLetter"/>
      <w:start w:val="13"/>
    </w:lvl>
  </w:abstractNum>
  <w:abstractNum w:abstractNumId="26">
    <w:nsid w:val="799D0247"/>
    <w:multiLevelType w:val="hybridMultilevel"/>
    <w:lvl w:ilvl="0">
      <w:lvlJc w:val="left"/>
      <w:lvlText w:val="%1)"/>
      <w:numFmt w:val="lowerLetter"/>
      <w:start w:val="14"/>
    </w:lvl>
  </w:abstractNum>
  <w:abstractNum w:abstractNumId="27">
    <w:nsid w:val="6B94764"/>
    <w:multiLevelType w:val="hybridMultilevel"/>
    <w:lvl w:ilvl="0">
      <w:lvlJc w:val="left"/>
      <w:lvlText w:val="%1)"/>
      <w:numFmt w:val="lowerLetter"/>
      <w:start w:val="15"/>
    </w:lvl>
  </w:abstractNum>
  <w:abstractNum w:abstractNumId="28">
    <w:nsid w:val="42C296BD"/>
    <w:multiLevelType w:val="hybridMultilevel"/>
    <w:lvl w:ilvl="0">
      <w:lvlJc w:val="left"/>
      <w:lvlText w:val="%1)"/>
      <w:numFmt w:val="lowerLetter"/>
      <w:start w:val="16"/>
    </w:lvl>
  </w:abstractNum>
  <w:abstractNum w:abstractNumId="29">
    <w:nsid w:val="168E121F"/>
    <w:multiLevelType w:val="hybridMultilevel"/>
    <w:lvl w:ilvl="0">
      <w:lvlJc w:val="left"/>
      <w:lvlText w:val="%1)"/>
      <w:numFmt w:val="decimal"/>
      <w:start w:val="2"/>
    </w:lvl>
  </w:abstractNum>
  <w:abstractNum w:abstractNumId="30">
    <w:nsid w:val="1EBA5D23"/>
    <w:multiLevelType w:val="hybridMultilevel"/>
    <w:lvl w:ilvl="0">
      <w:lvlJc w:val="left"/>
      <w:lvlText w:val="%1)"/>
      <w:numFmt w:val="decimal"/>
      <w:start w:val="4"/>
    </w:lvl>
  </w:abstractNum>
  <w:abstractNum w:abstractNumId="31">
    <w:nsid w:val="661E3F1E"/>
    <w:multiLevelType w:val="hybridMultilevel"/>
    <w:lvl w:ilvl="0">
      <w:lvlJc w:val="left"/>
      <w:lvlText w:val="%1)"/>
      <w:numFmt w:val="decimal"/>
      <w:start w:val="7"/>
    </w:lvl>
  </w:abstractNum>
  <w:abstractNum w:abstractNumId="32">
    <w:nsid w:val="5DC79EA8"/>
    <w:multiLevelType w:val="hybridMultilevel"/>
    <w:lvl w:ilvl="0">
      <w:lvlJc w:val="left"/>
      <w:lvlText w:val="%1)"/>
      <w:numFmt w:val="decimal"/>
      <w:start w:val="8"/>
    </w:lvl>
  </w:abstractNum>
  <w:abstractNum w:abstractNumId="33">
    <w:nsid w:val="540A471C"/>
    <w:multiLevelType w:val="hybridMultilevel"/>
    <w:lvl w:ilvl="0">
      <w:lvlJc w:val="left"/>
      <w:lvlText w:val="%1)"/>
      <w:numFmt w:val="decimal"/>
      <w:start w:val="9"/>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1)"/>
      <w:numFmt w:val="decimal"/>
      <w:start w:val="10"/>
    </w:lvl>
  </w:abstractNum>
  <w:abstractNum w:abstractNumId="36">
    <w:nsid w:val="613EFDC5"/>
    <w:multiLevelType w:val="hybridMultilevel"/>
    <w:lvl w:ilvl="0">
      <w:lvlJc w:val="left"/>
      <w:lvlText w:val="%1)"/>
      <w:numFmt w:val="decimal"/>
      <w:start w:val="11"/>
    </w:lvl>
  </w:abstractNum>
  <w:abstractNum w:abstractNumId="37">
    <w:nsid w:val="BF72B14"/>
    <w:multiLevelType w:val="hybridMultilevel"/>
    <w:lvl w:ilvl="0">
      <w:lvlJc w:val="left"/>
      <w:lvlText w:val="%1)"/>
      <w:numFmt w:val="decimal"/>
      <w:start w:val="12"/>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1)"/>
      <w:numFmt w:val="decimal"/>
      <w:start w:val="13"/>
    </w:lvl>
  </w:abstractNum>
  <w:abstractNum w:abstractNumId="42">
    <w:nsid w:val="1A32234B"/>
    <w:multiLevelType w:val="hybridMultilevel"/>
    <w:lvl w:ilvl="0">
      <w:lvlJc w:val="left"/>
      <w:lvlText w:val="%1)"/>
      <w:numFmt w:val="decimal"/>
      <w:start w:val="14"/>
    </w:lvl>
  </w:abstractNum>
  <w:abstractNum w:abstractNumId="43">
    <w:nsid w:val="3B0FD379"/>
    <w:multiLevelType w:val="hybridMultilevel"/>
    <w:lvl w:ilvl="0">
      <w:lvlJc w:val="left"/>
      <w:lvlText w:val="%1)"/>
      <w:numFmt w:val="decimal"/>
      <w:start w:val="15"/>
    </w:lvl>
  </w:abstractNum>
  <w:abstractNum w:abstractNumId="44">
    <w:nsid w:val="68EB2F63"/>
    <w:multiLevelType w:val="hybridMultilevel"/>
    <w:lvl w:ilvl="0">
      <w:lvlJc w:val="left"/>
      <w:lvlText w:val="%1)"/>
      <w:numFmt w:val="decimal"/>
      <w:start w:val="16"/>
    </w:lvl>
  </w:abstractNum>
  <w:abstractNum w:abstractNumId="45">
    <w:nsid w:val="4962813B"/>
    <w:multiLevelType w:val="hybridMultilevel"/>
    <w:lvl w:ilvl="0">
      <w:lvlJc w:val="left"/>
      <w:lvlText w:val="%1)"/>
      <w:numFmt w:val="decimal"/>
      <w:start w:val="17"/>
    </w:lvl>
  </w:abstractNum>
  <w:abstractNum w:abstractNumId="46">
    <w:nsid w:val="60B6DF70"/>
    <w:multiLevelType w:val="hybridMultilevel"/>
    <w:lvl w:ilvl="0">
      <w:lvlJc w:val="left"/>
      <w:lvlText w:val="%1)"/>
      <w:numFmt w:val="decimal"/>
      <w:start w:val="18"/>
    </w:lvl>
  </w:abstractNum>
  <w:abstractNum w:abstractNumId="47">
    <w:nsid w:val="6A5EE64"/>
    <w:multiLevelType w:val="hybridMultilevel"/>
    <w:lvl w:ilvl="0">
      <w:lvlJc w:val="left"/>
      <w:lvlText w:val="%1)"/>
      <w:numFmt w:val="decimal"/>
      <w:start w:val="19"/>
    </w:lvl>
  </w:abstractNum>
  <w:abstractNum w:abstractNumId="48">
    <w:nsid w:val="14330624"/>
    <w:multiLevelType w:val="hybridMultilevel"/>
    <w:lvl w:ilvl="0">
      <w:lvlJc w:val="left"/>
      <w:lvlText w:val="(%1)"/>
      <w:numFmt w:val="lowerLetter"/>
      <w:start w:val="1"/>
    </w:lvl>
    <w:lvl w:ilvl="1">
      <w:lvlJc w:val="left"/>
      <w:lvlText w:val="%2."/>
      <w:numFmt w:val="decimal"/>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2"/>
    </w:lvl>
    <w:lvl w:ilvl="1">
      <w:lvlJc w:val="left"/>
      <w:lvlText w:val="(%2)"/>
      <w:numFmt w:val="lowerLetter"/>
      <w:start w:val="1"/>
    </w:lvl>
  </w:abstractNum>
  <w:abstractNum w:abstractNumId="52">
    <w:nsid w:val="100F59DC"/>
    <w:multiLevelType w:val="hybridMultilevel"/>
    <w:lvl w:ilvl="0">
      <w:lvlJc w:val="left"/>
      <w:lvlText w:val="%1"/>
      <w:numFmt w:val="decimal"/>
      <w:start w:val="1"/>
    </w:lvl>
    <w:lvl w:ilvl="1">
      <w:lvlJc w:val="left"/>
      <w:lvlText w:val="(%2)"/>
      <w:numFmt w:val="lowerLetter"/>
      <w:start w:val="2"/>
    </w:lvl>
  </w:abstractNum>
  <w:abstractNum w:abstractNumId="53">
    <w:nsid w:val="7FB7E0AA"/>
    <w:multiLevelType w:val="hybridMultilevel"/>
    <w:lvl w:ilvl="0">
      <w:lvlJc w:val="left"/>
      <w:lvlText w:val="%1."/>
      <w:numFmt w:val="decimal"/>
      <w:start w:val="6"/>
    </w:lvl>
    <w:lvl w:ilvl="1">
      <w:lvlJc w:val="left"/>
      <w:lvlText w:val="(%2)"/>
      <w:numFmt w:val="lowerLetter"/>
      <w:start w:val="1"/>
    </w:lvl>
  </w:abstractNum>
  <w:abstractNum w:abstractNumId="54">
    <w:nsid w:val="6EB5BD4"/>
    <w:multiLevelType w:val="hybridMultilevel"/>
    <w:lvl w:ilvl="0">
      <w:lvlJc w:val="left"/>
      <w:lvlText w:val="(%1)"/>
      <w:numFmt w:val="lowerLetter"/>
      <w:start w:val="2"/>
    </w:lvl>
  </w:abstractNum>
  <w:abstractNum w:abstractNumId="55">
    <w:nsid w:val="6F6DD9AC"/>
    <w:multiLevelType w:val="hybridMultilevel"/>
    <w:lvl w:ilvl="0">
      <w:lvlJc w:val="left"/>
      <w:lvlText w:val="%1."/>
      <w:numFmt w:val="decimal"/>
      <w:start w:val="7"/>
    </w:lvl>
    <w:lvl w:ilvl="1">
      <w:lvlJc w:val="left"/>
      <w:lvlText w:val="(%2)"/>
      <w:numFmt w:val="lowerLetter"/>
      <w:start w:val="1"/>
    </w:lvl>
  </w:abstractNum>
  <w:abstractNum w:abstractNumId="56">
    <w:nsid w:val="94211F2"/>
    <w:multiLevelType w:val="hybridMultilevel"/>
    <w:lvl w:ilvl="0">
      <w:lvlJc w:val="left"/>
      <w:lvlText w:val="(%1)"/>
      <w:numFmt w:val="lowerLetter"/>
      <w:start w:val="3"/>
    </w:lvl>
  </w:abstractNum>
  <w:abstractNum w:abstractNumId="57">
    <w:nsid w:val="885E1B"/>
    <w:multiLevelType w:val="hybridMultilevel"/>
    <w:lvl w:ilvl="0">
      <w:lvlJc w:val="left"/>
      <w:lvlText w:val="(%1)"/>
      <w:numFmt w:val="lowerLetter"/>
      <w:start w:val="5"/>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2"/>
    </w:lvl>
  </w:abstractNum>
  <w:abstractNum w:abstractNumId="60">
    <w:nsid w:val="1716703B"/>
    <w:multiLevelType w:val="hybridMultilevel"/>
    <w:lvl w:ilvl="0">
      <w:lvlJc w:val="left"/>
      <w:lvlText w:val="%1."/>
      <w:numFmt w:val="decimal"/>
      <w:start w:val="3"/>
    </w:lvl>
  </w:abstractNum>
  <w:abstractNum w:abstractNumId="61">
    <w:nsid w:val="14E17E33"/>
    <w:multiLevelType w:val="hybridMultilevel"/>
    <w:lvl w:ilvl="0">
      <w:lvlJc w:val="left"/>
      <w:lvlText w:val="%1."/>
      <w:numFmt w:val="decimal"/>
      <w:start w:val="6"/>
    </w:lvl>
  </w:abstractNum>
  <w:abstractNum w:abstractNumId="62">
    <w:nsid w:val="3222E7CD"/>
    <w:multiLevelType w:val="hybridMultilevel"/>
    <w:lvl w:ilvl="0">
      <w:lvlJc w:val="left"/>
      <w:lvlText w:val="%1."/>
      <w:numFmt w:val="decimal"/>
      <w:start w:val="7"/>
    </w:lvl>
  </w:abstractNum>
  <w:abstractNum w:abstractNumId="63">
    <w:nsid w:val="74DE0EE3"/>
    <w:multiLevelType w:val="hybridMultilevel"/>
    <w:lvl w:ilvl="0">
      <w:lvlJc w:val="left"/>
      <w:lvlText w:val="%1."/>
      <w:numFmt w:val="decimal"/>
      <w:start w:val="8"/>
    </w:lvl>
  </w:abstractNum>
  <w:abstractNum w:abstractNumId="64">
    <w:nsid w:val="68EBC550"/>
    <w:multiLevelType w:val="hybridMultilevel"/>
    <w:lvl w:ilvl="0">
      <w:lvlJc w:val="left"/>
      <w:lvlText w:val="%1."/>
      <w:numFmt w:val="decimal"/>
      <w:start w:val="1"/>
    </w:lvl>
  </w:abstractNum>
  <w:abstractNum w:abstractNumId="65">
    <w:nsid w:val="2DF6D648"/>
    <w:multiLevelType w:val="hybridMultilevel"/>
    <w:lvl w:ilvl="0">
      <w:lvlJc w:val="left"/>
      <w:lvlText w:val="%1."/>
      <w:numFmt w:val="decimal"/>
      <w:start w:val="4"/>
    </w:lvl>
    <w:lvl w:ilvl="1">
      <w:lvlJc w:val="left"/>
      <w:lvlText w:val="(%2)"/>
      <w:numFmt w:val="lowerLetter"/>
      <w:start w:val="1"/>
    </w:lvl>
  </w:abstractNum>
  <w:abstractNum w:abstractNumId="66">
    <w:nsid w:val="46B7D44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67">
    <w:nsid w:val="4A2AC31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8">
    <w:nsid w:val="39EE015C"/>
    <w:multiLevelType w:val="hybridMultilevel"/>
    <w:lvl w:ilvl="0">
      <w:lvlJc w:val="left"/>
      <w:lvlText w:val="(%1)"/>
      <w:numFmt w:val="lowerRoman"/>
      <w:start w:val="3"/>
    </w:lvl>
    <w:lvl w:ilvl="1">
      <w:lvlJc w:val="left"/>
      <w:lvlText w:val="(%2)"/>
      <w:numFmt w:val="upperLetter"/>
      <w:start w:val="1"/>
    </w:lvl>
  </w:abstractNum>
  <w:abstractNum w:abstractNumId="69">
    <w:nsid w:val="57FC4FBB"/>
    <w:multiLevelType w:val="hybridMultilevel"/>
    <w:lvl w:ilvl="0">
      <w:lvlJc w:val="left"/>
      <w:lvlText w:val="(%1)"/>
      <w:numFmt w:val="lowerRoman"/>
      <w:start w:val="4"/>
    </w:lvl>
    <w:lvl w:ilvl="1">
      <w:lvlJc w:val="left"/>
      <w:lvlText w:val="(%2)"/>
      <w:numFmt w:val="upperLetter"/>
      <w:start w:val="1"/>
    </w:lvl>
  </w:abstractNum>
  <w:abstractNum w:abstractNumId="70">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1">
    <w:nsid w:val="43F18422"/>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72">
    <w:nsid w:val="60EF011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lowerLetter"/>
      <w:start w:val="1"/>
    </w:lvl>
    <w:lvl w:ilvl="1">
      <w:lvlJc w:val="left"/>
      <w:lvlText w:val="(%2)"/>
      <w:numFmt w:val="decimal"/>
      <w:start w:val="2"/>
    </w:lvl>
  </w:abstractNum>
  <w:abstractNum w:abstractNumId="75">
    <w:nsid w:val="49DA307D"/>
    <w:multiLevelType w:val="hybridMultilevel"/>
    <w:lvl w:ilvl="0">
      <w:lvlJc w:val="left"/>
      <w:lvlText w:val="(%1)"/>
      <w:numFmt w:val="lowerLetter"/>
      <w:start w:val="4"/>
    </w:lvl>
    <w:lvl w:ilvl="1">
      <w:lvlJc w:val="left"/>
      <w:lvlText w:val="%2"/>
      <w:numFmt w:val="decimal"/>
      <w:start w:val="1"/>
    </w:lvl>
  </w:abstractNum>
  <w:abstractNum w:abstractNumId="76">
    <w:nsid w:val="7055A5F5"/>
    <w:multiLevelType w:val="hybridMultilevel"/>
    <w:lvl w:ilvl="0">
      <w:lvlJc w:val="left"/>
      <w:lvlText w:val="(%1)"/>
      <w:numFmt w:val="lowerRoman"/>
      <w:start w:val="1"/>
    </w:lvl>
    <w:lvl w:ilvl="1">
      <w:lvlJc w:val="left"/>
      <w:lvlText w:val="(%2)"/>
      <w:numFmt w:val="upperLetter"/>
      <w:start w:val="1"/>
    </w:lvl>
  </w:abstractNum>
  <w:abstractNum w:abstractNumId="77">
    <w:nsid w:val="5FB8370B"/>
    <w:multiLevelType w:val="hybridMultilevel"/>
    <w:lvl w:ilvl="0">
      <w:lvlJc w:val="left"/>
      <w:lvlText w:val="(%1)"/>
      <w:numFmt w:val="lowerRoman"/>
      <w:start w:val="2"/>
    </w:lvl>
    <w:lvl w:ilvl="1">
      <w:lvlJc w:val="left"/>
      <w:lvlText w:val="(%2)"/>
      <w:numFmt w:val="upperLetter"/>
      <w:start w:val="1"/>
    </w:lvl>
  </w:abstractNum>
  <w:abstractNum w:abstractNumId="78">
    <w:nsid w:val="50801EE1"/>
    <w:multiLevelType w:val="hybridMultilevel"/>
    <w:lvl w:ilvl="0">
      <w:lvlJc w:val="left"/>
      <w:lvlText w:val="(%1)"/>
      <w:numFmt w:val="upperLetter"/>
      <w:start w:val="2"/>
    </w:lvl>
    <w:lvl w:ilvl="1">
      <w:lvlJc w:val="left"/>
      <w:lvlText w:val="(%2)"/>
      <w:numFmt w:val="decimal"/>
      <w:start w:val="1"/>
    </w:lvl>
  </w:abstractNum>
  <w:abstractNum w:abstractNumId="79">
    <w:nsid w:val="488AC1A"/>
    <w:multiLevelType w:val="hybridMultilevel"/>
    <w:lvl w:ilvl="0">
      <w:lvlJc w:val="left"/>
      <w:lvlText w:val="%1"/>
      <w:numFmt w:val="decimal"/>
      <w:start w:val="1"/>
    </w:lvl>
    <w:lvl w:ilvl="1">
      <w:lvlJc w:val="left"/>
      <w:lvlText w:val="(%2)"/>
      <w:numFmt w:val="lowerLetter"/>
      <w:start w:val="5"/>
    </w:lvl>
  </w:abstractNum>
  <w:abstractNum w:abstractNumId="80">
    <w:nsid w:val="5FB8011C"/>
    <w:multiLevelType w:val="hybridMultilevel"/>
    <w:lvl w:ilvl="0">
      <w:lvlJc w:val="left"/>
      <w:lvlText w:val="%1."/>
      <w:numFmt w:val="decimal"/>
      <w:start w:val="7"/>
    </w:lvl>
    <w:lvl w:ilvl="1">
      <w:lvlJc w:val="left"/>
      <w:lvlText w:val="%2"/>
      <w:numFmt w:val="lowerLetter"/>
      <w:start w:val="1"/>
    </w:lvl>
  </w:abstractNum>
  <w:abstractNum w:abstractNumId="81">
    <w:nsid w:val="6AA78F7F"/>
    <w:multiLevelType w:val="hybridMultilevel"/>
    <w:lvl w:ilvl="0">
      <w:lvlJc w:val="left"/>
      <w:lvlText w:val="%1."/>
      <w:numFmt w:val="decimal"/>
      <w:start w:val="8"/>
    </w:lvl>
  </w:abstractNum>
  <w:abstractNum w:abstractNumId="82">
    <w:nsid w:val="7672BD23"/>
    <w:multiLevelType w:val="hybridMultilevel"/>
    <w:lvl w:ilvl="0">
      <w:lvlJc w:val="left"/>
      <w:lvlText w:val="%1."/>
      <w:numFmt w:val="decimal"/>
      <w:start w:val="11"/>
    </w:lvl>
    <w:lvl w:ilvl="1">
      <w:lvlJc w:val="left"/>
      <w:lvlText w:val="(%2)"/>
      <w:numFmt w:val="lowerLetter"/>
      <w:start w:val="1"/>
    </w:lvl>
  </w:abstractNum>
  <w:abstractNum w:abstractNumId="83">
    <w:nsid w:val="6FC75AF8"/>
    <w:multiLevelType w:val="hybridMultilevel"/>
    <w:lvl w:ilvl="0">
      <w:lvlJc w:val="left"/>
      <w:lvlText w:val="%1."/>
      <w:numFmt w:val="decimal"/>
      <w:start w:val="16"/>
    </w:lvl>
  </w:abstractNum>
  <w:abstractNum w:abstractNumId="84">
    <w:nsid w:val="6A5F7029"/>
    <w:multiLevelType w:val="hybridMultilevel"/>
    <w:lvl w:ilvl="0">
      <w:lvlJc w:val="left"/>
      <w:lvlText w:val="%1."/>
      <w:numFmt w:val="decimal"/>
      <w:start w:val="17"/>
    </w:lvl>
  </w:abstractNum>
  <w:abstractNum w:abstractNumId="85">
    <w:nsid w:val="7D5E18F8"/>
    <w:multiLevelType w:val="hybridMultilevel"/>
    <w:lvl w:ilvl="0">
      <w:lvlJc w:val="left"/>
      <w:lvlText w:val="%1."/>
      <w:numFmt w:val="decimal"/>
      <w:start w:val="18"/>
    </w:lvl>
  </w:abstractNum>
  <w:abstractNum w:abstractNumId="86">
    <w:nsid w:val="5F3534A4"/>
    <w:multiLevelType w:val="hybridMultilevel"/>
    <w:lvl w:ilvl="0">
      <w:lvlJc w:val="left"/>
      <w:lvlText w:val="%1."/>
      <w:numFmt w:val="decimal"/>
      <w:start w:val="25"/>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1"/>
    </w:lvl>
  </w:abstractNum>
  <w:abstractNum w:abstractNumId="89">
    <w:nsid w:val="555C55B5"/>
    <w:multiLevelType w:val="hybridMultilevel"/>
    <w:lvl w:ilvl="0">
      <w:lvlJc w:val="left"/>
      <w:lvlText w:val="%1"/>
      <w:numFmt w:val="decimal"/>
      <w:start w:val="1"/>
    </w:lvl>
    <w:lvl w:ilvl="1">
      <w:lvlJc w:val="left"/>
      <w:lvlText w:val="(%2)"/>
      <w:numFmt w:val="lowerLetter"/>
      <w:start w:val="1"/>
    </w:lvl>
  </w:abstractNum>
  <w:abstractNum w:abstractNumId="90">
    <w:nsid w:val="3FA62ACA"/>
    <w:multiLevelType w:val="hybridMultilevel"/>
    <w:lvl w:ilvl="0">
      <w:lvlJc w:val="left"/>
      <w:lvlText w:val="%1."/>
      <w:numFmt w:val="decimal"/>
      <w:start w:val="5"/>
    </w:lvl>
    <w:lvl w:ilvl="1">
      <w:lvlJc w:val="left"/>
      <w:lvlText w:val="(%2)"/>
      <w:numFmt w:val="lowerLetter"/>
      <w:start w:val="1"/>
    </w:lvl>
  </w:abstractNum>
  <w:abstractNum w:abstractNumId="91">
    <w:nsid w:val="14FCE74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92">
    <w:nsid w:val="6A3DD3E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3">
    <w:nsid w:val="71C91298"/>
    <w:multiLevelType w:val="hybridMultilevel"/>
    <w:lvl w:ilvl="0">
      <w:lvlJc w:val="left"/>
      <w:lvlText w:val="(%1)"/>
      <w:numFmt w:val="lowerRoman"/>
      <w:start w:val="3"/>
    </w:lvl>
    <w:lvl w:ilvl="1">
      <w:lvlJc w:val="left"/>
      <w:lvlText w:val="(%2)"/>
      <w:numFmt w:val="upperLetter"/>
      <w:start w:val="1"/>
    </w:lvl>
  </w:abstractNum>
  <w:abstractNum w:abstractNumId="94">
    <w:nsid w:val="9DAF632"/>
    <w:multiLevelType w:val="hybridMultilevel"/>
    <w:lvl w:ilvl="0">
      <w:lvlJc w:val="left"/>
      <w:lvlText w:val="(%1)"/>
      <w:numFmt w:val="lowerRoman"/>
      <w:start w:val="4"/>
    </w:lvl>
  </w:abstractNum>
  <w:abstractNum w:abstractNumId="95">
    <w:nsid w:val="53299938"/>
    <w:multiLevelType w:val="hybridMultilevel"/>
    <w:lvl w:ilvl="0">
      <w:lvlJc w:val="left"/>
      <w:lvlText w:val="(%1)"/>
      <w:numFmt w:val="lowerRoman"/>
      <w:start w:val="5"/>
    </w:lvl>
    <w:lvl w:ilvl="1">
      <w:lvlJc w:val="left"/>
      <w:lvlText w:val="(%2)"/>
      <w:numFmt w:val="upperLetter"/>
      <w:start w:val="1"/>
    </w:lvl>
  </w:abstractNum>
  <w:abstractNum w:abstractNumId="96">
    <w:nsid w:val="1FBFE8E0"/>
    <w:multiLevelType w:val="hybridMultilevel"/>
    <w:lvl w:ilvl="0">
      <w:lvlJc w:val="left"/>
      <w:lvlText w:val="%1"/>
      <w:numFmt w:val="lowerLetter"/>
      <w:start w:val="1"/>
    </w:lvl>
    <w:lvl w:ilvl="1">
      <w:lvlJc w:val="left"/>
      <w:lvlText w:val="(%2)"/>
      <w:numFmt w:val="lowerRoman"/>
      <w:start w:val="7"/>
    </w:lvl>
  </w:abstractNum>
  <w:abstractNum w:abstractNumId="97">
    <w:nsid w:val="5092CA79"/>
    <w:multiLevelType w:val="hybridMultilevel"/>
    <w:lvl w:ilvl="0">
      <w:lvlJc w:val="left"/>
      <w:lvlText w:val="(%1)"/>
      <w:numFmt w:val="lowerLetter"/>
      <w:start w:val="2"/>
    </w:lvl>
    <w:lvl w:ilvl="1">
      <w:lvlJc w:val="left"/>
      <w:lvlText w:val="%2"/>
      <w:numFmt w:val="lowerRoman"/>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lowerLetter"/>
      <w:start w:val="1"/>
    </w:lvl>
    <w:lvl w:ilvl="1">
      <w:lvlJc w:val="left"/>
      <w:lvlText w:val="(%2)"/>
      <w:numFmt w:val="decimal"/>
      <w:start w:val="3"/>
    </w:lvl>
  </w:abstractNum>
  <w:abstractNum w:abstractNumId="100">
    <w:nsid w:val="288F1A34"/>
    <w:multiLevelType w:val="hybridMultilevel"/>
    <w:lvl w:ilvl="0">
      <w:lvlJc w:val="left"/>
      <w:lvlText w:val="(%1)"/>
      <w:numFmt w:val="lowerLetter"/>
      <w:start w:val="4"/>
    </w:lvl>
    <w:lvl w:ilvl="1">
      <w:lvlJc w:val="left"/>
      <w:lvlText w:val="%2"/>
      <w:numFmt w:val="decimal"/>
      <w:start w:val="1"/>
    </w:lvl>
  </w:abstractNum>
  <w:abstractNum w:abstractNumId="101">
    <w:nsid w:val="2A155DBC"/>
    <w:multiLevelType w:val="hybridMultilevel"/>
    <w:lvl w:ilvl="0">
      <w:lvlJc w:val="left"/>
      <w:lvlText w:val="(%1)"/>
      <w:numFmt w:val="lowerRoman"/>
      <w:start w:val="1"/>
    </w:lvl>
    <w:lvl w:ilvl="1">
      <w:lvlJc w:val="left"/>
      <w:lvlText w:val="(%2)"/>
      <w:numFmt w:val="upperLetter"/>
      <w:start w:val="1"/>
    </w:lvl>
  </w:abstractNum>
  <w:abstractNum w:abstractNumId="102">
    <w:nsid w:val="1D9F6E5F"/>
    <w:multiLevelType w:val="hybridMultilevel"/>
    <w:lvl w:ilvl="0">
      <w:lvlJc w:val="left"/>
      <w:lvlText w:val="(%1)"/>
      <w:numFmt w:val="lowerRoman"/>
      <w:start w:val="2"/>
    </w:lvl>
  </w:abstractNum>
  <w:abstractNum w:abstractNumId="103">
    <w:nsid w:val="97E1B4E"/>
    <w:multiLevelType w:val="hybridMultilevel"/>
    <w:lvl w:ilvl="0">
      <w:lvlJc w:val="left"/>
      <w:lvlText w:val="(%1)"/>
      <w:numFmt w:val="lowerRoman"/>
      <w:start w:val="3"/>
    </w:lvl>
    <w:lvl w:ilvl="1">
      <w:lvlJc w:val="left"/>
      <w:lvlText w:val="(%2)"/>
      <w:numFmt w:val="upperLetter"/>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1"/>
    </w:lvl>
    <w:lvl w:ilvl="1">
      <w:lvlJc w:val="left"/>
      <w:lvlText w:val="(%2)"/>
      <w:numFmt w:val="lowerLetter"/>
      <w:start w:val="5"/>
    </w:lvl>
  </w:abstractNum>
  <w:abstractNum w:abstractNumId="106">
    <w:nsid w:val="53584BCB"/>
    <w:multiLevelType w:val="hybridMultilevel"/>
    <w:lvl w:ilvl="0">
      <w:lvlJc w:val="left"/>
      <w:lvlText w:val="%1."/>
      <w:numFmt w:val="decimal"/>
      <w:start w:val="7"/>
    </w:lvl>
    <w:lvl w:ilvl="1">
      <w:lvlJc w:val="left"/>
      <w:lvlText w:val="%2"/>
      <w:numFmt w:val="lowerLetter"/>
      <w:start w:val="1"/>
    </w:lvl>
  </w:abstractNum>
  <w:abstractNum w:abstractNumId="107">
    <w:nsid w:val="415E286C"/>
    <w:multiLevelType w:val="hybridMultilevel"/>
    <w:lvl w:ilvl="0">
      <w:lvlJc w:val="left"/>
      <w:lvlText w:val="%1."/>
      <w:numFmt w:val="decimal"/>
      <w:start w:val="8"/>
    </w:lvl>
    <w:lvl w:ilvl="1">
      <w:lvlJc w:val="left"/>
      <w:lvlText w:val="(%2)"/>
      <w:numFmt w:val="lowerLetter"/>
      <w:start w:val="1"/>
    </w:lvl>
  </w:abstractNum>
  <w:abstractNum w:abstractNumId="108">
    <w:nsid w:val="7C58FD05"/>
    <w:multiLevelType w:val="hybridMultilevel"/>
    <w:lvl w:ilvl="0">
      <w:lvlJc w:val="left"/>
      <w:lvlText w:val="%1"/>
      <w:numFmt w:val="decimal"/>
      <w:start w:val="1"/>
    </w:lvl>
    <w:lvl w:ilvl="1">
      <w:lvlJc w:val="left"/>
      <w:lvlText w:val="(%2)"/>
      <w:numFmt w:val="lowerLetter"/>
      <w:start w:val="2"/>
    </w:lvl>
  </w:abstractNum>
  <w:abstractNum w:abstractNumId="109">
    <w:nsid w:val="23D86AAC"/>
    <w:multiLevelType w:val="hybridMultilevel"/>
    <w:lvl w:ilvl="0">
      <w:lvlJc w:val="left"/>
      <w:lvlText w:val="%1."/>
      <w:numFmt w:val="decimal"/>
      <w:start w:val="12"/>
    </w:lvl>
    <w:lvl w:ilvl="1">
      <w:lvlJc w:val="left"/>
      <w:lvlText w:val="%2"/>
      <w:numFmt w:val="lowerLetter"/>
      <w:start w:val="1"/>
    </w:lvl>
  </w:abstractNum>
  <w:abstractNum w:abstractNumId="110">
    <w:nsid w:val="45E6D486"/>
    <w:multiLevelType w:val="hybridMultilevel"/>
    <w:lvl w:ilvl="0">
      <w:lvlJc w:val="left"/>
      <w:lvlText w:val="%1."/>
      <w:numFmt w:val="decimal"/>
      <w:start w:val="16"/>
    </w:lvl>
  </w:abstractNum>
  <w:abstractNum w:abstractNumId="111">
    <w:nsid w:val="5C10FE21"/>
    <w:multiLevelType w:val="hybridMultilevel"/>
    <w:lvl w:ilvl="0">
      <w:lvlJc w:val="left"/>
      <w:lvlText w:val="%1."/>
      <w:numFmt w:val="decimal"/>
      <w:start w:val="19"/>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2019-12-09T11:11:53Z</dcterms:created>
  <dcterms:modified xsi:type="dcterms:W3CDTF">2019-12-09T11:11:53Z</dcterms:modified>
</cp:coreProperties>
</file>