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4.0 -->
  <w:body>
    <w:tbl>
      <w:tblPr>
        <w:tblStyle w:val="TableNormal0"/>
        <w:tblW w:w="10575" w:type="dxa"/>
        <w:jc w:val="center"/>
        <w:tblLayout w:type="fixed"/>
      </w:tblPr>
      <w:tblGrid>
        <w:gridCol w:w="10575"/>
      </w:tblGrid>
      <w:tr>
        <w:tblPrEx>
          <w:tblW w:w="10575" w:type="dxa"/>
          <w:tblLayout w:type="fixed"/>
        </w:tblPrEx>
        <w:trPr>
          <w:trHeight w:hRule="exact" w:val="75"/>
        </w:trPr>
        <w:tc>
          <w:tcPr>
            <w:tcW w:w="10575" w:type="dxa"/>
            <w:tcBorders>
              <w:top w:val="nil"/>
              <w:left w:val="nil"/>
              <w:bottom w:val="double" w:sz="8" w:space="0" w:color="000000"/>
              <w:right w:val="nil"/>
            </w:tcBorders>
            <w:tcMar>
              <w:top w:w="0" w:type="dxa"/>
              <w:left w:w="0" w:type="dxa"/>
              <w:bottom w:w="0" w:type="dxa"/>
              <w:right w:w="0" w:type="dxa"/>
            </w:tcMar>
            <w:vAlign w:val="bottom"/>
          </w:tcPr>
          <w:p>
            <w:pPr>
              <w:pageBreakBefore w:val="0"/>
              <w:spacing w:before="0" w:after="0"/>
            </w:pPr>
          </w:p>
        </w:tc>
      </w:tr>
    </w:tbl>
    <w:p>
      <w:pPr>
        <w:keepNext w:val="0"/>
        <w:keepLines w:val="0"/>
        <w:pageBreakBefore w:val="0"/>
        <w:widowControl/>
        <w:numPr>
          <w:ilvl w:val="0"/>
          <w:numId w:val="0"/>
        </w:numPr>
        <w:tabs>
          <w:tab w:val="center" w:pos="5120"/>
          <w:tab w:val="center" w:pos="9720"/>
        </w:tabs>
        <w:spacing w:before="120" w:after="0" w:line="288" w:lineRule="auto"/>
        <w:ind w:left="0" w:right="0" w:firstLine="0"/>
        <w:jc w:val="center"/>
        <w:outlineLvl w:val="0"/>
        <w:rPr>
          <w:rFonts w:ascii="Times New Roman" w:eastAsia="Times New Roman" w:hAnsi="Times New Roman" w:cs="Times New Roman"/>
          <w:b/>
          <w:i w:val="0"/>
          <w:sz w:val="32"/>
        </w:rPr>
      </w:pPr>
      <w:r>
        <w:rPr>
          <w:rFonts w:ascii="Times New Roman" w:eastAsia="Times New Roman" w:hAnsi="Times New Roman" w:cs="Times New Roman"/>
          <w:b/>
          <w:i w:val="0"/>
          <w:sz w:val="32"/>
        </w:rPr>
        <w:t xml:space="preserve"> </w:t>
      </w:r>
      <w:r>
        <w:rPr>
          <w:rFonts w:ascii="Times New Roman" w:eastAsia="Times New Roman" w:hAnsi="Times New Roman" w:cs="Times New Roman"/>
          <w:b/>
          <w:i w:val="0"/>
          <w:sz w:val="32"/>
        </w:rPr>
        <w:t>UNITED STATES</w:t>
      </w:r>
    </w:p>
    <w:p>
      <w:pPr>
        <w:keepNext w:val="0"/>
        <w:keepLines w:val="0"/>
        <w:pageBreakBefore w:val="0"/>
        <w:widowControl/>
        <w:numPr>
          <w:ilvl w:val="0"/>
          <w:numId w:val="0"/>
        </w:numPr>
        <w:tabs>
          <w:tab w:val="center" w:pos="5120"/>
          <w:tab w:val="center" w:pos="9720"/>
        </w:tabs>
        <w:spacing w:before="120" w:after="0" w:line="288" w:lineRule="auto"/>
        <w:ind w:left="0" w:right="0" w:firstLine="0"/>
        <w:jc w:val="center"/>
        <w:outlineLvl w:val="9"/>
        <w:rPr>
          <w:rFonts w:ascii="Times New Roman" w:eastAsia="Times New Roman" w:hAnsi="Times New Roman" w:cs="Times New Roman"/>
          <w:b/>
          <w:i w:val="0"/>
          <w:sz w:val="32"/>
        </w:rPr>
      </w:pPr>
      <w:r>
        <w:rPr>
          <w:rFonts w:ascii="Times New Roman" w:eastAsia="Times New Roman" w:hAnsi="Times New Roman" w:cs="Times New Roman"/>
          <w:b/>
          <w:i w:val="0"/>
          <w:sz w:val="32"/>
        </w:rPr>
        <w:t>SECURITIES AND EXCHANGE COMMISSION</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sz w:val="22"/>
        </w:rPr>
      </w:pPr>
      <w:r>
        <w:rPr>
          <w:rFonts w:ascii="Times New Roman" w:eastAsia="Times New Roman" w:hAnsi="Times New Roman" w:cs="Times New Roman"/>
          <w:b/>
          <w:i w:val="0"/>
          <w:sz w:val="22"/>
        </w:rPr>
        <w:t>Washington, D.C. 20549</w:t>
      </w:r>
    </w:p>
    <w:tbl>
      <w:tblPr>
        <w:tblStyle w:val="TableNormal0"/>
        <w:tblW w:w="4545" w:type="dxa"/>
        <w:jc w:val="center"/>
        <w:tblLayout w:type="fixed"/>
      </w:tblPr>
      <w:tblGrid>
        <w:gridCol w:w="4545"/>
      </w:tblGrid>
      <w:tr>
        <w:tblPrEx>
          <w:tblW w:w="4545" w:type="dxa"/>
          <w:tblLayout w:type="fixed"/>
        </w:tblPrEx>
        <w:trPr>
          <w:trHeight w:hRule="exact" w:val="75"/>
        </w:trPr>
        <w:tc>
          <w:tcPr>
            <w:tcW w:w="4545" w:type="dxa"/>
            <w:tcBorders>
              <w:top w:val="nil"/>
              <w:left w:val="nil"/>
              <w:bottom w:val="single" w:sz="8" w:space="0" w:color="000000"/>
              <w:right w:val="nil"/>
            </w:tcBorders>
            <w:tcMar>
              <w:top w:w="0" w:type="dxa"/>
              <w:left w:w="0" w:type="dxa"/>
              <w:bottom w:w="0" w:type="dxa"/>
              <w:right w:w="0" w:type="dxa"/>
            </w:tcMar>
            <w:vAlign w:val="bottom"/>
          </w:tcPr>
          <w:p>
            <w:pPr>
              <w:pageBreakBefore w:val="0"/>
              <w:spacing w:before="0" w:after="0"/>
            </w:pPr>
          </w:p>
        </w:tc>
      </w:tr>
    </w:tbl>
    <w:p>
      <w:pPr>
        <w:keepNext w:val="0"/>
        <w:keepLines w:val="0"/>
        <w:pageBreakBefore w:val="0"/>
        <w:widowControl/>
        <w:numPr>
          <w:ilvl w:val="0"/>
          <w:numId w:val="0"/>
        </w:numPr>
        <w:spacing w:before="60" w:after="0" w:line="288" w:lineRule="auto"/>
        <w:ind w:left="0" w:right="0" w:firstLine="0"/>
        <w:jc w:val="center"/>
        <w:outlineLvl w:val="9"/>
        <w:rPr>
          <w:rFonts w:ascii="Times New Roman" w:eastAsia="Times New Roman" w:hAnsi="Times New Roman" w:cs="Times New Roman"/>
          <w:b/>
          <w:i w:val="0"/>
          <w:sz w:val="32"/>
        </w:rPr>
      </w:pPr>
      <w:r>
        <w:rPr>
          <w:rFonts w:ascii="Times New Roman" w:eastAsia="Times New Roman" w:hAnsi="Times New Roman" w:cs="Times New Roman"/>
          <w:b/>
          <w:i w:val="0"/>
          <w:sz w:val="32"/>
        </w:rPr>
        <w:t xml:space="preserve">FORM </w:t>
      </w:r>
      <w:r>
        <w:rPr>
          <w:rFonts w:ascii="Times New Roman" w:eastAsia="Times New Roman" w:hAnsi="Times New Roman" w:cs="Times New Roman"/>
          <w:b/>
          <w:i w:val="0"/>
          <w:color w:val="000000"/>
          <w:sz w:val="32"/>
          <w:u w:val="none"/>
        </w:rPr>
        <w:t>10-Q</w:t>
      </w:r>
    </w:p>
    <w:tbl>
      <w:tblPr>
        <w:tblStyle w:val="TableNormal0"/>
        <w:tblW w:w="4545" w:type="dxa"/>
        <w:jc w:val="center"/>
        <w:tblLayout w:type="fixed"/>
      </w:tblPr>
      <w:tblGrid>
        <w:gridCol w:w="4545"/>
      </w:tblGrid>
      <w:tr>
        <w:tblPrEx>
          <w:tblW w:w="4545" w:type="dxa"/>
          <w:tblLayout w:type="fixed"/>
        </w:tblPrEx>
        <w:trPr>
          <w:trHeight w:hRule="exact" w:val="75"/>
        </w:trPr>
        <w:tc>
          <w:tcPr>
            <w:tcW w:w="4545" w:type="dxa"/>
            <w:tcBorders>
              <w:top w:val="nil"/>
              <w:left w:val="nil"/>
              <w:bottom w:val="single" w:sz="8" w:space="0" w:color="000000"/>
              <w:right w:val="nil"/>
            </w:tcBorders>
            <w:tcMar>
              <w:top w:w="0" w:type="dxa"/>
              <w:left w:w="0" w:type="dxa"/>
              <w:bottom w:w="0" w:type="dxa"/>
              <w:right w:w="0" w:type="dxa"/>
            </w:tcMar>
            <w:vAlign w:val="bottom"/>
          </w:tcPr>
          <w:p>
            <w:pPr>
              <w:pageBreakBefore w:val="0"/>
              <w:spacing w:before="0" w:after="0"/>
            </w:pPr>
          </w:p>
        </w:tc>
      </w:tr>
    </w:tbl>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0"/>
        </w:rPr>
      </w:pPr>
    </w:p>
    <w:tbl>
      <w:tblPr>
        <w:tblStyle w:val="TableNormal0"/>
        <w:tblW w:w="10350" w:type="dxa"/>
        <w:jc w:val="center"/>
        <w:tblLayout w:type="fixed"/>
      </w:tblPr>
      <w:tblGrid>
        <w:gridCol w:w="315"/>
        <w:gridCol w:w="10035"/>
      </w:tblGrid>
      <w:tr>
        <w:tblPrEx>
          <w:tblW w:w="10350" w:type="dxa"/>
          <w:tblLayout w:type="fixed"/>
        </w:tblPrEx>
        <w:trPr>
          <w:trHeight w:hRule="exact" w:val="360"/>
        </w:trPr>
        <w:tc>
          <w:tcPr>
            <w:tcW w:w="315" w:type="dxa"/>
            <w:tcBorders>
              <w:top w:val="nil"/>
              <w:left w:val="nil"/>
              <w:bottom w:val="nil"/>
              <w:right w:val="nil"/>
            </w:tcBorders>
            <w:tcMar>
              <w:top w:w="0" w:type="dxa"/>
              <w:left w:w="53" w:type="dxa"/>
              <w:bottom w:w="0" w:type="dxa"/>
              <w:right w:w="53" w:type="dxa"/>
            </w:tcMar>
            <w:vAlign w:val="top"/>
          </w:tcPr>
          <w:p>
            <w:pPr>
              <w:pageBreakBefore w:val="0"/>
              <w:spacing w:before="75" w:after="30" w:line="240" w:lineRule="auto"/>
              <w:jc w:val="left"/>
            </w:pPr>
            <w:r>
              <w:rPr>
                <w:rFonts w:ascii="Myriad Pro" w:eastAsia="Myriad Pro" w:hAnsi="Myriad Pro" w:cs="Myriad Pro"/>
                <w:b w:val="0"/>
                <w:i w:val="0"/>
                <w:color w:val="000000"/>
                <w:sz w:val="24"/>
                <w:u w:val="none"/>
              </w:rPr>
              <w:t>☒</w:t>
            </w:r>
          </w:p>
        </w:tc>
        <w:tc>
          <w:tcPr>
            <w:tcW w:w="10035" w:type="dxa"/>
            <w:tcBorders>
              <w:top w:val="nil"/>
              <w:left w:val="nil"/>
              <w:bottom w:val="nil"/>
              <w:right w:val="nil"/>
            </w:tcBorders>
            <w:tcMar>
              <w:top w:w="0" w:type="dxa"/>
              <w:left w:w="53" w:type="dxa"/>
              <w:bottom w:w="0" w:type="dxa"/>
              <w:right w:w="53" w:type="dxa"/>
            </w:tcMar>
            <w:vAlign w:val="top"/>
          </w:tcPr>
          <w:p>
            <w:pPr>
              <w:pageBreakBefore w:val="0"/>
              <w:spacing w:before="75" w:after="30" w:line="240" w:lineRule="auto"/>
              <w:jc w:val="left"/>
            </w:pPr>
            <w:r>
              <w:rPr>
                <w:rFonts w:ascii="Times New Roman" w:eastAsia="Times New Roman" w:hAnsi="Times New Roman" w:cs="Times New Roman"/>
                <w:b/>
                <w:i w:val="0"/>
                <w:color w:val="000000"/>
                <w:sz w:val="18"/>
                <w:u w:val="none"/>
              </w:rPr>
              <w:t>QUARTERLY REPORT PURSUANT TO SECTION 13 OR 15(d) OF THE SECURITIES EXCHANGE ACT OF 1934</w:t>
            </w:r>
          </w:p>
        </w:tc>
      </w:tr>
    </w:tbl>
    <w:p>
      <w:pPr>
        <w:keepNext w:val="0"/>
        <w:keepLines w:val="0"/>
        <w:pageBreakBefore w:val="0"/>
        <w:widowControl/>
        <w:numPr>
          <w:ilvl w:val="0"/>
          <w:numId w:val="0"/>
        </w:numPr>
        <w:tabs>
          <w:tab w:val="left" w:pos="9980"/>
        </w:tabs>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For the quarterly period ended </w:t>
      </w:r>
      <w:r>
        <w:rPr>
          <w:rFonts w:ascii="Times New Roman" w:eastAsia="Times New Roman" w:hAnsi="Times New Roman" w:cs="Times New Roman"/>
          <w:b/>
          <w:i w:val="0"/>
          <w:color w:val="000000"/>
          <w:sz w:val="20"/>
          <w:u w:val="none"/>
        </w:rPr>
        <w:t>June 30, 2026</w:t>
      </w:r>
    </w:p>
    <w:p>
      <w:pPr>
        <w:keepNext w:val="0"/>
        <w:keepLines w:val="0"/>
        <w:pageBreakBefore w:val="0"/>
        <w:widowControl w:val="0"/>
        <w:numPr>
          <w:ilvl w:val="0"/>
          <w:numId w:val="0"/>
        </w:numPr>
        <w:spacing w:before="6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OR</w:t>
      </w:r>
    </w:p>
    <w:tbl>
      <w:tblPr>
        <w:tblStyle w:val="TableNormal0"/>
        <w:tblW w:w="10350" w:type="dxa"/>
        <w:jc w:val="center"/>
        <w:tblLayout w:type="fixed"/>
      </w:tblPr>
      <w:tblGrid>
        <w:gridCol w:w="315"/>
        <w:gridCol w:w="10035"/>
      </w:tblGrid>
      <w:tr>
        <w:tblPrEx>
          <w:tblW w:w="10350" w:type="dxa"/>
          <w:tblLayout w:type="fixed"/>
        </w:tblPrEx>
        <w:trPr>
          <w:trHeight w:hRule="exact" w:val="285"/>
        </w:trPr>
        <w:tc>
          <w:tcPr>
            <w:tcW w:w="315" w:type="dxa"/>
            <w:tcBorders>
              <w:top w:val="nil"/>
              <w:left w:val="nil"/>
              <w:bottom w:val="nil"/>
              <w:right w:val="nil"/>
            </w:tcBorders>
            <w:tcMar>
              <w:top w:w="0" w:type="dxa"/>
              <w:left w:w="53" w:type="dxa"/>
              <w:bottom w:w="0" w:type="dxa"/>
              <w:right w:w="53" w:type="dxa"/>
            </w:tcMar>
            <w:vAlign w:val="top"/>
          </w:tcPr>
          <w:p>
            <w:pPr>
              <w:pageBreakBefore w:val="0"/>
              <w:spacing w:before="75" w:after="30" w:line="240" w:lineRule="auto"/>
              <w:jc w:val="left"/>
            </w:pPr>
            <w:r>
              <w:rPr>
                <w:rFonts w:ascii="Times New Roman" w:eastAsia="Times New Roman" w:hAnsi="Times New Roman" w:cs="Times New Roman"/>
                <w:b w:val="0"/>
                <w:i w:val="0"/>
                <w:color w:val="000000"/>
                <w:sz w:val="18"/>
                <w:u w:val="none"/>
              </w:rPr>
              <w:t>☐</w:t>
            </w:r>
          </w:p>
        </w:tc>
        <w:tc>
          <w:tcPr>
            <w:tcW w:w="10035" w:type="dxa"/>
            <w:tcBorders>
              <w:top w:val="nil"/>
              <w:left w:val="nil"/>
              <w:bottom w:val="nil"/>
              <w:right w:val="nil"/>
            </w:tcBorders>
            <w:tcMar>
              <w:top w:w="0" w:type="dxa"/>
              <w:left w:w="53" w:type="dxa"/>
              <w:bottom w:w="0" w:type="dxa"/>
              <w:right w:w="53" w:type="dxa"/>
            </w:tcMar>
            <w:vAlign w:val="top"/>
          </w:tcPr>
          <w:p>
            <w:pPr>
              <w:pageBreakBefore w:val="0"/>
              <w:spacing w:before="75" w:after="30" w:line="240" w:lineRule="auto"/>
              <w:jc w:val="left"/>
            </w:pPr>
            <w:r>
              <w:rPr>
                <w:rFonts w:ascii="Times New Roman" w:eastAsia="Times New Roman" w:hAnsi="Times New Roman" w:cs="Times New Roman"/>
                <w:b/>
                <w:i w:val="0"/>
                <w:color w:val="000000"/>
                <w:sz w:val="18"/>
                <w:u w:val="none"/>
              </w:rPr>
              <w:t>TRANSITION REPORT PURSUANT TO SECTION 13 OR 15(d) OF THE SECURITIES EXCHANGE ACT OF 1934</w:t>
            </w:r>
          </w:p>
        </w:tc>
      </w:tr>
    </w:tbl>
    <w:p>
      <w:pPr>
        <w:keepNext w:val="0"/>
        <w:keepLines w:val="0"/>
        <w:pageBreakBefore w:val="0"/>
        <w:widowControl/>
        <w:numPr>
          <w:ilvl w:val="0"/>
          <w:numId w:val="0"/>
        </w:numPr>
        <w:spacing w:before="12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For the transition period from </w:t>
      </w:r>
      <w:r>
        <w:rPr>
          <w:rFonts w:ascii="Times New Roman" w:eastAsia="Times New Roman" w:hAnsi="Times New Roman" w:cs="Times New Roman"/>
          <w:b/>
          <w:i w:val="0"/>
          <w:color w:val="000000"/>
          <w:sz w:val="20"/>
          <w:u w:val="single"/>
        </w:rPr>
        <w:t>                    </w:t>
      </w:r>
      <w:r>
        <w:rPr>
          <w:rFonts w:ascii="Times New Roman" w:eastAsia="Times New Roman" w:hAnsi="Times New Roman" w:cs="Times New Roman"/>
          <w:b/>
          <w:i w:val="0"/>
          <w:sz w:val="20"/>
        </w:rPr>
        <w:t xml:space="preserve"> to </w:t>
      </w:r>
      <w:r>
        <w:rPr>
          <w:rFonts w:ascii="Times New Roman" w:eastAsia="Times New Roman" w:hAnsi="Times New Roman" w:cs="Times New Roman"/>
          <w:b/>
          <w:i w:val="0"/>
          <w:color w:val="000000"/>
          <w:sz w:val="20"/>
          <w:u w:val="single"/>
        </w:rPr>
        <w:t>                    </w:t>
      </w:r>
    </w:p>
    <w:p>
      <w:pPr>
        <w:keepNext w:val="0"/>
        <w:keepLines w:val="0"/>
        <w:pageBreakBefore w:val="0"/>
        <w:widowControl/>
        <w:numPr>
          <w:ilvl w:val="0"/>
          <w:numId w:val="0"/>
        </w:numPr>
        <w:spacing w:before="12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 xml:space="preserve">Commission File Number </w:t>
      </w:r>
      <w:r>
        <w:rPr>
          <w:rFonts w:ascii="Times New Roman" w:eastAsia="Times New Roman" w:hAnsi="Times New Roman" w:cs="Times New Roman"/>
          <w:b/>
          <w:i w:val="0"/>
          <w:color w:val="000000"/>
          <w:sz w:val="20"/>
          <w:u w:val="none"/>
        </w:rPr>
        <w:t>001-39268</w:t>
      </w:r>
    </w:p>
    <w:tbl>
      <w:tblPr>
        <w:tblStyle w:val="TableNormal0"/>
        <w:tblW w:w="4545" w:type="dxa"/>
        <w:jc w:val="center"/>
        <w:tblLayout w:type="fixed"/>
      </w:tblPr>
      <w:tblGrid>
        <w:gridCol w:w="4545"/>
      </w:tblGrid>
      <w:tr>
        <w:tblPrEx>
          <w:tblW w:w="4545" w:type="dxa"/>
          <w:tblLayout w:type="fixed"/>
        </w:tblPrEx>
        <w:trPr>
          <w:trHeight w:hRule="exact" w:val="75"/>
        </w:trPr>
        <w:tc>
          <w:tcPr>
            <w:tcW w:w="4545" w:type="dxa"/>
            <w:tcBorders>
              <w:top w:val="nil"/>
              <w:left w:val="nil"/>
              <w:bottom w:val="single" w:sz="8" w:space="0" w:color="000000"/>
              <w:right w:val="nil"/>
            </w:tcBorders>
            <w:tcMar>
              <w:top w:w="0" w:type="dxa"/>
              <w:left w:w="0" w:type="dxa"/>
              <w:bottom w:w="0" w:type="dxa"/>
              <w:right w:w="0" w:type="dxa"/>
            </w:tcMar>
            <w:vAlign w:val="bottom"/>
          </w:tcPr>
          <w:p>
            <w:pPr>
              <w:pageBreakBefore w:val="0"/>
              <w:spacing w:before="0" w:after="0"/>
            </w:pPr>
          </w:p>
        </w:tc>
      </w:tr>
    </w:tbl>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49pt;height:47.52pt">
            <v:imagedata r:id="rId4" o:title=""/>
            <o:lock v:ext="edit" aspectratio="t"/>
          </v:shape>
        </w:pict>
      </w:r>
      <w:r>
        <w:rPr>
          <w:rFonts w:ascii="Times New Roman" w:eastAsia="Times New Roman" w:hAnsi="Times New Roman" w:cs="Times New Roman"/>
          <w:b w:val="0"/>
          <w:i w:val="0"/>
          <w:sz w:val="24"/>
        </w:rPr>
        <w:t> </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color w:val="000000"/>
          <w:sz w:val="36"/>
          <w:u w:val="none"/>
        </w:rPr>
      </w:pPr>
      <w:r>
        <w:rPr>
          <w:rFonts w:ascii="Times New Roman" w:eastAsia="Times New Roman" w:hAnsi="Times New Roman" w:cs="Times New Roman"/>
          <w:b/>
          <w:i w:val="0"/>
          <w:color w:val="000000"/>
          <w:sz w:val="36"/>
          <w:u w:val="none"/>
        </w:rPr>
        <w:t>NN, Inc.</w:t>
      </w:r>
    </w:p>
    <w:p>
      <w:pPr>
        <w:keepNext w:val="0"/>
        <w:keepLines w:val="0"/>
        <w:pageBreakBefore w:val="0"/>
        <w:widowControl/>
        <w:numPr>
          <w:ilvl w:val="0"/>
          <w:numId w:val="0"/>
        </w:numPr>
        <w:spacing w:before="0" w:after="6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(Exact name of registrant as specified in its charter)</w:t>
      </w:r>
    </w:p>
    <w:tbl>
      <w:tblPr>
        <w:tblStyle w:val="TableNormal0"/>
        <w:tblW w:w="4545" w:type="dxa"/>
        <w:jc w:val="center"/>
        <w:tblLayout w:type="fixed"/>
      </w:tblPr>
      <w:tblGrid>
        <w:gridCol w:w="4545"/>
      </w:tblGrid>
      <w:tr>
        <w:tblPrEx>
          <w:tblW w:w="4545" w:type="dxa"/>
          <w:tblLayout w:type="fixed"/>
        </w:tblPrEx>
        <w:trPr>
          <w:trHeight w:hRule="exact" w:val="75"/>
        </w:trPr>
        <w:tc>
          <w:tcPr>
            <w:tcW w:w="4545" w:type="dxa"/>
            <w:tcBorders>
              <w:top w:val="nil"/>
              <w:left w:val="nil"/>
              <w:bottom w:val="single" w:sz="8" w:space="0" w:color="000000"/>
              <w:right w:val="nil"/>
            </w:tcBorders>
            <w:tcMar>
              <w:top w:w="0" w:type="dxa"/>
              <w:left w:w="0" w:type="dxa"/>
              <w:bottom w:w="0" w:type="dxa"/>
              <w:right w:w="0" w:type="dxa"/>
            </w:tcMar>
            <w:vAlign w:val="bottom"/>
          </w:tcPr>
          <w:p>
            <w:pPr>
              <w:pageBreakBefore w:val="0"/>
              <w:spacing w:before="0" w:after="0"/>
              <w:rPr>
                <w:sz w:val="20"/>
              </w:rPr>
            </w:pPr>
          </w:p>
        </w:tc>
      </w:tr>
    </w:tbl>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10"/>
        </w:rPr>
      </w:pPr>
    </w:p>
    <w:tbl>
      <w:tblPr>
        <w:tblStyle w:val="TableNormal0"/>
        <w:tblW w:w="10200" w:type="dxa"/>
        <w:jc w:val="center"/>
        <w:tblLayout w:type="fixed"/>
      </w:tblPr>
      <w:tblGrid>
        <w:gridCol w:w="5040"/>
        <w:gridCol w:w="285"/>
        <w:gridCol w:w="4875"/>
      </w:tblGrid>
      <w:tr>
        <w:tblPrEx>
          <w:tblW w:w="10200" w:type="dxa"/>
          <w:tblLayout w:type="fixed"/>
        </w:tblPrEx>
        <w:trPr>
          <w:trHeight w:hRule="exact" w:val="285"/>
        </w:trPr>
        <w:tc>
          <w:tcPr>
            <w:tcW w:w="5040" w:type="dxa"/>
            <w:tcBorders>
              <w:top w:val="nil"/>
              <w:left w:val="nil"/>
              <w:bottom w:val="nil"/>
              <w:right w:val="nil"/>
            </w:tcBorders>
            <w:tcMar>
              <w:top w:w="0" w:type="dxa"/>
              <w:left w:w="53" w:type="dxa"/>
              <w:bottom w:w="0" w:type="dxa"/>
              <w:right w:w="53" w:type="dxa"/>
            </w:tcMar>
            <w:vAlign w:val="top"/>
          </w:tcPr>
          <w:p>
            <w:pPr>
              <w:keepNext/>
              <w:pageBreakBefore w:val="0"/>
              <w:spacing w:before="75" w:after="30" w:line="240" w:lineRule="auto"/>
              <w:jc w:val="center"/>
            </w:pPr>
            <w:r>
              <w:rPr>
                <w:rFonts w:ascii="Times New Roman" w:eastAsia="Times New Roman" w:hAnsi="Times New Roman" w:cs="Times New Roman"/>
                <w:b/>
                <w:i w:val="0"/>
                <w:color w:val="000000"/>
                <w:sz w:val="20"/>
                <w:u w:val="none"/>
              </w:rPr>
              <w:t>Delaware</w:t>
            </w:r>
          </w:p>
        </w:tc>
        <w:tc>
          <w:tcPr>
            <w:tcW w:w="28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 </w:t>
            </w:r>
          </w:p>
        </w:tc>
        <w:tc>
          <w:tcPr>
            <w:tcW w:w="4875" w:type="dxa"/>
            <w:tcBorders>
              <w:top w:val="nil"/>
              <w:left w:val="nil"/>
              <w:bottom w:val="nil"/>
              <w:right w:val="nil"/>
            </w:tcBorders>
            <w:tcMar>
              <w:top w:w="0" w:type="dxa"/>
              <w:left w:w="53" w:type="dxa"/>
              <w:bottom w:w="0" w:type="dxa"/>
              <w:right w:w="53" w:type="dxa"/>
            </w:tcMar>
            <w:vAlign w:val="top"/>
          </w:tcPr>
          <w:p>
            <w:pPr>
              <w:keepNext/>
              <w:pageBreakBefore w:val="0"/>
              <w:spacing w:before="75" w:after="30" w:line="240" w:lineRule="auto"/>
              <w:jc w:val="center"/>
            </w:pPr>
            <w:r>
              <w:rPr>
                <w:rFonts w:ascii="Times New Roman" w:eastAsia="Times New Roman" w:hAnsi="Times New Roman" w:cs="Times New Roman"/>
                <w:b/>
                <w:i w:val="0"/>
                <w:color w:val="000000"/>
                <w:sz w:val="20"/>
                <w:u w:val="none"/>
              </w:rPr>
              <w:t>62-1096725</w:t>
            </w:r>
          </w:p>
        </w:tc>
      </w:tr>
      <w:tr>
        <w:tblPrEx>
          <w:tblW w:w="10200" w:type="dxa"/>
          <w:tblLayout w:type="fixed"/>
        </w:tblPrEx>
        <w:trPr>
          <w:trHeight w:hRule="exact" w:val="465"/>
        </w:trPr>
        <w:tc>
          <w:tcPr>
            <w:tcW w:w="5040" w:type="dxa"/>
            <w:tcBorders>
              <w:top w:val="nil"/>
              <w:left w:val="nil"/>
              <w:bottom w:val="nil"/>
              <w:right w:val="nil"/>
            </w:tcBorders>
            <w:tcMar>
              <w:top w:w="0" w:type="dxa"/>
              <w:left w:w="53" w:type="dxa"/>
              <w:bottom w:w="0" w:type="dxa"/>
              <w:right w:w="53" w:type="dxa"/>
            </w:tcMar>
            <w:vAlign w:val="bottom"/>
          </w:tcPr>
          <w:p>
            <w:pPr>
              <w:pageBreakBefore w:val="0"/>
              <w:spacing w:before="75" w:line="240" w:lineRule="auto"/>
              <w:jc w:val="center"/>
            </w:pPr>
            <w:r>
              <w:rPr>
                <w:rFonts w:ascii="Times New Roman" w:eastAsia="Times New Roman" w:hAnsi="Times New Roman" w:cs="Times New Roman"/>
                <w:b w:val="0"/>
                <w:i/>
                <w:color w:val="000000"/>
                <w:sz w:val="20"/>
                <w:u w:val="none"/>
              </w:rPr>
              <w:t>(State or other jurisdiction of</w:t>
            </w:r>
          </w:p>
          <w:p>
            <w:pPr>
              <w:spacing w:after="30" w:line="240" w:lineRule="auto"/>
              <w:jc w:val="center"/>
            </w:pPr>
            <w:r>
              <w:rPr>
                <w:rFonts w:ascii="Times New Roman" w:eastAsia="Times New Roman" w:hAnsi="Times New Roman" w:cs="Times New Roman"/>
                <w:b w:val="0"/>
                <w:i/>
                <w:color w:val="000000"/>
                <w:sz w:val="20"/>
                <w:u w:val="none"/>
              </w:rPr>
              <w:t>incorporation or organization)</w:t>
            </w:r>
          </w:p>
        </w:tc>
        <w:tc>
          <w:tcPr>
            <w:tcW w:w="285" w:type="dxa"/>
            <w:tcBorders>
              <w:top w:val="nil"/>
              <w:left w:val="nil"/>
              <w:bottom w:val="nil"/>
              <w:right w:val="nil"/>
            </w:tcBorders>
            <w:tcMar>
              <w:top w:w="0" w:type="dxa"/>
              <w:left w:w="53" w:type="dxa"/>
              <w:bottom w:w="0" w:type="dxa"/>
              <w:right w:w="53" w:type="dxa"/>
            </w:tcMar>
            <w:vAlign w:val="bottom"/>
          </w:tcPr>
          <w:p>
            <w:pPr>
              <w:pageBreakBefore w:val="0"/>
              <w:spacing w:before="75" w:after="30" w:line="240" w:lineRule="auto"/>
              <w:jc w:val="left"/>
            </w:pPr>
            <w:r>
              <w:rPr>
                <w:rFonts w:ascii="Times New Roman" w:eastAsia="Times New Roman" w:hAnsi="Times New Roman" w:cs="Times New Roman"/>
                <w:b w:val="0"/>
                <w:i w:val="0"/>
                <w:color w:val="000000"/>
                <w:sz w:val="20"/>
                <w:u w:val="none"/>
              </w:rPr>
              <w:t> </w:t>
            </w:r>
          </w:p>
        </w:tc>
        <w:tc>
          <w:tcPr>
            <w:tcW w:w="4875" w:type="dxa"/>
            <w:tcBorders>
              <w:top w:val="nil"/>
              <w:left w:val="nil"/>
              <w:bottom w:val="nil"/>
              <w:right w:val="nil"/>
            </w:tcBorders>
            <w:tcMar>
              <w:top w:w="0" w:type="dxa"/>
              <w:left w:w="53" w:type="dxa"/>
              <w:bottom w:w="0" w:type="dxa"/>
              <w:right w:w="53" w:type="dxa"/>
            </w:tcMar>
            <w:vAlign w:val="bottom"/>
          </w:tcPr>
          <w:p>
            <w:pPr>
              <w:pageBreakBefore w:val="0"/>
              <w:spacing w:before="75" w:line="240" w:lineRule="auto"/>
              <w:jc w:val="center"/>
            </w:pPr>
            <w:r>
              <w:rPr>
                <w:rFonts w:ascii="Times New Roman" w:eastAsia="Times New Roman" w:hAnsi="Times New Roman" w:cs="Times New Roman"/>
                <w:b w:val="0"/>
                <w:i/>
                <w:color w:val="000000"/>
                <w:sz w:val="20"/>
                <w:u w:val="none"/>
              </w:rPr>
              <w:t>(I.R.S. Employer</w:t>
            </w:r>
          </w:p>
          <w:p>
            <w:pPr>
              <w:spacing w:after="30" w:line="240" w:lineRule="auto"/>
              <w:jc w:val="center"/>
            </w:pPr>
            <w:r>
              <w:rPr>
                <w:rFonts w:ascii="Times New Roman" w:eastAsia="Times New Roman" w:hAnsi="Times New Roman" w:cs="Times New Roman"/>
                <w:b w:val="0"/>
                <w:i/>
                <w:color w:val="000000"/>
                <w:sz w:val="20"/>
                <w:u w:val="none"/>
              </w:rPr>
              <w:t>Identification No.)</w:t>
            </w:r>
          </w:p>
        </w:tc>
      </w:tr>
    </w:tbl>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6210 Ardrey Kell Road, Suite 120</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Charlotte</w:t>
      </w:r>
      <w:r>
        <w:rPr>
          <w:rFonts w:ascii="Times New Roman" w:eastAsia="Times New Roman" w:hAnsi="Times New Roman" w:cs="Times New Roman"/>
          <w:b/>
          <w:i w:val="0"/>
          <w:sz w:val="20"/>
        </w:rPr>
        <w:t xml:space="preserve">, </w:t>
      </w:r>
      <w:r>
        <w:rPr>
          <w:rFonts w:ascii="Times New Roman" w:eastAsia="Times New Roman" w:hAnsi="Times New Roman" w:cs="Times New Roman"/>
          <w:b/>
          <w:i w:val="0"/>
          <w:color w:val="000000"/>
          <w:sz w:val="20"/>
          <w:u w:val="none"/>
        </w:rPr>
        <w:t>North Carolina</w:t>
      </w:r>
      <w:r>
        <w:rPr>
          <w:rFonts w:ascii="Times New Roman" w:eastAsia="Times New Roman" w:hAnsi="Times New Roman" w:cs="Times New Roman"/>
          <w:b/>
          <w:i w:val="0"/>
          <w:sz w:val="20"/>
        </w:rPr>
        <w:t xml:space="preserve"> </w:t>
      </w:r>
      <w:r>
        <w:rPr>
          <w:rFonts w:ascii="Times New Roman" w:eastAsia="Times New Roman" w:hAnsi="Times New Roman" w:cs="Times New Roman"/>
          <w:b/>
          <w:i w:val="0"/>
          <w:color w:val="000000"/>
          <w:sz w:val="20"/>
          <w:u w:val="none"/>
        </w:rPr>
        <w:t>28277</w:t>
      </w:r>
    </w:p>
    <w:p>
      <w:pPr>
        <w:keepNext w:val="0"/>
        <w:keepLines w:val="0"/>
        <w:pageBreakBefore w:val="0"/>
        <w:widowControl/>
        <w:numPr>
          <w:ilvl w:val="0"/>
          <w:numId w:val="0"/>
        </w:numPr>
        <w:spacing w:before="120" w:after="0" w:line="288" w:lineRule="auto"/>
        <w:ind w:left="0" w:right="0" w:firstLine="0"/>
        <w:jc w:val="center"/>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sz w:val="20"/>
        </w:rPr>
        <w:t>(Address of principal executive offices, including zip code)</w:t>
      </w:r>
    </w:p>
    <w:p>
      <w:pPr>
        <w:keepNext w:val="0"/>
        <w:keepLines w:val="0"/>
        <w:pageBreakBefore w:val="0"/>
        <w:widowControl/>
        <w:numPr>
          <w:ilvl w:val="0"/>
          <w:numId w:val="0"/>
        </w:numPr>
        <w:spacing w:before="60" w:after="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sz w:val="20"/>
        </w:rPr>
        <w:t>(</w:t>
      </w:r>
      <w:r>
        <w:rPr>
          <w:rFonts w:ascii="Times New Roman" w:eastAsia="Times New Roman" w:hAnsi="Times New Roman" w:cs="Times New Roman"/>
          <w:b/>
          <w:i w:val="0"/>
          <w:color w:val="000000"/>
          <w:sz w:val="20"/>
          <w:u w:val="none"/>
        </w:rPr>
        <w:t>980</w:t>
      </w:r>
      <w:r>
        <w:rPr>
          <w:rFonts w:ascii="Times New Roman" w:eastAsia="Times New Roman" w:hAnsi="Times New Roman" w:cs="Times New Roman"/>
          <w:b/>
          <w:i w:val="0"/>
          <w:sz w:val="20"/>
        </w:rPr>
        <w:t xml:space="preserve">) </w:t>
      </w:r>
      <w:r>
        <w:rPr>
          <w:rFonts w:ascii="Times New Roman" w:eastAsia="Times New Roman" w:hAnsi="Times New Roman" w:cs="Times New Roman"/>
          <w:b/>
          <w:i w:val="0"/>
          <w:color w:val="000000"/>
          <w:sz w:val="20"/>
          <w:u w:val="none"/>
        </w:rPr>
        <w:t>264-4300</w:t>
      </w:r>
    </w:p>
    <w:p>
      <w:pPr>
        <w:keepNext w:val="0"/>
        <w:keepLines w:val="0"/>
        <w:pageBreakBefore w:val="0"/>
        <w:widowControl/>
        <w:numPr>
          <w:ilvl w:val="0"/>
          <w:numId w:val="0"/>
        </w:numPr>
        <w:spacing w:before="120" w:after="60" w:line="288" w:lineRule="auto"/>
        <w:ind w:left="0" w:right="0" w:firstLine="0"/>
        <w:jc w:val="center"/>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sz w:val="20"/>
        </w:rPr>
        <w:t>(Registrant’s telephone number, including area code) </w:t>
      </w:r>
    </w:p>
    <w:tbl>
      <w:tblPr>
        <w:tblStyle w:val="TableNormal0"/>
        <w:tblW w:w="10185" w:type="dxa"/>
        <w:jc w:val="center"/>
        <w:tblLayout w:type="fixed"/>
      </w:tblPr>
      <w:tblGrid>
        <w:gridCol w:w="3435"/>
        <w:gridCol w:w="75"/>
        <w:gridCol w:w="3240"/>
        <w:gridCol w:w="75"/>
        <w:gridCol w:w="3360"/>
      </w:tblGrid>
      <w:tr>
        <w:tblPrEx>
          <w:tblW w:w="10185" w:type="dxa"/>
          <w:tblLayout w:type="fixed"/>
        </w:tblPrEx>
        <w:trPr>
          <w:trHeight w:hRule="auto" w:val="0"/>
        </w:trPr>
        <w:tc>
          <w:tcPr>
            <w:tcW w:w="10185" w:type="dxa"/>
            <w:gridSpan w:val="5"/>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20"/>
                <w:u w:val="none"/>
              </w:rPr>
              <w:t>Securities registered pursuant to Section 12(b) of the Act:</w:t>
            </w:r>
          </w:p>
        </w:tc>
      </w:tr>
      <w:tr>
        <w:tblPrEx>
          <w:tblW w:w="10185" w:type="dxa"/>
          <w:tblLayout w:type="fixed"/>
        </w:tblPrEx>
        <w:trPr>
          <w:trHeight w:hRule="auto" w:val="0"/>
        </w:trPr>
        <w:tc>
          <w:tcPr>
            <w:tcW w:w="3435" w:type="dxa"/>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val="0"/>
                <w:i/>
                <w:color w:val="000000"/>
                <w:sz w:val="16"/>
                <w:u w:val="none"/>
              </w:rPr>
              <w:t>Title of each class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3240" w:type="dxa"/>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val="0"/>
                <w:i/>
                <w:color w:val="000000"/>
                <w:sz w:val="16"/>
                <w:u w:val="none"/>
              </w:rPr>
              <w:t>Trading symbol</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3360" w:type="dxa"/>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val="0"/>
                <w:i/>
                <w:color w:val="000000"/>
                <w:sz w:val="16"/>
                <w:u w:val="none"/>
              </w:rPr>
              <w:t>Name of each exchange on which registered</w:t>
            </w:r>
          </w:p>
        </w:tc>
      </w:tr>
      <w:tr>
        <w:tblPrEx>
          <w:tblW w:w="10185" w:type="dxa"/>
          <w:tblLayout w:type="fixed"/>
        </w:tblPrEx>
        <w:trPr>
          <w:trHeight w:hRule="auto" w:val="0"/>
        </w:trPr>
        <w:tc>
          <w:tcPr>
            <w:tcW w:w="3435" w:type="dxa"/>
            <w:tcBorders>
              <w:top w:val="nil"/>
              <w:left w:val="nil"/>
              <w:bottom w:val="nil"/>
              <w:right w:val="nil"/>
            </w:tcBorders>
            <w:tcMar>
              <w:top w:w="0" w:type="dxa"/>
              <w:left w:w="53" w:type="dxa"/>
              <w:bottom w:w="0" w:type="dxa"/>
              <w:right w:w="53" w:type="dxa"/>
            </w:tcMar>
            <w:vAlign w:val="bottom"/>
          </w:tcPr>
          <w:p>
            <w:pPr>
              <w:pageBreakBefore w:val="0"/>
              <w:spacing w:before="65" w:after="20" w:line="240" w:lineRule="auto"/>
              <w:jc w:val="center"/>
            </w:pPr>
            <w:r>
              <w:rPr>
                <w:rFonts w:ascii="Times New Roman" w:eastAsia="Times New Roman" w:hAnsi="Times New Roman" w:cs="Times New Roman"/>
                <w:b/>
                <w:i w:val="0"/>
                <w:color w:val="000000"/>
                <w:sz w:val="20"/>
                <w:u w:val="none"/>
              </w:rPr>
              <w:t>Common Stock, par value $0.01</w:t>
            </w:r>
          </w:p>
        </w:tc>
        <w:tc>
          <w:tcPr>
            <w:tcW w:w="75" w:type="dxa"/>
            <w:tcBorders>
              <w:top w:val="nil"/>
              <w:left w:val="nil"/>
              <w:bottom w:val="nil"/>
              <w:right w:val="nil"/>
            </w:tcBorders>
            <w:tcMar>
              <w:top w:w="0" w:type="dxa"/>
              <w:left w:w="0" w:type="dxa"/>
              <w:bottom w:w="0" w:type="dxa"/>
              <w:right w:w="0" w:type="dxa"/>
            </w:tcMar>
            <w:vAlign w:val="bottom"/>
          </w:tcPr>
          <w:p>
            <w:pPr>
              <w:pageBreakBefore w:val="0"/>
              <w:spacing w:before="0" w:after="0"/>
              <w:rPr>
                <w:sz w:val="20"/>
              </w:rPr>
            </w:pPr>
          </w:p>
        </w:tc>
        <w:tc>
          <w:tcPr>
            <w:tcW w:w="3240" w:type="dxa"/>
            <w:tcBorders>
              <w:top w:val="nil"/>
              <w:left w:val="nil"/>
              <w:bottom w:val="nil"/>
              <w:right w:val="nil"/>
            </w:tcBorders>
            <w:tcMar>
              <w:top w:w="0" w:type="dxa"/>
              <w:left w:w="53" w:type="dxa"/>
              <w:bottom w:w="0" w:type="dxa"/>
              <w:right w:w="53" w:type="dxa"/>
            </w:tcMar>
            <w:vAlign w:val="bottom"/>
          </w:tcPr>
          <w:p>
            <w:pPr>
              <w:pageBreakBefore w:val="0"/>
              <w:spacing w:before="65" w:after="20" w:line="240" w:lineRule="auto"/>
              <w:jc w:val="center"/>
            </w:pPr>
            <w:r>
              <w:rPr>
                <w:rFonts w:ascii="Times New Roman" w:eastAsia="Times New Roman" w:hAnsi="Times New Roman" w:cs="Times New Roman"/>
                <w:b/>
                <w:i w:val="0"/>
                <w:color w:val="000000"/>
                <w:sz w:val="20"/>
                <w:u w:val="none"/>
              </w:rPr>
              <w:t>NNBR</w:t>
            </w:r>
          </w:p>
        </w:tc>
        <w:tc>
          <w:tcPr>
            <w:tcW w:w="75" w:type="dxa"/>
            <w:tcBorders>
              <w:top w:val="nil"/>
              <w:left w:val="nil"/>
              <w:bottom w:val="nil"/>
              <w:right w:val="nil"/>
            </w:tcBorders>
            <w:tcMar>
              <w:top w:w="0" w:type="dxa"/>
              <w:left w:w="0" w:type="dxa"/>
              <w:bottom w:w="0" w:type="dxa"/>
              <w:right w:w="0" w:type="dxa"/>
            </w:tcMar>
            <w:vAlign w:val="bottom"/>
          </w:tcPr>
          <w:p>
            <w:pPr>
              <w:pageBreakBefore w:val="0"/>
              <w:spacing w:before="0" w:after="0"/>
              <w:rPr>
                <w:sz w:val="20"/>
              </w:rPr>
            </w:pPr>
          </w:p>
        </w:tc>
        <w:tc>
          <w:tcPr>
            <w:tcW w:w="3360" w:type="dxa"/>
            <w:tcBorders>
              <w:top w:val="nil"/>
              <w:left w:val="nil"/>
              <w:bottom w:val="nil"/>
              <w:right w:val="nil"/>
            </w:tcBorders>
            <w:tcMar>
              <w:top w:w="0" w:type="dxa"/>
              <w:left w:w="53" w:type="dxa"/>
              <w:bottom w:w="0" w:type="dxa"/>
              <w:right w:w="53" w:type="dxa"/>
            </w:tcMar>
            <w:vAlign w:val="bottom"/>
          </w:tcPr>
          <w:p>
            <w:pPr>
              <w:pageBreakBefore w:val="0"/>
              <w:spacing w:before="65" w:after="20" w:line="240" w:lineRule="auto"/>
              <w:jc w:val="center"/>
            </w:pPr>
            <w:r>
              <w:rPr>
                <w:rFonts w:ascii="Times New Roman" w:eastAsia="Times New Roman" w:hAnsi="Times New Roman" w:cs="Times New Roman"/>
                <w:b/>
                <w:i w:val="0"/>
                <w:color w:val="000000"/>
                <w:sz w:val="20"/>
                <w:u w:val="none"/>
              </w:rPr>
              <w:t>The Nasdaq Stock Market LLC</w:t>
            </w:r>
          </w:p>
        </w:tc>
      </w:tr>
    </w:tbl>
    <w:p>
      <w:pPr>
        <w:keepNext w:val="0"/>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
      </w:r>
      <w:r>
        <w:rPr>
          <w:rFonts w:ascii="Times New Roman" w:eastAsia="Times New Roman" w:hAnsi="Times New Roman" w:cs="Times New Roman"/>
          <w:b w:val="0"/>
          <w:i w:val="0"/>
          <w:color w:val="000000"/>
          <w:sz w:val="20"/>
          <w:u w:val="none"/>
        </w:rPr>
        <w:t>Yes</w:t>
      </w:r>
      <w:r>
        <w:rPr>
          <w:rFonts w:ascii="Times New Roman" w:eastAsia="Times New Roman" w:hAnsi="Times New Roman" w:cs="Times New Roman"/>
          <w:b w:val="0"/>
          <w:i w:val="0"/>
          <w:sz w:val="20"/>
        </w:rPr>
        <w:t>  </w:t>
      </w:r>
      <w:r>
        <w:rPr>
          <w:rFonts w:ascii="Myriad Pro" w:eastAsia="Myriad Pro" w:hAnsi="Myriad Pro" w:cs="Myriad Pro"/>
          <w:b w:val="0"/>
          <w:i w:val="0"/>
          <w:sz w:val="20"/>
        </w:rPr>
        <w:t>☒</w:t>
      </w:r>
      <w:r>
        <w:rPr>
          <w:rFonts w:ascii="Times New Roman" w:eastAsia="Times New Roman" w:hAnsi="Times New Roman" w:cs="Times New Roman"/>
          <w:b w:val="0"/>
          <w:i w:val="0"/>
          <w:sz w:val="20"/>
        </w:rPr>
        <w:t>    No  ☐</w:t>
      </w:r>
    </w:p>
    <w:p>
      <w:pPr>
        <w:keepNext w:val="0"/>
        <w:keepLines w:val="0"/>
        <w:pageBreakBefore w:val="0"/>
        <w:widowControl/>
        <w:numPr>
          <w:ilvl w:val="0"/>
          <w:numId w:val="0"/>
        </w:numPr>
        <w:spacing w:before="6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 such files).    </w:t>
      </w:r>
      <w:r>
        <w:rPr>
          <w:rFonts w:ascii="Times New Roman" w:eastAsia="Times New Roman" w:hAnsi="Times New Roman" w:cs="Times New Roman"/>
          <w:b w:val="0"/>
          <w:i w:val="0"/>
          <w:color w:val="000000"/>
          <w:sz w:val="20"/>
          <w:u w:val="none"/>
        </w:rPr>
        <w:t>Yes</w:t>
      </w:r>
      <w:r>
        <w:rPr>
          <w:rFonts w:ascii="Times New Roman" w:eastAsia="Times New Roman" w:hAnsi="Times New Roman" w:cs="Times New Roman"/>
          <w:b w:val="0"/>
          <w:i w:val="0"/>
          <w:sz w:val="20"/>
        </w:rPr>
        <w:t>  </w:t>
      </w:r>
      <w:r>
        <w:rPr>
          <w:rFonts w:ascii="Myriad Pro" w:eastAsia="Myriad Pro" w:hAnsi="Myriad Pro" w:cs="Myriad Pro"/>
          <w:b w:val="0"/>
          <w:i w:val="0"/>
          <w:sz w:val="20"/>
        </w:rPr>
        <w:t>☒</w:t>
      </w:r>
      <w:r>
        <w:rPr>
          <w:rFonts w:ascii="Times New Roman" w:eastAsia="Times New Roman" w:hAnsi="Times New Roman" w:cs="Times New Roman"/>
          <w:b w:val="0"/>
          <w:i w:val="0"/>
          <w:sz w:val="20"/>
        </w:rPr>
        <w:t>    No  ☐</w:t>
      </w:r>
    </w:p>
    <w:p>
      <w:pPr>
        <w:keepNext w:val="0"/>
        <w:keepLines w:val="0"/>
        <w:pageBreakBefore w:val="0"/>
        <w:widowControl/>
        <w:numPr>
          <w:ilvl w:val="0"/>
          <w:numId w:val="0"/>
        </w:numPr>
        <w:spacing w:before="6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Indicate by check mark whether the registrant is a large accelerated filer, an accelerated filer, a non-accelerated filer, a smaller reporting company, or an emerging growth company. See definitions of “large accelerated filer,” “accelerated filer,” “smaller reporting company,” and “emerging growth company” in Rule 12b-2 of the Exchange Act. </w:t>
      </w:r>
    </w:p>
    <w:tbl>
      <w:tblPr>
        <w:tblStyle w:val="TableNormal0"/>
        <w:tblW w:w="10350" w:type="dxa"/>
        <w:jc w:val="center"/>
        <w:tblLayout w:type="fixed"/>
      </w:tblPr>
      <w:tblGrid>
        <w:gridCol w:w="2205"/>
        <w:gridCol w:w="165"/>
        <w:gridCol w:w="5145"/>
        <w:gridCol w:w="90"/>
        <w:gridCol w:w="2385"/>
        <w:gridCol w:w="75"/>
        <w:gridCol w:w="285"/>
      </w:tblGrid>
      <w:tr>
        <w:tblPrEx>
          <w:tblW w:w="10350" w:type="dxa"/>
          <w:tblLayout w:type="fixed"/>
        </w:tblPrEx>
        <w:trPr>
          <w:trHeight w:hRule="exact" w:val="285"/>
        </w:trPr>
        <w:tc>
          <w:tcPr>
            <w:tcW w:w="220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Large accelerated filer</w:t>
            </w:r>
          </w:p>
        </w:tc>
        <w:tc>
          <w:tcPr>
            <w:tcW w:w="16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 </w:t>
            </w:r>
          </w:p>
        </w:tc>
        <w:tc>
          <w:tcPr>
            <w:tcW w:w="514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w:t>
            </w:r>
          </w:p>
        </w:tc>
        <w:tc>
          <w:tcPr>
            <w:tcW w:w="90"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20"/>
              </w:rPr>
            </w:pPr>
          </w:p>
        </w:tc>
        <w:tc>
          <w:tcPr>
            <w:tcW w:w="238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Accelerated filer</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20"/>
              </w:rPr>
            </w:pPr>
          </w:p>
        </w:tc>
        <w:tc>
          <w:tcPr>
            <w:tcW w:w="28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w:t>
            </w:r>
          </w:p>
        </w:tc>
      </w:tr>
      <w:tr>
        <w:tblPrEx>
          <w:tblW w:w="10350" w:type="dxa"/>
          <w:tblLayout w:type="fixed"/>
        </w:tblPrEx>
        <w:trPr>
          <w:trHeight w:hRule="exact" w:val="315"/>
        </w:trPr>
        <w:tc>
          <w:tcPr>
            <w:tcW w:w="220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Non-accelerated filer</w:t>
            </w:r>
          </w:p>
        </w:tc>
        <w:tc>
          <w:tcPr>
            <w:tcW w:w="16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 </w:t>
            </w:r>
          </w:p>
        </w:tc>
        <w:tc>
          <w:tcPr>
            <w:tcW w:w="514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Myriad Pro" w:eastAsia="Myriad Pro" w:hAnsi="Myriad Pro" w:cs="Myriad Pro"/>
                <w:b w:val="0"/>
                <w:i w:val="0"/>
                <w:color w:val="000000"/>
                <w:sz w:val="20"/>
                <w:u w:val="none"/>
              </w:rPr>
              <w:t>☒</w:t>
            </w:r>
          </w:p>
        </w:tc>
        <w:tc>
          <w:tcPr>
            <w:tcW w:w="9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38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Smaller reporting company</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8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Myriad Pro" w:eastAsia="Myriad Pro" w:hAnsi="Myriad Pro" w:cs="Myriad Pro"/>
                <w:b w:val="0"/>
                <w:i w:val="0"/>
                <w:color w:val="000000"/>
                <w:sz w:val="20"/>
                <w:u w:val="none"/>
              </w:rPr>
              <w:t>☒</w:t>
            </w:r>
          </w:p>
        </w:tc>
      </w:tr>
      <w:tr>
        <w:tblPrEx>
          <w:tblW w:w="10350" w:type="dxa"/>
          <w:tblLayout w:type="fixed"/>
        </w:tblPrEx>
        <w:trPr>
          <w:trHeight w:hRule="exact" w:val="255"/>
        </w:trPr>
        <w:tc>
          <w:tcPr>
            <w:tcW w:w="2205" w:type="dxa"/>
            <w:tcBorders>
              <w:top w:val="nil"/>
              <w:left w:val="nil"/>
              <w:bottom w:val="nil"/>
              <w:right w:val="nil"/>
            </w:tcBorders>
            <w:tcMar>
              <w:top w:w="0" w:type="dxa"/>
              <w:left w:w="0" w:type="dxa"/>
              <w:bottom w:w="0" w:type="dxa"/>
              <w:right w:w="0" w:type="dxa"/>
            </w:tcMar>
            <w:vAlign w:val="bottom"/>
          </w:tcPr>
          <w:p>
            <w:pPr>
              <w:pageBreakBefore w:val="0"/>
              <w:spacing w:before="0" w:after="0"/>
              <w:rPr>
                <w:sz w:val="20"/>
              </w:rPr>
            </w:pPr>
          </w:p>
        </w:tc>
        <w:tc>
          <w:tcPr>
            <w:tcW w:w="165" w:type="dxa"/>
            <w:tcBorders>
              <w:top w:val="nil"/>
              <w:left w:val="nil"/>
              <w:bottom w:val="nil"/>
              <w:right w:val="nil"/>
            </w:tcBorders>
            <w:tcMar>
              <w:top w:w="0" w:type="dxa"/>
              <w:left w:w="53" w:type="dxa"/>
              <w:bottom w:w="0" w:type="dxa"/>
              <w:right w:w="53" w:type="dxa"/>
            </w:tcMar>
            <w:vAlign w:val="bottom"/>
          </w:tcPr>
          <w:p>
            <w:pPr>
              <w:pageBreakBefore w:val="0"/>
              <w:spacing w:before="75" w:after="30" w:line="240" w:lineRule="auto"/>
              <w:jc w:val="left"/>
            </w:pPr>
            <w:r>
              <w:rPr>
                <w:rFonts w:ascii="Times New Roman" w:eastAsia="Times New Roman" w:hAnsi="Times New Roman" w:cs="Times New Roman"/>
                <w:b w:val="0"/>
                <w:i w:val="0"/>
                <w:color w:val="000000"/>
                <w:sz w:val="20"/>
                <w:u w:val="none"/>
              </w:rPr>
              <w:t> </w:t>
            </w:r>
          </w:p>
        </w:tc>
        <w:tc>
          <w:tcPr>
            <w:tcW w:w="5145" w:type="dxa"/>
            <w:tcBorders>
              <w:top w:val="nil"/>
              <w:left w:val="nil"/>
              <w:bottom w:val="nil"/>
              <w:right w:val="nil"/>
            </w:tcBorders>
            <w:tcMar>
              <w:top w:w="0" w:type="dxa"/>
              <w:left w:w="0" w:type="dxa"/>
              <w:bottom w:w="0" w:type="dxa"/>
              <w:right w:w="0" w:type="dxa"/>
            </w:tcMar>
            <w:vAlign w:val="bottom"/>
          </w:tcPr>
          <w:p>
            <w:pPr>
              <w:pageBreakBefore w:val="0"/>
              <w:spacing w:before="0" w:after="0"/>
              <w:rPr>
                <w:sz w:val="20"/>
              </w:rPr>
            </w:pPr>
          </w:p>
        </w:tc>
        <w:tc>
          <w:tcPr>
            <w:tcW w:w="90" w:type="dxa"/>
            <w:tcBorders>
              <w:top w:val="nil"/>
              <w:left w:val="nil"/>
              <w:bottom w:val="nil"/>
              <w:right w:val="nil"/>
            </w:tcBorders>
            <w:tcMar>
              <w:top w:w="0" w:type="dxa"/>
              <w:left w:w="0" w:type="dxa"/>
              <w:bottom w:w="0" w:type="dxa"/>
              <w:right w:w="0" w:type="dxa"/>
            </w:tcMar>
            <w:vAlign w:val="bottom"/>
          </w:tcPr>
          <w:p>
            <w:pPr>
              <w:pageBreakBefore w:val="0"/>
              <w:spacing w:before="0" w:after="0"/>
              <w:rPr>
                <w:sz w:val="20"/>
              </w:rPr>
            </w:pPr>
          </w:p>
        </w:tc>
        <w:tc>
          <w:tcPr>
            <w:tcW w:w="2385" w:type="dxa"/>
            <w:tcBorders>
              <w:top w:val="nil"/>
              <w:left w:val="nil"/>
              <w:bottom w:val="nil"/>
              <w:right w:val="nil"/>
            </w:tcBorders>
            <w:tcMar>
              <w:top w:w="0" w:type="dxa"/>
              <w:left w:w="53" w:type="dxa"/>
              <w:bottom w:w="0" w:type="dxa"/>
              <w:right w:w="53" w:type="dxa"/>
            </w:tcMar>
            <w:vAlign w:val="bottom"/>
          </w:tcPr>
          <w:p>
            <w:pPr>
              <w:pageBreakBefore w:val="0"/>
              <w:spacing w:before="75" w:after="30" w:line="240" w:lineRule="auto"/>
              <w:jc w:val="left"/>
            </w:pPr>
            <w:r>
              <w:rPr>
                <w:rFonts w:ascii="Times New Roman" w:eastAsia="Times New Roman" w:hAnsi="Times New Roman" w:cs="Times New Roman"/>
                <w:b w:val="0"/>
                <w:i w:val="0"/>
                <w:color w:val="000000"/>
                <w:sz w:val="20"/>
                <w:u w:val="none"/>
              </w:rPr>
              <w:t>Emerging growth company</w:t>
            </w:r>
          </w:p>
        </w:tc>
        <w:tc>
          <w:tcPr>
            <w:tcW w:w="75" w:type="dxa"/>
            <w:tcBorders>
              <w:top w:val="nil"/>
              <w:left w:val="nil"/>
              <w:bottom w:val="nil"/>
              <w:right w:val="nil"/>
            </w:tcBorders>
            <w:tcMar>
              <w:top w:w="0" w:type="dxa"/>
              <w:left w:w="0" w:type="dxa"/>
              <w:bottom w:w="0" w:type="dxa"/>
              <w:right w:w="0" w:type="dxa"/>
            </w:tcMar>
            <w:vAlign w:val="bottom"/>
          </w:tcPr>
          <w:p>
            <w:pPr>
              <w:pageBreakBefore w:val="0"/>
              <w:spacing w:before="0" w:after="0"/>
              <w:rPr>
                <w:sz w:val="20"/>
              </w:rPr>
            </w:pPr>
          </w:p>
        </w:tc>
        <w:tc>
          <w:tcPr>
            <w:tcW w:w="285" w:type="dxa"/>
            <w:tcBorders>
              <w:top w:val="nil"/>
              <w:left w:val="nil"/>
              <w:bottom w:val="nil"/>
              <w:right w:val="nil"/>
            </w:tcBorders>
            <w:tcMar>
              <w:top w:w="0" w:type="dxa"/>
              <w:left w:w="53" w:type="dxa"/>
              <w:bottom w:w="0" w:type="dxa"/>
              <w:right w:w="53" w:type="dxa"/>
            </w:tcMar>
            <w:vAlign w:val="bottom"/>
          </w:tcPr>
          <w:p>
            <w:pPr>
              <w:pageBreakBefore w:val="0"/>
              <w:spacing w:before="75" w:after="30" w:line="240" w:lineRule="auto"/>
              <w:jc w:val="left"/>
            </w:pPr>
            <w:r>
              <w:rPr>
                <w:rFonts w:ascii="Times New Roman" w:eastAsia="Times New Roman" w:hAnsi="Times New Roman" w:cs="Times New Roman"/>
                <w:b w:val="0"/>
                <w:i w:val="0"/>
                <w:color w:val="000000"/>
                <w:sz w:val="20"/>
                <w:u w:val="none"/>
              </w:rPr>
              <w:t>☐</w:t>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If an emerging growth company, indicate by check mark if the registrant has elected not to use the extended transition period for complying with any new or revised financial accounting standards provided pursuant to Section 13(a) of the Exchange Act   ☐</w:t>
      </w:r>
    </w:p>
    <w:p>
      <w:pPr>
        <w:keepNext w:val="0"/>
        <w:keepLines w:val="0"/>
        <w:pageBreakBefore w:val="0"/>
        <w:widowControl w:val="0"/>
        <w:numPr>
          <w:ilvl w:val="0"/>
          <w:numId w:val="0"/>
        </w:numPr>
        <w:spacing w:before="6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Indicate by check mark whether the registrant is a shell company (as defined in Rule 12b-2 of the Exchange Act).    Yes  </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sz w:val="20"/>
        </w:rPr>
        <w:t>    No  </w:t>
      </w:r>
      <w:r>
        <w:rPr>
          <w:rFonts w:ascii="Myriad Pro" w:eastAsia="Myriad Pro" w:hAnsi="Myriad Pro" w:cs="Myriad Pro"/>
          <w:b w:val="0"/>
          <w:i w:val="0"/>
          <w:color w:val="000000"/>
          <w:sz w:val="20"/>
          <w:u w:val="none"/>
        </w:rPr>
        <w:t>☒</w:t>
      </w:r>
    </w:p>
    <w:p>
      <w:pPr>
        <w:keepNext w:val="0"/>
        <w:keepLines w:val="0"/>
        <w:pageBreakBefore w:val="0"/>
        <w:widowControl/>
        <w:numPr>
          <w:ilvl w:val="0"/>
          <w:numId w:val="0"/>
        </w:numPr>
        <w:spacing w:before="60" w:after="10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00"/>
          <w:sz w:val="20"/>
          <w:u w:val="none"/>
        </w:rPr>
        <w:t xml:space="preserve">As of </w:t>
      </w:r>
      <w:r>
        <w:rPr>
          <w:rFonts w:ascii="Times New Roman" w:eastAsia="Times New Roman" w:hAnsi="Times New Roman" w:cs="Times New Roman"/>
          <w:b w:val="0"/>
          <w:i w:val="0"/>
          <w:color w:val="000000"/>
          <w:sz w:val="20"/>
          <w:u w:val="none"/>
        </w:rPr>
        <w:t>August 5, 2026</w:t>
      </w:r>
      <w:r>
        <w:rPr>
          <w:rFonts w:ascii="Times New Roman" w:eastAsia="Times New Roman" w:hAnsi="Times New Roman" w:cs="Times New Roman"/>
          <w:b w:val="0"/>
          <w:i w:val="0"/>
          <w:color w:val="000000"/>
          <w:sz w:val="20"/>
          <w:u w:val="none"/>
        </w:rPr>
        <w:t xml:space="preserve">, there were </w:t>
      </w:r>
      <w:r>
        <w:rPr>
          <w:rFonts w:ascii="Times New Roman" w:eastAsia="Times New Roman" w:hAnsi="Times New Roman" w:cs="Times New Roman"/>
          <w:b w:val="0"/>
          <w:i w:val="0"/>
          <w:color w:val="000000"/>
          <w:sz w:val="20"/>
          <w:u w:val="none"/>
        </w:rPr>
        <w:t>82,580,864</w:t>
      </w:r>
      <w:r>
        <w:rPr>
          <w:rFonts w:ascii="Times New Roman" w:eastAsia="Times New Roman" w:hAnsi="Times New Roman" w:cs="Times New Roman"/>
          <w:b w:val="0"/>
          <w:i w:val="0"/>
          <w:color w:val="000000"/>
          <w:sz w:val="20"/>
          <w:u w:val="none"/>
        </w:rPr>
        <w:t xml:space="preserve"> shares of the registrant’s common stock, par value $0.01 per share, outstanding.</w:t>
      </w:r>
    </w:p>
    <w:tbl>
      <w:tblPr>
        <w:tblStyle w:val="TableNormal0"/>
        <w:tblW w:w="10800" w:type="dxa"/>
        <w:jc w:val="left"/>
        <w:tblInd w:w="0" w:type="dxa"/>
        <w:tblLayout w:type="fixed"/>
      </w:tblPr>
      <w:tblGrid>
        <w:gridCol w:w="10800"/>
      </w:tblGrid>
      <w:tr>
        <w:tblPrEx>
          <w:tblW w:w="10800" w:type="dxa"/>
          <w:tblInd w:w="0" w:type="dxa"/>
          <w:tblLayout w:type="fixed"/>
        </w:tblPrEx>
        <w:trPr>
          <w:trHeight w:hRule="exact" w:val="75"/>
        </w:trPr>
        <w:tc>
          <w:tcPr>
            <w:tcW w:w="10800" w:type="dxa"/>
            <w:tcBorders>
              <w:top w:val="nil"/>
              <w:left w:val="nil"/>
              <w:bottom w:val="double" w:sz="8" w:space="0" w:color="000000"/>
              <w:right w:val="nil"/>
            </w:tcBorders>
            <w:tcMar>
              <w:top w:w="0" w:type="dxa"/>
              <w:left w:w="0" w:type="dxa"/>
              <w:bottom w:w="0" w:type="dxa"/>
              <w:right w:w="0" w:type="dxa"/>
            </w:tcMar>
            <w:vAlign w:val="bottom"/>
          </w:tcPr>
          <w:p>
            <w:pPr>
              <w:pageBreakBefore w:val="0"/>
              <w:spacing w:before="0" w:after="0"/>
            </w:pP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i w:val="0"/>
          <w:sz w:val="2"/>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i w:val="0"/>
          <w:sz w:val="2"/>
        </w:rPr>
        <w:sectPr>
          <w:headerReference w:type="default" r:id="rId5"/>
          <w:footerReference w:type="default" r:id="rId6"/>
          <w:headerReference w:type="first" r:id="rId7"/>
          <w:footerReference w:type="first" r:id="rId8"/>
          <w:type w:val="continuous"/>
          <w:pgSz w:w="12240" w:h="15840"/>
          <w:pgMar w:top="720" w:right="720" w:bottom="540" w:left="720" w:header="0" w:footer="270" w:gutter="0"/>
          <w:cols w:space="708"/>
          <w:titlePg/>
          <w:docGrid w:linePitch="360"/>
        </w:sectPr>
      </w:pPr>
    </w:p>
    <w:p>
      <w:pPr>
        <w:pStyle w:val="PARTheading"/>
        <w:keepNext w:val="0"/>
        <w:keepLines w:val="0"/>
        <w:pageBreakBefore w:val="0"/>
        <w:widowControl/>
        <w:numPr>
          <w:ilvl w:val="0"/>
          <w:numId w:val="0"/>
        </w:numPr>
        <w:spacing w:before="0" w:after="60" w:line="288" w:lineRule="auto"/>
        <w:ind w:left="0" w:right="0" w:firstLine="0"/>
        <w:jc w:val="center"/>
        <w:outlineLvl w:val="0"/>
        <w:rPr>
          <w:rFonts w:ascii="Times New Roman" w:eastAsia="Times New Roman" w:hAnsi="Times New Roman" w:cs="Times New Roman"/>
          <w:b/>
          <w:i w:val="0"/>
          <w:color w:val="000000"/>
          <w:sz w:val="20"/>
          <w:u w:val="none"/>
        </w:rPr>
      </w:pPr>
      <w:bookmarkStart w:id="0" w:name="Section2"/>
      <w:bookmarkEnd w:id="0"/>
      <w:r>
        <w:rPr>
          <w:rFonts w:ascii="Times New Roman" w:eastAsia="Times New Roman" w:hAnsi="Times New Roman" w:cs="Times New Roman"/>
          <w:b/>
          <w:i w:val="0"/>
          <w:color w:val="000000"/>
          <w:sz w:val="20"/>
          <w:u w:val="none"/>
        </w:rPr>
        <w:t>NN, Inc.</w:t>
      </w:r>
    </w:p>
    <w:p>
      <w:pPr>
        <w:pStyle w:val="PARTheading"/>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INDEX</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4"/>
        </w:rPr>
        <w:t> </w:t>
      </w:r>
    </w:p>
    <w:tbl>
      <w:tblPr>
        <w:tblStyle w:val="TableNormal0"/>
        <w:tblW w:w="10260" w:type="dxa"/>
        <w:jc w:val="center"/>
        <w:tblLayout w:type="fixed"/>
      </w:tblPr>
      <w:tblGrid>
        <w:gridCol w:w="1320"/>
        <w:gridCol w:w="8205"/>
        <w:gridCol w:w="735"/>
      </w:tblGrid>
      <w:tr>
        <w:tblPrEx>
          <w:tblW w:w="10260" w:type="dxa"/>
          <w:tblLayout w:type="fixed"/>
        </w:tblPrEx>
        <w:trPr>
          <w:trHeight w:hRule="auto" w:val="0"/>
        </w:trPr>
        <w:tc>
          <w:tcPr>
            <w:tcW w:w="13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2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35" w:type="dxa"/>
            <w:tcBorders>
              <w:top w:val="nil"/>
              <w:left w:val="nil"/>
              <w:bottom w:val="nil"/>
              <w:right w:val="nil"/>
            </w:tcBorders>
            <w:tcMar>
              <w:top w:w="0" w:type="dxa"/>
              <w:left w:w="53" w:type="dxa"/>
              <w:bottom w:w="0" w:type="dxa"/>
              <w:right w:w="15" w:type="dxa"/>
            </w:tcMar>
            <w:vAlign w:val="center"/>
          </w:tcPr>
          <w:p>
            <w:pPr>
              <w:keepNext/>
              <w:pageBreakBefore w:val="0"/>
              <w:spacing w:before="0" w:after="0" w:line="240" w:lineRule="auto"/>
              <w:jc w:val="center"/>
            </w:pPr>
            <w:r>
              <w:rPr>
                <w:rFonts w:ascii="Times New Roman" w:eastAsia="Times New Roman" w:hAnsi="Times New Roman" w:cs="Times New Roman"/>
                <w:b/>
                <w:i w:val="0"/>
                <w:color w:val="000000"/>
                <w:sz w:val="20"/>
                <w:u w:val="none"/>
              </w:rPr>
              <w:t>Page</w:t>
            </w:r>
          </w:p>
        </w:tc>
      </w:tr>
      <w:tr>
        <w:tblPrEx>
          <w:tblW w:w="10260" w:type="dxa"/>
          <w:tblLayout w:type="fixed"/>
        </w:tblPrEx>
        <w:trPr>
          <w:trHeight w:hRule="auto" w:val="0"/>
        </w:trPr>
        <w:tc>
          <w:tcPr>
            <w:tcW w:w="9525" w:type="dxa"/>
            <w:gridSpan w:val="2"/>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9525"/>
              </w:tabs>
              <w:spacing w:before="0" w:after="0" w:line="240" w:lineRule="auto"/>
              <w:ind w:left="0"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3" w:history="1">
              <w:r>
                <w:rPr>
                  <w:rFonts w:ascii="Times New Roman" w:eastAsia="Times New Roman" w:hAnsi="Times New Roman" w:cs="Times New Roman"/>
                  <w:b w:val="0"/>
                  <w:i w:val="0"/>
                  <w:color w:val="0000FF"/>
                  <w:sz w:val="20"/>
                  <w:u w:val="single"/>
                  <w:shd w:val="clear" w:color="auto" w:fill="auto"/>
                </w:rPr>
                <w:t>PART I. FINANCIAL INFORMATION</w:t>
              </w:r>
            </w:hyperlink>
            <w:r>
              <w:rPr>
                <w:rFonts w:ascii="Times New Roman" w:eastAsia="Times New Roman" w:hAnsi="Times New Roman" w:cs="Times New Roman"/>
                <w:b w:val="0"/>
                <w:sz w:val="20"/>
              </w:rPr>
              <w:tab/>
            </w:r>
          </w:p>
        </w:tc>
        <w:tc>
          <w:tcPr>
            <w:tcW w:w="73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360" w:right="0" w:firstLine="0"/>
              <w:jc w:val="right"/>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w:t>
            </w:r>
            <w:r>
              <w:rPr>
                <w:rFonts w:ascii="Times New Roman" w:eastAsia="Times New Roman" w:hAnsi="Times New Roman" w:cs="Times New Roman"/>
                <w:b w:val="0"/>
                <w:i w:val="0"/>
                <w:color w:val="0000FF"/>
                <w:sz w:val="20"/>
                <w:u w:val="single"/>
              </w:rPr>
              <w:fldChar w:fldCharType="end"/>
            </w:r>
          </w:p>
        </w:tc>
      </w:tr>
      <w:tr>
        <w:tblPrEx>
          <w:tblW w:w="10260" w:type="dxa"/>
          <w:tblLayout w:type="fixed"/>
        </w:tblPrEx>
        <w:trPr>
          <w:trHeight w:hRule="auto" w:val="0"/>
        </w:trPr>
        <w:tc>
          <w:tcPr>
            <w:tcW w:w="13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2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Layout w:type="fixed"/>
        </w:tblPrEx>
        <w:trPr>
          <w:trHeight w:hRule="auto" w:val="0"/>
        </w:trPr>
        <w:tc>
          <w:tcPr>
            <w:tcW w:w="1320"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ind w:left="225"/>
              <w:jc w:val="left"/>
            </w:pPr>
            <w:r>
              <w:rPr>
                <w:rFonts w:ascii="Times New Roman" w:eastAsia="Times New Roman" w:hAnsi="Times New Roman" w:cs="Times New Roman"/>
                <w:b w:val="0"/>
                <w:i w:val="0"/>
                <w:color w:val="000000"/>
                <w:sz w:val="20"/>
                <w:u w:val="none"/>
              </w:rPr>
              <w:t>Item 1.</w:t>
            </w:r>
          </w:p>
        </w:tc>
        <w:tc>
          <w:tcPr>
            <w:tcW w:w="820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8205"/>
              </w:tabs>
              <w:spacing w:before="0" w:after="0" w:line="240" w:lineRule="auto"/>
              <w:ind w:left="135"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4" w:history="1">
              <w:r>
                <w:rPr>
                  <w:rFonts w:ascii="Times New Roman" w:eastAsia="Times New Roman" w:hAnsi="Times New Roman" w:cs="Times New Roman"/>
                  <w:b w:val="0"/>
                  <w:i w:val="0"/>
                  <w:color w:val="0000FF"/>
                  <w:sz w:val="20"/>
                  <w:u w:val="single"/>
                  <w:shd w:val="clear" w:color="auto" w:fill="auto"/>
                </w:rPr>
                <w:t>Financial Statements</w:t>
              </w:r>
            </w:hyperlink>
            <w:r>
              <w:rPr>
                <w:rFonts w:ascii="Times New Roman" w:eastAsia="Times New Roman" w:hAnsi="Times New Roman" w:cs="Times New Roman"/>
                <w:b w:val="0"/>
                <w:sz w:val="20"/>
              </w:rPr>
              <w:tab/>
            </w:r>
          </w:p>
        </w:tc>
        <w:tc>
          <w:tcPr>
            <w:tcW w:w="73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360" w:right="0" w:firstLine="0"/>
              <w:jc w:val="right"/>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w:t>
            </w:r>
            <w:r>
              <w:rPr>
                <w:rFonts w:ascii="Times New Roman" w:eastAsia="Times New Roman" w:hAnsi="Times New Roman" w:cs="Times New Roman"/>
                <w:b w:val="0"/>
                <w:i w:val="0"/>
                <w:color w:val="0000FF"/>
                <w:sz w:val="20"/>
                <w:u w:val="single"/>
              </w:rPr>
              <w:fldChar w:fldCharType="end"/>
            </w:r>
          </w:p>
        </w:tc>
      </w:tr>
      <w:tr>
        <w:tblPrEx>
          <w:tblW w:w="10260" w:type="dxa"/>
          <w:tblLayout w:type="fixed"/>
        </w:tblPrEx>
        <w:trPr>
          <w:trHeight w:hRule="auto" w:val="0"/>
        </w:trPr>
        <w:tc>
          <w:tcPr>
            <w:tcW w:w="1320"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ind w:left="225"/>
              <w:jc w:val="left"/>
            </w:pPr>
            <w:r>
              <w:rPr>
                <w:rFonts w:ascii="Times New Roman" w:eastAsia="Times New Roman" w:hAnsi="Times New Roman" w:cs="Times New Roman"/>
                <w:b w:val="0"/>
                <w:i w:val="0"/>
                <w:color w:val="000000"/>
                <w:sz w:val="20"/>
                <w:u w:val="none"/>
              </w:rPr>
              <w:t>Item 2.</w:t>
            </w:r>
          </w:p>
        </w:tc>
        <w:tc>
          <w:tcPr>
            <w:tcW w:w="820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8205"/>
              </w:tabs>
              <w:spacing w:before="0" w:after="0" w:line="240" w:lineRule="auto"/>
              <w:ind w:left="135"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29" w:history="1">
              <w:r>
                <w:rPr>
                  <w:rFonts w:ascii="Times New Roman" w:eastAsia="Times New Roman" w:hAnsi="Times New Roman" w:cs="Times New Roman"/>
                  <w:b w:val="0"/>
                  <w:i w:val="0"/>
                  <w:color w:val="0000FF"/>
                  <w:sz w:val="20"/>
                  <w:u w:val="single"/>
                  <w:shd w:val="clear" w:color="auto" w:fill="auto"/>
                </w:rPr>
                <w:t>Management’s Discussion and Analysis of Financial Condition and Results of Operations</w:t>
              </w:r>
            </w:hyperlink>
            <w:r>
              <w:rPr>
                <w:rFonts w:ascii="Times New Roman" w:eastAsia="Times New Roman" w:hAnsi="Times New Roman" w:cs="Times New Roman"/>
                <w:b w:val="0"/>
                <w:sz w:val="20"/>
              </w:rPr>
              <w:tab/>
            </w:r>
          </w:p>
        </w:tc>
        <w:tc>
          <w:tcPr>
            <w:tcW w:w="73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360" w:right="0" w:firstLine="0"/>
              <w:jc w:val="right"/>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Section29</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24</w:t>
            </w:r>
            <w:r>
              <w:rPr>
                <w:rFonts w:ascii="Times New Roman" w:eastAsia="Times New Roman" w:hAnsi="Times New Roman" w:cs="Times New Roman"/>
                <w:b w:val="0"/>
                <w:i w:val="0"/>
                <w:color w:val="0000FF"/>
                <w:sz w:val="20"/>
                <w:u w:val="single"/>
              </w:rPr>
              <w:fldChar w:fldCharType="end"/>
            </w:r>
          </w:p>
        </w:tc>
      </w:tr>
      <w:tr>
        <w:tblPrEx>
          <w:tblW w:w="10260" w:type="dxa"/>
          <w:tblLayout w:type="fixed"/>
        </w:tblPrEx>
        <w:trPr>
          <w:trHeight w:hRule="auto" w:val="0"/>
        </w:trPr>
        <w:tc>
          <w:tcPr>
            <w:tcW w:w="1320"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ind w:left="225"/>
              <w:jc w:val="left"/>
            </w:pPr>
            <w:r>
              <w:rPr>
                <w:rFonts w:ascii="Times New Roman" w:eastAsia="Times New Roman" w:hAnsi="Times New Roman" w:cs="Times New Roman"/>
                <w:b w:val="0"/>
                <w:i w:val="0"/>
                <w:color w:val="000000"/>
                <w:sz w:val="20"/>
                <w:u w:val="none"/>
              </w:rPr>
              <w:t>Item 3.</w:t>
            </w:r>
          </w:p>
        </w:tc>
        <w:tc>
          <w:tcPr>
            <w:tcW w:w="820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8205"/>
              </w:tabs>
              <w:spacing w:before="0" w:after="0" w:line="240" w:lineRule="auto"/>
              <w:ind w:left="135"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35" w:history="1">
              <w:r>
                <w:rPr>
                  <w:rFonts w:ascii="Times New Roman" w:eastAsia="Times New Roman" w:hAnsi="Times New Roman" w:cs="Times New Roman"/>
                  <w:b w:val="0"/>
                  <w:i w:val="0"/>
                  <w:color w:val="0000FF"/>
                  <w:sz w:val="20"/>
                  <w:u w:val="single"/>
                  <w:shd w:val="clear" w:color="auto" w:fill="auto"/>
                </w:rPr>
                <w:t>Quantitative and Qualitative Disclosures About Market Risk</w:t>
              </w:r>
            </w:hyperlink>
            <w:r>
              <w:rPr>
                <w:rFonts w:ascii="Times New Roman" w:eastAsia="Times New Roman" w:hAnsi="Times New Roman" w:cs="Times New Roman"/>
                <w:b w:val="0"/>
                <w:sz w:val="20"/>
              </w:rPr>
              <w:tab/>
            </w:r>
          </w:p>
        </w:tc>
        <w:tc>
          <w:tcPr>
            <w:tcW w:w="73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360" w:right="0" w:firstLine="0"/>
              <w:jc w:val="right"/>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Section35</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30</w:t>
            </w:r>
            <w:r>
              <w:rPr>
                <w:rFonts w:ascii="Times New Roman" w:eastAsia="Times New Roman" w:hAnsi="Times New Roman" w:cs="Times New Roman"/>
                <w:b w:val="0"/>
                <w:i w:val="0"/>
                <w:color w:val="0000FF"/>
                <w:sz w:val="20"/>
                <w:u w:val="single"/>
              </w:rPr>
              <w:fldChar w:fldCharType="end"/>
            </w:r>
          </w:p>
        </w:tc>
      </w:tr>
      <w:tr>
        <w:tblPrEx>
          <w:tblW w:w="10260" w:type="dxa"/>
          <w:tblLayout w:type="fixed"/>
        </w:tblPrEx>
        <w:trPr>
          <w:trHeight w:hRule="auto" w:val="0"/>
        </w:trPr>
        <w:tc>
          <w:tcPr>
            <w:tcW w:w="1320"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ind w:left="225"/>
              <w:jc w:val="left"/>
            </w:pPr>
            <w:r>
              <w:rPr>
                <w:rFonts w:ascii="Times New Roman" w:eastAsia="Times New Roman" w:hAnsi="Times New Roman" w:cs="Times New Roman"/>
                <w:b w:val="0"/>
                <w:i w:val="0"/>
                <w:color w:val="000000"/>
                <w:sz w:val="20"/>
                <w:u w:val="none"/>
              </w:rPr>
              <w:t>Item 4.</w:t>
            </w:r>
          </w:p>
        </w:tc>
        <w:tc>
          <w:tcPr>
            <w:tcW w:w="820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8205"/>
              </w:tabs>
              <w:spacing w:before="0" w:after="0" w:line="240" w:lineRule="auto"/>
              <w:ind w:left="135"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36" w:history="1">
              <w:r>
                <w:rPr>
                  <w:rFonts w:ascii="Times New Roman" w:eastAsia="Times New Roman" w:hAnsi="Times New Roman" w:cs="Times New Roman"/>
                  <w:b w:val="0"/>
                  <w:i w:val="0"/>
                  <w:color w:val="0000FF"/>
                  <w:sz w:val="20"/>
                  <w:u w:val="single"/>
                  <w:shd w:val="clear" w:color="auto" w:fill="auto"/>
                </w:rPr>
                <w:t>Controls and Procedures</w:t>
              </w:r>
            </w:hyperlink>
            <w:r>
              <w:rPr>
                <w:rFonts w:ascii="Times New Roman" w:eastAsia="Times New Roman" w:hAnsi="Times New Roman" w:cs="Times New Roman"/>
                <w:b w:val="0"/>
                <w:sz w:val="20"/>
              </w:rPr>
              <w:tab/>
            </w:r>
          </w:p>
        </w:tc>
        <w:tc>
          <w:tcPr>
            <w:tcW w:w="73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360" w:right="0" w:firstLine="0"/>
              <w:jc w:val="right"/>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Section36</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31</w:t>
            </w:r>
            <w:r>
              <w:rPr>
                <w:rFonts w:ascii="Times New Roman" w:eastAsia="Times New Roman" w:hAnsi="Times New Roman" w:cs="Times New Roman"/>
                <w:b w:val="0"/>
                <w:i w:val="0"/>
                <w:color w:val="0000FF"/>
                <w:sz w:val="20"/>
                <w:u w:val="single"/>
              </w:rPr>
              <w:fldChar w:fldCharType="end"/>
            </w:r>
          </w:p>
        </w:tc>
      </w:tr>
      <w:tr>
        <w:tblPrEx>
          <w:tblW w:w="10260" w:type="dxa"/>
          <w:tblLayout w:type="fixed"/>
        </w:tblPrEx>
        <w:trPr>
          <w:trHeight w:hRule="auto" w:val="0"/>
        </w:trPr>
        <w:tc>
          <w:tcPr>
            <w:tcW w:w="9525" w:type="dxa"/>
            <w:gridSpan w:val="2"/>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9525"/>
              </w:tabs>
              <w:spacing w:before="0" w:after="0" w:line="240" w:lineRule="auto"/>
              <w:ind w:left="0"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37" w:history="1">
              <w:r>
                <w:rPr>
                  <w:rFonts w:ascii="Times New Roman" w:eastAsia="Times New Roman" w:hAnsi="Times New Roman" w:cs="Times New Roman"/>
                  <w:b w:val="0"/>
                  <w:i w:val="0"/>
                  <w:color w:val="0000FF"/>
                  <w:sz w:val="20"/>
                  <w:u w:val="single"/>
                  <w:shd w:val="clear" w:color="auto" w:fill="auto"/>
                </w:rPr>
                <w:t>PART II. OTHER INFORMATION</w:t>
              </w:r>
            </w:hyperlink>
            <w:r>
              <w:rPr>
                <w:rFonts w:ascii="Times New Roman" w:eastAsia="Times New Roman" w:hAnsi="Times New Roman" w:cs="Times New Roman"/>
                <w:b w:val="0"/>
                <w:sz w:val="20"/>
              </w:rPr>
              <w:tab/>
            </w:r>
          </w:p>
        </w:tc>
        <w:tc>
          <w:tcPr>
            <w:tcW w:w="73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360" w:right="0" w:firstLine="0"/>
              <w:jc w:val="right"/>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Section37</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32</w:t>
            </w:r>
            <w:r>
              <w:rPr>
                <w:rFonts w:ascii="Times New Roman" w:eastAsia="Times New Roman" w:hAnsi="Times New Roman" w:cs="Times New Roman"/>
                <w:b w:val="0"/>
                <w:i w:val="0"/>
                <w:color w:val="0000FF"/>
                <w:sz w:val="20"/>
                <w:u w:val="single"/>
              </w:rPr>
              <w:fldChar w:fldCharType="end"/>
            </w:r>
          </w:p>
        </w:tc>
      </w:tr>
      <w:tr>
        <w:tblPrEx>
          <w:tblW w:w="10260" w:type="dxa"/>
          <w:tblLayout w:type="fixed"/>
        </w:tblPrEx>
        <w:trPr>
          <w:trHeight w:hRule="auto" w:val="0"/>
        </w:trPr>
        <w:tc>
          <w:tcPr>
            <w:tcW w:w="13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2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7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60" w:type="dxa"/>
          <w:tblLayout w:type="fixed"/>
        </w:tblPrEx>
        <w:trPr>
          <w:trHeight w:hRule="auto" w:val="0"/>
        </w:trPr>
        <w:tc>
          <w:tcPr>
            <w:tcW w:w="1320"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ind w:left="225"/>
              <w:jc w:val="left"/>
            </w:pPr>
            <w:r>
              <w:rPr>
                <w:rFonts w:ascii="Times New Roman" w:eastAsia="Times New Roman" w:hAnsi="Times New Roman" w:cs="Times New Roman"/>
                <w:b w:val="0"/>
                <w:i w:val="0"/>
                <w:color w:val="000000"/>
                <w:sz w:val="20"/>
                <w:u w:val="none"/>
              </w:rPr>
              <w:t>Item 1.</w:t>
            </w:r>
          </w:p>
        </w:tc>
        <w:tc>
          <w:tcPr>
            <w:tcW w:w="820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8205"/>
              </w:tabs>
              <w:spacing w:before="0" w:after="0" w:line="240" w:lineRule="auto"/>
              <w:ind w:left="135"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38" w:history="1">
              <w:r>
                <w:rPr>
                  <w:rFonts w:ascii="Times New Roman" w:eastAsia="Times New Roman" w:hAnsi="Times New Roman" w:cs="Times New Roman"/>
                  <w:b w:val="0"/>
                  <w:i w:val="0"/>
                  <w:color w:val="0000FF"/>
                  <w:sz w:val="20"/>
                  <w:u w:val="single"/>
                  <w:shd w:val="clear" w:color="auto" w:fill="auto"/>
                </w:rPr>
                <w:t>Legal Proceedings</w:t>
              </w:r>
            </w:hyperlink>
            <w:r>
              <w:rPr>
                <w:rFonts w:ascii="Times New Roman" w:eastAsia="Times New Roman" w:hAnsi="Times New Roman" w:cs="Times New Roman"/>
                <w:b w:val="0"/>
                <w:sz w:val="20"/>
              </w:rPr>
              <w:tab/>
            </w:r>
          </w:p>
        </w:tc>
        <w:tc>
          <w:tcPr>
            <w:tcW w:w="73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360" w:right="0" w:firstLine="0"/>
              <w:jc w:val="right"/>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Section38</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32</w:t>
            </w:r>
            <w:r>
              <w:rPr>
                <w:rFonts w:ascii="Times New Roman" w:eastAsia="Times New Roman" w:hAnsi="Times New Roman" w:cs="Times New Roman"/>
                <w:b w:val="0"/>
                <w:i w:val="0"/>
                <w:color w:val="0000FF"/>
                <w:sz w:val="20"/>
                <w:u w:val="single"/>
              </w:rPr>
              <w:fldChar w:fldCharType="end"/>
            </w:r>
          </w:p>
        </w:tc>
      </w:tr>
      <w:tr>
        <w:tblPrEx>
          <w:tblW w:w="10260" w:type="dxa"/>
          <w:tblLayout w:type="fixed"/>
        </w:tblPrEx>
        <w:trPr>
          <w:trHeight w:hRule="auto" w:val="0"/>
        </w:trPr>
        <w:tc>
          <w:tcPr>
            <w:tcW w:w="1320"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ind w:left="225"/>
              <w:jc w:val="left"/>
            </w:pPr>
            <w:r>
              <w:rPr>
                <w:rFonts w:ascii="Times New Roman" w:eastAsia="Times New Roman" w:hAnsi="Times New Roman" w:cs="Times New Roman"/>
                <w:b w:val="0"/>
                <w:i w:val="0"/>
                <w:color w:val="000000"/>
                <w:sz w:val="20"/>
                <w:u w:val="none"/>
              </w:rPr>
              <w:t>Item 1A.</w:t>
            </w:r>
          </w:p>
        </w:tc>
        <w:tc>
          <w:tcPr>
            <w:tcW w:w="820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8205"/>
              </w:tabs>
              <w:spacing w:before="0" w:after="0" w:line="240" w:lineRule="auto"/>
              <w:ind w:left="135"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39" w:history="1">
              <w:r>
                <w:rPr>
                  <w:rFonts w:ascii="Times New Roman" w:eastAsia="Times New Roman" w:hAnsi="Times New Roman" w:cs="Times New Roman"/>
                  <w:b w:val="0"/>
                  <w:i w:val="0"/>
                  <w:color w:val="0000FF"/>
                  <w:sz w:val="20"/>
                  <w:u w:val="single"/>
                  <w:shd w:val="clear" w:color="auto" w:fill="auto"/>
                </w:rPr>
                <w:t>Risk Factors</w:t>
              </w:r>
            </w:hyperlink>
            <w:r>
              <w:rPr>
                <w:rFonts w:ascii="Times New Roman" w:eastAsia="Times New Roman" w:hAnsi="Times New Roman" w:cs="Times New Roman"/>
                <w:b w:val="0"/>
                <w:sz w:val="20"/>
              </w:rPr>
              <w:tab/>
            </w:r>
          </w:p>
        </w:tc>
        <w:tc>
          <w:tcPr>
            <w:tcW w:w="73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360" w:right="0" w:firstLine="0"/>
              <w:jc w:val="right"/>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Section39</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32</w:t>
            </w:r>
            <w:r>
              <w:rPr>
                <w:rFonts w:ascii="Times New Roman" w:eastAsia="Times New Roman" w:hAnsi="Times New Roman" w:cs="Times New Roman"/>
                <w:b w:val="0"/>
                <w:i w:val="0"/>
                <w:color w:val="0000FF"/>
                <w:sz w:val="20"/>
                <w:u w:val="single"/>
              </w:rPr>
              <w:fldChar w:fldCharType="end"/>
            </w:r>
          </w:p>
        </w:tc>
      </w:tr>
      <w:tr>
        <w:tblPrEx>
          <w:tblW w:w="10260" w:type="dxa"/>
          <w:tblLayout w:type="fixed"/>
        </w:tblPrEx>
        <w:trPr>
          <w:trHeight w:hRule="auto" w:val="0"/>
        </w:trPr>
        <w:tc>
          <w:tcPr>
            <w:tcW w:w="1320"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ind w:left="225"/>
              <w:jc w:val="left"/>
            </w:pPr>
            <w:r>
              <w:rPr>
                <w:rFonts w:ascii="Times New Roman" w:eastAsia="Times New Roman" w:hAnsi="Times New Roman" w:cs="Times New Roman"/>
                <w:b w:val="0"/>
                <w:i w:val="0"/>
                <w:color w:val="000000"/>
                <w:sz w:val="20"/>
                <w:u w:val="none"/>
              </w:rPr>
              <w:t>Item 2.</w:t>
            </w:r>
          </w:p>
        </w:tc>
        <w:tc>
          <w:tcPr>
            <w:tcW w:w="820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8205"/>
              </w:tabs>
              <w:spacing w:before="0" w:after="0" w:line="240" w:lineRule="auto"/>
              <w:ind w:left="135"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40" w:history="1">
              <w:r>
                <w:rPr>
                  <w:rFonts w:ascii="Times New Roman" w:eastAsia="Times New Roman" w:hAnsi="Times New Roman" w:cs="Times New Roman"/>
                  <w:b w:val="0"/>
                  <w:i w:val="0"/>
                  <w:color w:val="0000FF"/>
                  <w:sz w:val="20"/>
                  <w:u w:val="single"/>
                  <w:shd w:val="clear" w:color="auto" w:fill="auto"/>
                </w:rPr>
                <w:t>Unregistered Sales of Equity Securities and Use of Proceeds</w:t>
              </w:r>
            </w:hyperlink>
            <w:r>
              <w:rPr>
                <w:rFonts w:ascii="Times New Roman" w:eastAsia="Times New Roman" w:hAnsi="Times New Roman" w:cs="Times New Roman"/>
                <w:b w:val="0"/>
                <w:sz w:val="20"/>
              </w:rPr>
              <w:tab/>
            </w:r>
          </w:p>
        </w:tc>
        <w:tc>
          <w:tcPr>
            <w:tcW w:w="73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360" w:right="0" w:firstLine="0"/>
              <w:jc w:val="right"/>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Section40</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32</w:t>
            </w:r>
            <w:r>
              <w:rPr>
                <w:rFonts w:ascii="Times New Roman" w:eastAsia="Times New Roman" w:hAnsi="Times New Roman" w:cs="Times New Roman"/>
                <w:b w:val="0"/>
                <w:i w:val="0"/>
                <w:color w:val="0000FF"/>
                <w:sz w:val="20"/>
                <w:u w:val="single"/>
              </w:rPr>
              <w:fldChar w:fldCharType="end"/>
            </w:r>
          </w:p>
        </w:tc>
      </w:tr>
      <w:tr>
        <w:tblPrEx>
          <w:tblW w:w="10260" w:type="dxa"/>
          <w:tblLayout w:type="fixed"/>
        </w:tblPrEx>
        <w:trPr>
          <w:trHeight w:hRule="auto" w:val="0"/>
        </w:trPr>
        <w:tc>
          <w:tcPr>
            <w:tcW w:w="1320"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ind w:left="225"/>
              <w:jc w:val="left"/>
            </w:pPr>
            <w:r>
              <w:rPr>
                <w:rFonts w:ascii="Times New Roman" w:eastAsia="Times New Roman" w:hAnsi="Times New Roman" w:cs="Times New Roman"/>
                <w:b w:val="0"/>
                <w:i w:val="0"/>
                <w:color w:val="000000"/>
                <w:sz w:val="20"/>
                <w:u w:val="none"/>
              </w:rPr>
              <w:t>Item 3.</w:t>
            </w:r>
          </w:p>
        </w:tc>
        <w:tc>
          <w:tcPr>
            <w:tcW w:w="820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8205"/>
              </w:tabs>
              <w:spacing w:before="0" w:after="0" w:line="240" w:lineRule="auto"/>
              <w:ind w:left="135"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42" w:history="1">
              <w:r>
                <w:rPr>
                  <w:rFonts w:ascii="Times New Roman" w:eastAsia="Times New Roman" w:hAnsi="Times New Roman" w:cs="Times New Roman"/>
                  <w:b w:val="0"/>
                  <w:i w:val="0"/>
                  <w:color w:val="0000FF"/>
                  <w:sz w:val="20"/>
                  <w:u w:val="single"/>
                  <w:shd w:val="clear" w:color="auto" w:fill="auto"/>
                </w:rPr>
                <w:t>Defaults Upon Senior Securities</w:t>
              </w:r>
            </w:hyperlink>
            <w:r>
              <w:rPr>
                <w:rFonts w:ascii="Times New Roman" w:eastAsia="Times New Roman" w:hAnsi="Times New Roman" w:cs="Times New Roman"/>
                <w:b w:val="0"/>
                <w:sz w:val="20"/>
              </w:rPr>
              <w:tab/>
            </w:r>
          </w:p>
        </w:tc>
        <w:tc>
          <w:tcPr>
            <w:tcW w:w="73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360" w:right="0" w:firstLine="0"/>
              <w:jc w:val="right"/>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Section42</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32</w:t>
            </w:r>
            <w:r>
              <w:rPr>
                <w:rFonts w:ascii="Times New Roman" w:eastAsia="Times New Roman" w:hAnsi="Times New Roman" w:cs="Times New Roman"/>
                <w:b w:val="0"/>
                <w:i w:val="0"/>
                <w:color w:val="0000FF"/>
                <w:sz w:val="20"/>
                <w:u w:val="single"/>
              </w:rPr>
              <w:fldChar w:fldCharType="end"/>
            </w:r>
          </w:p>
        </w:tc>
      </w:tr>
      <w:tr>
        <w:tblPrEx>
          <w:tblW w:w="10260" w:type="dxa"/>
          <w:tblLayout w:type="fixed"/>
        </w:tblPrEx>
        <w:trPr>
          <w:trHeight w:hRule="auto" w:val="0"/>
        </w:trPr>
        <w:tc>
          <w:tcPr>
            <w:tcW w:w="1320"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ind w:left="225"/>
              <w:jc w:val="left"/>
            </w:pPr>
            <w:r>
              <w:rPr>
                <w:rFonts w:ascii="Times New Roman" w:eastAsia="Times New Roman" w:hAnsi="Times New Roman" w:cs="Times New Roman"/>
                <w:b w:val="0"/>
                <w:i w:val="0"/>
                <w:color w:val="000000"/>
                <w:sz w:val="20"/>
                <w:u w:val="none"/>
              </w:rPr>
              <w:t>Item 4.</w:t>
            </w:r>
          </w:p>
        </w:tc>
        <w:tc>
          <w:tcPr>
            <w:tcW w:w="820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8205"/>
              </w:tabs>
              <w:spacing w:before="0" w:after="0" w:line="240" w:lineRule="auto"/>
              <w:ind w:left="135"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43" w:history="1">
              <w:r>
                <w:rPr>
                  <w:rFonts w:ascii="Times New Roman" w:eastAsia="Times New Roman" w:hAnsi="Times New Roman" w:cs="Times New Roman"/>
                  <w:b w:val="0"/>
                  <w:i w:val="0"/>
                  <w:color w:val="0000FF"/>
                  <w:sz w:val="20"/>
                  <w:u w:val="single"/>
                  <w:shd w:val="clear" w:color="auto" w:fill="auto"/>
                </w:rPr>
                <w:t>Mine Safety Disclosures</w:t>
              </w:r>
            </w:hyperlink>
            <w:r>
              <w:rPr>
                <w:rFonts w:ascii="Times New Roman" w:eastAsia="Times New Roman" w:hAnsi="Times New Roman" w:cs="Times New Roman"/>
                <w:b w:val="0"/>
                <w:sz w:val="20"/>
              </w:rPr>
              <w:tab/>
            </w:r>
          </w:p>
        </w:tc>
        <w:tc>
          <w:tcPr>
            <w:tcW w:w="73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360" w:right="0" w:firstLine="0"/>
              <w:jc w:val="right"/>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Section43</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32</w:t>
            </w:r>
            <w:r>
              <w:rPr>
                <w:rFonts w:ascii="Times New Roman" w:eastAsia="Times New Roman" w:hAnsi="Times New Roman" w:cs="Times New Roman"/>
                <w:b w:val="0"/>
                <w:i w:val="0"/>
                <w:color w:val="0000FF"/>
                <w:sz w:val="20"/>
                <w:u w:val="single"/>
              </w:rPr>
              <w:fldChar w:fldCharType="end"/>
            </w:r>
          </w:p>
        </w:tc>
      </w:tr>
      <w:tr>
        <w:tblPrEx>
          <w:tblW w:w="10260" w:type="dxa"/>
          <w:tblLayout w:type="fixed"/>
        </w:tblPrEx>
        <w:trPr>
          <w:trHeight w:hRule="auto" w:val="0"/>
        </w:trPr>
        <w:tc>
          <w:tcPr>
            <w:tcW w:w="1320"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ind w:left="225"/>
              <w:jc w:val="left"/>
            </w:pPr>
            <w:r>
              <w:rPr>
                <w:rFonts w:ascii="Times New Roman" w:eastAsia="Times New Roman" w:hAnsi="Times New Roman" w:cs="Times New Roman"/>
                <w:b w:val="0"/>
                <w:i w:val="0"/>
                <w:color w:val="000000"/>
                <w:sz w:val="20"/>
                <w:u w:val="none"/>
              </w:rPr>
              <w:t>Item 5.</w:t>
            </w:r>
          </w:p>
        </w:tc>
        <w:tc>
          <w:tcPr>
            <w:tcW w:w="820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8205"/>
              </w:tabs>
              <w:spacing w:before="0" w:after="0" w:line="240" w:lineRule="auto"/>
              <w:ind w:left="135"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44" w:history="1">
              <w:r>
                <w:rPr>
                  <w:rFonts w:ascii="Times New Roman" w:eastAsia="Times New Roman" w:hAnsi="Times New Roman" w:cs="Times New Roman"/>
                  <w:b w:val="0"/>
                  <w:i w:val="0"/>
                  <w:color w:val="0000FF"/>
                  <w:sz w:val="20"/>
                  <w:u w:val="single"/>
                  <w:shd w:val="clear" w:color="auto" w:fill="auto"/>
                </w:rPr>
                <w:t>Other Information</w:t>
              </w:r>
            </w:hyperlink>
            <w:r>
              <w:rPr>
                <w:rFonts w:ascii="Times New Roman" w:eastAsia="Times New Roman" w:hAnsi="Times New Roman" w:cs="Times New Roman"/>
                <w:b w:val="0"/>
                <w:sz w:val="20"/>
              </w:rPr>
              <w:tab/>
            </w:r>
          </w:p>
        </w:tc>
        <w:tc>
          <w:tcPr>
            <w:tcW w:w="73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360" w:right="0" w:firstLine="0"/>
              <w:jc w:val="right"/>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Section44</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32</w:t>
            </w:r>
            <w:r>
              <w:rPr>
                <w:rFonts w:ascii="Times New Roman" w:eastAsia="Times New Roman" w:hAnsi="Times New Roman" w:cs="Times New Roman"/>
                <w:b w:val="0"/>
                <w:i w:val="0"/>
                <w:color w:val="0000FF"/>
                <w:sz w:val="20"/>
                <w:u w:val="single"/>
              </w:rPr>
              <w:fldChar w:fldCharType="end"/>
            </w:r>
          </w:p>
        </w:tc>
      </w:tr>
      <w:tr>
        <w:tblPrEx>
          <w:tblW w:w="10260" w:type="dxa"/>
          <w:tblLayout w:type="fixed"/>
        </w:tblPrEx>
        <w:trPr>
          <w:trHeight w:hRule="auto" w:val="0"/>
        </w:trPr>
        <w:tc>
          <w:tcPr>
            <w:tcW w:w="1320" w:type="dxa"/>
            <w:tcBorders>
              <w:top w:val="nil"/>
              <w:left w:val="nil"/>
              <w:bottom w:val="nil"/>
              <w:right w:val="nil"/>
            </w:tcBorders>
            <w:tcMar>
              <w:top w:w="0" w:type="dxa"/>
              <w:left w:w="53" w:type="dxa"/>
              <w:bottom w:w="0" w:type="dxa"/>
              <w:right w:w="53" w:type="dxa"/>
            </w:tcMar>
            <w:vAlign w:val="center"/>
          </w:tcPr>
          <w:p>
            <w:pPr>
              <w:keepNext/>
              <w:pageBreakBefore w:val="0"/>
              <w:spacing w:before="0" w:after="0" w:line="240" w:lineRule="auto"/>
              <w:ind w:left="225"/>
              <w:jc w:val="left"/>
            </w:pPr>
            <w:r>
              <w:rPr>
                <w:rFonts w:ascii="Times New Roman" w:eastAsia="Times New Roman" w:hAnsi="Times New Roman" w:cs="Times New Roman"/>
                <w:b w:val="0"/>
                <w:i w:val="0"/>
                <w:color w:val="000000"/>
                <w:sz w:val="20"/>
                <w:u w:val="none"/>
              </w:rPr>
              <w:t>Item 6.</w:t>
            </w:r>
          </w:p>
        </w:tc>
        <w:tc>
          <w:tcPr>
            <w:tcW w:w="820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tabs>
                <w:tab w:val="left" w:leader="dot" w:pos="8205"/>
              </w:tabs>
              <w:spacing w:before="0" w:after="0" w:line="240" w:lineRule="auto"/>
              <w:ind w:left="135"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45" w:history="1">
              <w:r>
                <w:rPr>
                  <w:rFonts w:ascii="Times New Roman" w:eastAsia="Times New Roman" w:hAnsi="Times New Roman" w:cs="Times New Roman"/>
                  <w:b w:val="0"/>
                  <w:i w:val="0"/>
                  <w:color w:val="0000FF"/>
                  <w:sz w:val="20"/>
                  <w:u w:val="single"/>
                  <w:shd w:val="clear" w:color="auto" w:fill="auto"/>
                </w:rPr>
                <w:t>Exhibits</w:t>
              </w:r>
            </w:hyperlink>
            <w:r>
              <w:rPr>
                <w:rFonts w:ascii="Times New Roman" w:eastAsia="Times New Roman" w:hAnsi="Times New Roman" w:cs="Times New Roman"/>
                <w:b w:val="0"/>
                <w:sz w:val="20"/>
              </w:rPr>
              <w:tab/>
            </w:r>
          </w:p>
        </w:tc>
        <w:tc>
          <w:tcPr>
            <w:tcW w:w="735" w:type="dxa"/>
            <w:tcBorders>
              <w:top w:val="nil"/>
              <w:left w:val="nil"/>
              <w:bottom w:val="nil"/>
              <w:right w:val="nil"/>
            </w:tcBorders>
            <w:tcMar>
              <w:top w:w="0" w:type="dxa"/>
              <w:left w:w="53" w:type="dxa"/>
              <w:bottom w:w="0" w:type="dxa"/>
              <w:right w:w="53" w:type="dxa"/>
            </w:tcMar>
            <w:vAlign w:val="center"/>
          </w:tcPr>
          <w:p>
            <w:pPr>
              <w:pStyle w:val="Normal-wk"/>
              <w:keepNext/>
              <w:pageBreakBefore w:val="0"/>
              <w:numPr>
                <w:ilvl w:val="0"/>
                <w:numId w:val="0"/>
              </w:numPr>
              <w:spacing w:before="0" w:after="0" w:line="240" w:lineRule="auto"/>
              <w:ind w:left="360" w:right="0" w:firstLine="0"/>
              <w:jc w:val="right"/>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Section45</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33</w:t>
            </w:r>
            <w:r>
              <w:rPr>
                <w:rFonts w:ascii="Times New Roman" w:eastAsia="Times New Roman" w:hAnsi="Times New Roman" w:cs="Times New Roman"/>
                <w:b w:val="0"/>
                <w:i w:val="0"/>
                <w:color w:val="0000FF"/>
                <w:sz w:val="20"/>
                <w:u w:val="single"/>
              </w:rPr>
              <w:fldChar w:fldCharType="end"/>
            </w:r>
          </w:p>
        </w:tc>
      </w:tr>
      <w:tr>
        <w:tblPrEx>
          <w:tblW w:w="10260" w:type="dxa"/>
          <w:tblLayout w:type="fixed"/>
        </w:tblPrEx>
        <w:trPr>
          <w:trHeight w:hRule="auto" w:val="0"/>
        </w:trPr>
        <w:tc>
          <w:tcPr>
            <w:tcW w:w="9525" w:type="dxa"/>
            <w:gridSpan w:val="2"/>
            <w:tcBorders>
              <w:top w:val="nil"/>
              <w:left w:val="nil"/>
              <w:bottom w:val="nil"/>
              <w:right w:val="nil"/>
            </w:tcBorders>
            <w:tcMar>
              <w:top w:w="0" w:type="dxa"/>
              <w:left w:w="53" w:type="dxa"/>
              <w:bottom w:w="0" w:type="dxa"/>
              <w:right w:w="53" w:type="dxa"/>
            </w:tcMar>
            <w:vAlign w:val="center"/>
          </w:tcPr>
          <w:p>
            <w:pPr>
              <w:pStyle w:val="Normal-wk"/>
              <w:pageBreakBefore w:val="0"/>
              <w:numPr>
                <w:ilvl w:val="0"/>
                <w:numId w:val="0"/>
              </w:numPr>
              <w:tabs>
                <w:tab w:val="left" w:leader="dot" w:pos="9525"/>
              </w:tabs>
              <w:spacing w:before="0" w:after="0" w:line="240" w:lineRule="auto"/>
              <w:ind w:left="0" w:right="0" w:firstLine="0"/>
              <w:jc w:val="left"/>
              <w:outlineLvl w:val="9"/>
              <w:rPr>
                <w:rFonts w:ascii="Times New Roman" w:eastAsia="Times New Roman" w:hAnsi="Times New Roman" w:cs="Times New Roman"/>
                <w:b w:val="0"/>
                <w:i w:val="0"/>
                <w:color w:val="000000"/>
                <w:sz w:val="20"/>
                <w:u w:val="none"/>
                <w:shd w:val="clear" w:color="auto" w:fill="auto"/>
              </w:rPr>
            </w:pPr>
            <w:hyperlink w:anchor="Section46" w:history="1">
              <w:r>
                <w:rPr>
                  <w:rFonts w:ascii="Times New Roman" w:eastAsia="Times New Roman" w:hAnsi="Times New Roman" w:cs="Times New Roman"/>
                  <w:b w:val="0"/>
                  <w:i w:val="0"/>
                  <w:color w:val="0000FF"/>
                  <w:sz w:val="20"/>
                  <w:u w:val="single"/>
                  <w:shd w:val="clear" w:color="auto" w:fill="auto"/>
                </w:rPr>
                <w:t>SIGNATURES</w:t>
              </w:r>
            </w:hyperlink>
            <w:r>
              <w:rPr>
                <w:rFonts w:ascii="Times New Roman" w:eastAsia="Times New Roman" w:hAnsi="Times New Roman" w:cs="Times New Roman"/>
                <w:b w:val="0"/>
                <w:sz w:val="20"/>
              </w:rPr>
              <w:tab/>
            </w:r>
          </w:p>
        </w:tc>
        <w:tc>
          <w:tcPr>
            <w:tcW w:w="735" w:type="dxa"/>
            <w:tcBorders>
              <w:top w:val="nil"/>
              <w:left w:val="nil"/>
              <w:bottom w:val="nil"/>
              <w:right w:val="nil"/>
            </w:tcBorders>
            <w:tcMar>
              <w:top w:w="0" w:type="dxa"/>
              <w:left w:w="53" w:type="dxa"/>
              <w:bottom w:w="0" w:type="dxa"/>
              <w:right w:w="53" w:type="dxa"/>
            </w:tcMar>
            <w:vAlign w:val="center"/>
          </w:tcPr>
          <w:p>
            <w:pPr>
              <w:pStyle w:val="Normal-wk"/>
              <w:pageBreakBefore w:val="0"/>
              <w:numPr>
                <w:ilvl w:val="0"/>
                <w:numId w:val="0"/>
              </w:numPr>
              <w:spacing w:before="0" w:after="0" w:line="240" w:lineRule="auto"/>
              <w:ind w:left="360" w:right="0" w:firstLine="0"/>
              <w:jc w:val="right"/>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FF"/>
                <w:sz w:val="20"/>
                <w:u w:val="single"/>
              </w:rPr>
              <w:fldChar w:fldCharType="begin"/>
            </w:r>
            <w:r>
              <w:rPr>
                <w:rFonts w:ascii="Times New Roman" w:eastAsia="Times New Roman" w:hAnsi="Times New Roman" w:cs="Times New Roman"/>
                <w:b w:val="0"/>
                <w:i w:val="0"/>
                <w:color w:val="0000FF"/>
                <w:sz w:val="20"/>
                <w:u w:val="single"/>
              </w:rPr>
              <w:instrText xml:space="preserve"> PAGEREF </w:instrText>
            </w:r>
            <w:r>
              <w:rPr>
                <w:rFonts w:ascii="Times New Roman" w:eastAsia="Times New Roman" w:hAnsi="Times New Roman" w:cs="Times New Roman"/>
                <w:b w:val="0"/>
                <w:i w:val="0"/>
                <w:color w:val="0000FF"/>
                <w:sz w:val="20"/>
                <w:u w:val="single"/>
              </w:rPr>
              <w:instrText xml:space="preserve"> </w:instrText>
            </w:r>
            <w:r>
              <w:rPr>
                <w:rFonts w:ascii="Times New Roman" w:eastAsia="Times New Roman" w:hAnsi="Times New Roman" w:cs="Times New Roman"/>
                <w:b w:val="0"/>
                <w:i w:val="0"/>
                <w:color w:val="0000FF"/>
                <w:sz w:val="20"/>
                <w:u w:val="single"/>
              </w:rPr>
              <w:instrText>Section46</w:instrText>
            </w:r>
            <w:r>
              <w:rPr>
                <w:rFonts w:ascii="Times New Roman" w:eastAsia="Times New Roman" w:hAnsi="Times New Roman" w:cs="Times New Roman"/>
                <w:b w:val="0"/>
                <w:i w:val="0"/>
                <w:color w:val="0000FF"/>
                <w:sz w:val="20"/>
                <w:u w:val="single"/>
              </w:rPr>
              <w:instrText xml:space="preserve"> \h</w:instrText>
            </w:r>
            <w:r>
              <w:rPr>
                <w:rFonts w:ascii="Times New Roman" w:eastAsia="Times New Roman" w:hAnsi="Times New Roman" w:cs="Times New Roman"/>
                <w:b w:val="0"/>
                <w:i w:val="0"/>
                <w:color w:val="0000FF"/>
                <w:sz w:val="20"/>
                <w:u w:val="single"/>
              </w:rPr>
              <w:fldChar w:fldCharType="separate"/>
            </w:r>
            <w:r>
              <w:rPr>
                <w:rFonts w:ascii="Times New Roman" w:eastAsia="Times New Roman" w:hAnsi="Times New Roman" w:cs="Times New Roman"/>
                <w:b w:val="0"/>
                <w:i w:val="0"/>
                <w:color w:val="0000FF"/>
                <w:sz w:val="20"/>
                <w:u w:val="single"/>
              </w:rPr>
              <w:t>34</w:t>
            </w:r>
            <w:r>
              <w:rPr>
                <w:rFonts w:ascii="Times New Roman" w:eastAsia="Times New Roman" w:hAnsi="Times New Roman" w:cs="Times New Roman"/>
                <w:b w:val="0"/>
                <w:i w:val="0"/>
                <w:color w:val="0000FF"/>
                <w:sz w:val="20"/>
                <w:u w:val="single"/>
              </w:rPr>
              <w:fldChar w:fldCharType="end"/>
            </w:r>
          </w:p>
        </w:tc>
      </w:tr>
    </w:tbl>
    <w:p>
      <w:pPr>
        <w:keepNext w:val="0"/>
        <w:keepLines w:val="0"/>
        <w:pageBreakBefore w:val="0"/>
        <w:widowControl/>
        <w:numPr>
          <w:ilvl w:val="0"/>
          <w:numId w:val="0"/>
        </w:numPr>
        <w:spacing w:before="240" w:after="340" w:line="288" w:lineRule="auto"/>
        <w:ind w:left="0" w:right="0" w:firstLine="0"/>
        <w:jc w:val="left"/>
        <w:outlineLvl w:val="9"/>
        <w:rPr>
          <w:rFonts w:ascii="Times New Roman" w:eastAsia="Times New Roman" w:hAnsi="Times New Roman" w:cs="Times New Roman"/>
          <w:b/>
          <w:i w:val="0"/>
          <w:sz w:val="16"/>
        </w:rPr>
      </w:pPr>
    </w:p>
    <w:p>
      <w:pPr>
        <w:keepNext w:val="0"/>
        <w:keepLines w:val="0"/>
        <w:pageBreakBefore w:val="0"/>
        <w:widowControl/>
        <w:numPr>
          <w:ilvl w:val="0"/>
          <w:numId w:val="0"/>
        </w:numPr>
        <w:spacing w:before="240" w:after="340" w:line="288" w:lineRule="auto"/>
        <w:ind w:left="0" w:right="0" w:firstLine="0"/>
        <w:jc w:val="left"/>
        <w:outlineLvl w:val="9"/>
        <w:rPr>
          <w:rFonts w:ascii="Times New Roman" w:eastAsia="Times New Roman" w:hAnsi="Times New Roman" w:cs="Times New Roman"/>
          <w:b/>
          <w:i w:val="0"/>
          <w:sz w:val="16"/>
        </w:rPr>
        <w:sectPr>
          <w:headerReference w:type="default" r:id="rId9"/>
          <w:footerReference w:type="default" r:id="rId10"/>
          <w:pgSz w:w="12240" w:h="15840"/>
          <w:pgMar w:top="810" w:right="990" w:bottom="810" w:left="990" w:header="270" w:footer="270"/>
          <w:pgNumType w:start="2"/>
          <w:cols w:space="708"/>
        </w:sectPr>
      </w:pPr>
    </w:p>
    <w:p>
      <w:pPr>
        <w:pStyle w:val="PARTheading"/>
        <w:keepNext/>
        <w:keepLines w:val="0"/>
        <w:pageBreakBefore w:val="0"/>
        <w:widowControl/>
        <w:numPr>
          <w:ilvl w:val="0"/>
          <w:numId w:val="0"/>
        </w:numPr>
        <w:spacing w:before="0" w:after="0" w:line="288" w:lineRule="auto"/>
        <w:ind w:left="0" w:right="0" w:firstLine="0"/>
        <w:jc w:val="center"/>
        <w:outlineLvl w:val="0"/>
        <w:rPr>
          <w:rFonts w:ascii="Times New Roman" w:eastAsia="Times New Roman" w:hAnsi="Times New Roman" w:cs="Times New Roman"/>
          <w:b/>
          <w:i w:val="0"/>
          <w:color w:val="000000"/>
          <w:sz w:val="20"/>
          <w:u w:val="none"/>
        </w:rPr>
      </w:pPr>
      <w:bookmarkStart w:id="1" w:name="Section3"/>
      <w:bookmarkEnd w:id="1"/>
      <w:r>
        <w:rPr>
          <w:rFonts w:ascii="Times New Roman" w:eastAsia="Times New Roman" w:hAnsi="Times New Roman" w:cs="Times New Roman"/>
          <w:b/>
          <w:i w:val="0"/>
          <w:color w:val="000000"/>
          <w:sz w:val="20"/>
          <w:u w:val="none"/>
        </w:rPr>
        <w:t>PART I. FINANCIAL INFORMATION </w:t>
      </w:r>
    </w:p>
    <w:p>
      <w:pPr>
        <w:pStyle w:val="PARTheading"/>
        <w:keepNext/>
        <w:keepLines w:val="0"/>
        <w:pageBreakBefore w:val="0"/>
        <w:widowControl/>
        <w:numPr>
          <w:ilvl w:val="0"/>
          <w:numId w:val="0"/>
        </w:numPr>
        <w:spacing w:before="0" w:after="0" w:line="288" w:lineRule="auto"/>
        <w:ind w:left="0" w:right="0" w:firstLine="0"/>
        <w:jc w:val="center"/>
        <w:outlineLvl w:val="0"/>
        <w:sectPr>
          <w:pgSz w:w="12240" w:h="15840"/>
          <w:pgMar w:top="810" w:right="990" w:bottom="810" w:left="990" w:header="270" w:footer="270"/>
          <w:cols w:space="708"/>
        </w:sectPr>
      </w:pPr>
    </w:p>
    <w:p>
      <w:pPr>
        <w:pStyle w:val="ItemandNotesheading"/>
        <w:keepNext w:val="0"/>
        <w:keepLines w:val="0"/>
        <w:pageBreakBefore w:val="0"/>
        <w:widowControl/>
        <w:numPr>
          <w:ilvl w:val="0"/>
          <w:numId w:val="0"/>
        </w:numPr>
        <w:spacing w:before="240" w:after="0" w:line="288" w:lineRule="auto"/>
        <w:ind w:left="1080" w:right="0" w:hanging="1080"/>
        <w:jc w:val="left"/>
        <w:outlineLvl w:val="1"/>
        <w:rPr>
          <w:rFonts w:ascii="Times New Roman" w:eastAsia="Times New Roman" w:hAnsi="Times New Roman" w:cs="Times New Roman"/>
          <w:b/>
          <w:i w:val="0"/>
          <w:color w:val="000000"/>
          <w:sz w:val="20"/>
          <w:u w:val="none"/>
        </w:rPr>
      </w:pPr>
      <w:bookmarkStart w:id="2" w:name="Section4"/>
      <w:bookmarkEnd w:id="2"/>
      <w:r>
        <w:rPr>
          <w:rFonts w:ascii="Times New Roman" w:eastAsia="Times New Roman" w:hAnsi="Times New Roman" w:cs="Times New Roman"/>
          <w:b/>
          <w:i w:val="0"/>
          <w:color w:val="000000"/>
          <w:sz w:val="20"/>
          <w:u w:val="none"/>
        </w:rPr>
        <w:t xml:space="preserve">Item 1. </w:t>
      </w:r>
      <w:r>
        <w:rPr>
          <w:rFonts w:ascii="Times New Roman" w:eastAsia="Times New Roman" w:hAnsi="Times New Roman" w:cs="Times New Roman"/>
          <w:b/>
          <w:i w:val="0"/>
          <w:color w:val="000000"/>
          <w:sz w:val="20"/>
          <w:u w:val="none"/>
        </w:rPr>
        <w:tab/>
      </w:r>
      <w:r>
        <w:rPr>
          <w:rFonts w:ascii="Times New Roman" w:eastAsia="Times New Roman" w:hAnsi="Times New Roman" w:cs="Times New Roman"/>
          <w:b/>
          <w:i w:val="0"/>
          <w:color w:val="000000"/>
          <w:sz w:val="20"/>
          <w:u w:val="none"/>
        </w:rPr>
        <w:t>Financial Statements</w:t>
      </w:r>
    </w:p>
    <w:p>
      <w:pPr>
        <w:pStyle w:val="ItemandNotesheading"/>
        <w:keepNext w:val="0"/>
        <w:keepLines w:val="0"/>
        <w:pageBreakBefore w:val="0"/>
        <w:widowControl/>
        <w:numPr>
          <w:ilvl w:val="0"/>
          <w:numId w:val="0"/>
        </w:numPr>
        <w:spacing w:before="240" w:after="0" w:line="288" w:lineRule="auto"/>
        <w:ind w:left="1080" w:right="0" w:hanging="1080"/>
        <w:jc w:val="left"/>
        <w:outlineLvl w:val="1"/>
        <w:sectPr>
          <w:type w:val="continuous"/>
          <w:pgSz w:w="12240" w:h="15840"/>
          <w:pgMar w:top="810" w:right="990" w:bottom="810" w:left="990" w:header="270" w:footer="270"/>
          <w:cols w:space="708"/>
        </w:sectPr>
      </w:pPr>
    </w:p>
    <w:p>
      <w:pPr>
        <w:pStyle w:val="PARTheading"/>
        <w:keepNext w:val="0"/>
        <w:keepLines w:val="0"/>
        <w:pageBreakBefore w:val="0"/>
        <w:widowControl/>
        <w:numPr>
          <w:ilvl w:val="0"/>
          <w:numId w:val="0"/>
        </w:numPr>
        <w:spacing w:before="0" w:after="60" w:line="288" w:lineRule="auto"/>
        <w:ind w:left="0" w:right="0" w:firstLine="0"/>
        <w:jc w:val="center"/>
        <w:outlineLvl w:val="2"/>
        <w:rPr>
          <w:rFonts w:ascii="Times New Roman" w:eastAsia="Times New Roman" w:hAnsi="Times New Roman" w:cs="Times New Roman"/>
          <w:b/>
          <w:i w:val="0"/>
          <w:color w:val="000000"/>
          <w:sz w:val="20"/>
          <w:u w:val="none"/>
        </w:rPr>
      </w:pPr>
      <w:bookmarkStart w:id="3" w:name="Section5"/>
      <w:bookmarkEnd w:id="3"/>
      <w:r>
        <w:rPr>
          <w:rFonts w:ascii="Times New Roman" w:eastAsia="Times New Roman" w:hAnsi="Times New Roman" w:cs="Times New Roman"/>
          <w:b/>
          <w:i w:val="0"/>
          <w:color w:val="000000"/>
          <w:sz w:val="20"/>
          <w:u w:val="none"/>
        </w:rPr>
        <w:t>NN, Inc.</w:t>
      </w:r>
    </w:p>
    <w:p>
      <w:pPr>
        <w:pStyle w:val="PARTheading"/>
        <w:keepNext w:val="0"/>
        <w:keepLines w:val="0"/>
        <w:pageBreakBefore w:val="0"/>
        <w:widowControl/>
        <w:numPr>
          <w:ilvl w:val="0"/>
          <w:numId w:val="0"/>
        </w:numPr>
        <w:spacing w:before="0" w:after="6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 xml:space="preserve">Condensed Consolidated Statements of Operations and Comprehensive Income (Loss) </w:t>
      </w:r>
    </w:p>
    <w:p>
      <w:pPr>
        <w:pStyle w:val="PARTheading"/>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(Unaudited)</w:t>
      </w:r>
    </w:p>
    <w:tbl>
      <w:tblPr>
        <w:tblStyle w:val="TableNormal0"/>
        <w:tblW w:w="10260" w:type="dxa"/>
        <w:jc w:val="left"/>
        <w:tblInd w:w="0" w:type="dxa"/>
        <w:tblLayout w:type="fixed"/>
      </w:tblPr>
      <w:tblGrid>
        <w:gridCol w:w="5235"/>
        <w:gridCol w:w="1200"/>
        <w:gridCol w:w="75"/>
        <w:gridCol w:w="1200"/>
        <w:gridCol w:w="75"/>
        <w:gridCol w:w="1200"/>
        <w:gridCol w:w="75"/>
        <w:gridCol w:w="1200"/>
      </w:tblGrid>
      <w:tr>
        <w:tblPrEx>
          <w:tblW w:w="10260" w:type="dxa"/>
          <w:tblInd w:w="0" w:type="dxa"/>
          <w:tblLayout w:type="fixed"/>
        </w:tblPrEx>
        <w:trPr>
          <w:trHeight w:hRule="auto" w:val="0"/>
        </w:trPr>
        <w:tc>
          <w:tcPr>
            <w:tcW w:w="5235" w:type="dxa"/>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left"/>
            </w:pPr>
            <w:r>
              <w:rPr>
                <w:rFonts w:ascii="Times New Roman" w:eastAsia="Times New Roman" w:hAnsi="Times New Roman" w:cs="Times New Roman"/>
                <w:b w:val="0"/>
                <w:i w:val="0"/>
                <w:color w:val="000000"/>
                <w:sz w:val="16"/>
                <w:u w:val="none"/>
              </w:rPr>
              <w:t> </w:t>
            </w:r>
          </w:p>
        </w:tc>
        <w:tc>
          <w:tcPr>
            <w:tcW w:w="2475" w:type="dxa"/>
            <w:gridSpan w:val="3"/>
            <w:tcBorders>
              <w:top w:val="nil"/>
              <w:left w:val="nil"/>
              <w:bottom w:val="nil"/>
              <w:right w:val="nil"/>
            </w:tcBorders>
            <w:tcMar>
              <w:top w:w="0" w:type="dxa"/>
              <w:left w:w="53" w:type="dxa"/>
              <w:bottom w:w="0" w:type="dxa"/>
              <w:right w:w="53" w:type="dxa"/>
            </w:tcMar>
            <w:vAlign w:val="bottom"/>
          </w:tcPr>
          <w:p>
            <w:pPr>
              <w:keepNext/>
              <w:pageBreakBefore w:val="0"/>
              <w:spacing w:before="65" w:line="240" w:lineRule="auto"/>
              <w:jc w:val="center"/>
            </w:pPr>
            <w:r>
              <w:rPr>
                <w:rFonts w:ascii="Times New Roman" w:eastAsia="Times New Roman" w:hAnsi="Times New Roman" w:cs="Times New Roman"/>
                <w:b/>
                <w:i w:val="0"/>
                <w:color w:val="000000"/>
                <w:sz w:val="16"/>
                <w:u w:val="none"/>
              </w:rPr>
              <w:t xml:space="preserve">Three Months Ended </w:t>
            </w:r>
          </w:p>
          <w:p>
            <w:pPr>
              <w:spacing w:after="20" w:line="240" w:lineRule="auto"/>
              <w:jc w:val="center"/>
            </w:pPr>
            <w:r>
              <w:rPr>
                <w:rFonts w:ascii="Times New Roman" w:eastAsia="Times New Roman" w:hAnsi="Times New Roman" w:cs="Times New Roman"/>
                <w:b/>
                <w:i w:val="0"/>
                <w:color w:val="000000"/>
                <w:sz w:val="16"/>
                <w:u w:val="none"/>
              </w:rPr>
              <w:t>June 30,</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247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line="240" w:lineRule="auto"/>
              <w:jc w:val="center"/>
            </w:pPr>
            <w:r>
              <w:rPr>
                <w:rFonts w:ascii="Times New Roman" w:eastAsia="Times New Roman" w:hAnsi="Times New Roman" w:cs="Times New Roman"/>
                <w:b/>
                <w:i w:val="0"/>
                <w:color w:val="000000"/>
                <w:sz w:val="16"/>
                <w:u w:val="none"/>
              </w:rPr>
              <w:t xml:space="preserve">Six Months Ended </w:t>
            </w:r>
          </w:p>
          <w:p>
            <w:pPr>
              <w:spacing w:after="20" w:line="240" w:lineRule="auto"/>
              <w:jc w:val="center"/>
            </w:pPr>
            <w:r>
              <w:rPr>
                <w:rFonts w:ascii="Times New Roman" w:eastAsia="Times New Roman" w:hAnsi="Times New Roman" w:cs="Times New Roman"/>
                <w:b/>
                <w:i w:val="0"/>
                <w:color w:val="000000"/>
                <w:sz w:val="16"/>
                <w:u w:val="none"/>
              </w:rPr>
              <w:t>June 30,</w:t>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45" w:after="20" w:line="240" w:lineRule="auto"/>
              <w:jc w:val="left"/>
            </w:pPr>
            <w:r>
              <w:rPr>
                <w:rFonts w:ascii="Times New Roman" w:eastAsia="Times New Roman" w:hAnsi="Times New Roman" w:cs="Times New Roman"/>
                <w:b/>
                <w:i w:val="0"/>
                <w:color w:val="000000"/>
                <w:sz w:val="16"/>
                <w:u w:val="none"/>
              </w:rPr>
              <w:t>(in thousands, except per share data)</w:t>
            </w: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2025</w:t>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45" w:after="20" w:line="240" w:lineRule="auto"/>
              <w:ind w:left="360" w:hanging="360"/>
              <w:jc w:val="left"/>
            </w:pPr>
            <w:r>
              <w:rPr>
                <w:rFonts w:ascii="Times New Roman" w:eastAsia="Times New Roman" w:hAnsi="Times New Roman" w:cs="Times New Roman"/>
                <w:b w:val="0"/>
                <w:i w:val="0"/>
                <w:color w:val="000000"/>
                <w:sz w:val="20"/>
                <w:u w:val="none"/>
              </w:rPr>
              <w:t>Net sales</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17"/>
                <w:tab w:val="left" w:pos="1132"/>
              </w:tabs>
              <w:spacing w:before="45" w:after="20" w:line="240" w:lineRule="auto"/>
              <w:jc w:val="right"/>
            </w:pPr>
            <w:r>
              <w:rPr>
                <w:rFonts w:ascii="Times New Roman" w:eastAsia="Times New Roman" w:hAnsi="Times New Roman" w:cs="Times New Roman"/>
                <w:b w:val="0"/>
                <w:i w:val="0"/>
                <w:color w:val="000000"/>
                <w:sz w:val="20"/>
                <w:u w:val="none"/>
              </w:rPr>
              <w:t>$</w:t>
              <w:tab/>
              <w:t>128,741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17"/>
                <w:tab w:val="left" w:pos="1132"/>
              </w:tabs>
              <w:spacing w:before="45" w:after="20" w:line="240" w:lineRule="auto"/>
              <w:jc w:val="right"/>
            </w:pPr>
            <w:r>
              <w:rPr>
                <w:rFonts w:ascii="Times New Roman" w:eastAsia="Times New Roman" w:hAnsi="Times New Roman" w:cs="Times New Roman"/>
                <w:b w:val="0"/>
                <w:i w:val="0"/>
                <w:color w:val="000000"/>
                <w:sz w:val="20"/>
                <w:u w:val="none"/>
              </w:rPr>
              <w:t>$</w:t>
              <w:tab/>
              <w:t>107,921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17"/>
                <w:tab w:val="left" w:pos="1132"/>
              </w:tabs>
              <w:spacing w:before="45" w:after="20" w:line="240" w:lineRule="auto"/>
              <w:jc w:val="right"/>
            </w:pPr>
            <w:r>
              <w:rPr>
                <w:rFonts w:ascii="Times New Roman" w:eastAsia="Times New Roman" w:hAnsi="Times New Roman" w:cs="Times New Roman"/>
                <w:b w:val="0"/>
                <w:i w:val="0"/>
                <w:color w:val="000000"/>
                <w:sz w:val="20"/>
                <w:u w:val="none"/>
              </w:rPr>
              <w:t>$</w:t>
              <w:tab/>
              <w:t>247,193</w:t>
              <w:tab/>
            </w:r>
          </w:p>
        </w:tc>
        <w:tc>
          <w:tcPr>
            <w:tcW w:w="75"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45" w:after="20" w:line="240" w:lineRule="auto"/>
              <w:jc w:val="right"/>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17"/>
                <w:tab w:val="left" w:pos="1132"/>
              </w:tabs>
              <w:spacing w:before="45" w:after="20" w:line="240" w:lineRule="auto"/>
              <w:jc w:val="right"/>
            </w:pPr>
            <w:r>
              <w:rPr>
                <w:rFonts w:ascii="Times New Roman" w:eastAsia="Times New Roman" w:hAnsi="Times New Roman" w:cs="Times New Roman"/>
                <w:b w:val="0"/>
                <w:i w:val="0"/>
                <w:color w:val="000000"/>
                <w:sz w:val="20"/>
                <w:u w:val="none"/>
              </w:rPr>
              <w:t>$</w:t>
              <w:tab/>
              <w:t>213,609</w:t>
              <w:tab/>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Cost of sales (exclusive of depreciation and amortization shown separately below)</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17"/>
                <w:tab w:val="left" w:pos="1132"/>
              </w:tabs>
              <w:spacing w:before="65" w:after="20" w:line="240" w:lineRule="auto"/>
              <w:jc w:val="right"/>
            </w:pPr>
            <w:r>
              <w:rPr>
                <w:rFonts w:ascii="Times New Roman" w:eastAsia="Times New Roman" w:hAnsi="Times New Roman" w:cs="Times New Roman"/>
                <w:b w:val="0"/>
                <w:i w:val="0"/>
                <w:color w:val="000000"/>
                <w:sz w:val="20"/>
                <w:u w:val="none"/>
              </w:rPr>
              <w:tab/>
              <w:t>106,863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89,699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17"/>
                <w:tab w:val="left" w:pos="1132"/>
              </w:tabs>
              <w:spacing w:before="65" w:after="20" w:line="240" w:lineRule="auto"/>
              <w:jc w:val="right"/>
            </w:pPr>
            <w:r>
              <w:rPr>
                <w:rFonts w:ascii="Times New Roman" w:eastAsia="Times New Roman" w:hAnsi="Times New Roman" w:cs="Times New Roman"/>
                <w:b w:val="0"/>
                <w:i w:val="0"/>
                <w:color w:val="000000"/>
                <w:sz w:val="20"/>
                <w:u w:val="none"/>
              </w:rPr>
              <w:tab/>
              <w:t>205,894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17"/>
                <w:tab w:val="left" w:pos="1132"/>
              </w:tabs>
              <w:spacing w:before="65" w:after="20" w:line="240" w:lineRule="auto"/>
              <w:jc w:val="right"/>
            </w:pPr>
            <w:r>
              <w:rPr>
                <w:rFonts w:ascii="Times New Roman" w:eastAsia="Times New Roman" w:hAnsi="Times New Roman" w:cs="Times New Roman"/>
                <w:b w:val="0"/>
                <w:i w:val="0"/>
                <w:color w:val="000000"/>
                <w:sz w:val="20"/>
                <w:u w:val="none"/>
              </w:rPr>
              <w:tab/>
              <w:t>181,345</w:t>
              <w:tab/>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Selling, general, and administrative expense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12,570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12,095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25,864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23,265</w:t>
              <w:tab/>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Depreciation and amortization</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9,344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8,918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18,584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17,692</w:t>
              <w:tab/>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Other operating income, net</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(1,041)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(1,327)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(2,096)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(2,440)</w:t>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45" w:after="20" w:line="240" w:lineRule="auto"/>
              <w:ind w:left="360" w:hanging="360"/>
              <w:jc w:val="left"/>
            </w:pPr>
            <w:r>
              <w:rPr>
                <w:rFonts w:ascii="Times New Roman" w:eastAsia="Times New Roman" w:hAnsi="Times New Roman" w:cs="Times New Roman"/>
                <w:b/>
                <w:i w:val="0"/>
                <w:color w:val="000000"/>
                <w:sz w:val="20"/>
                <w:u w:val="none"/>
              </w:rPr>
              <w:t>Income (loss) from operations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45" w:after="20" w:line="240" w:lineRule="auto"/>
              <w:jc w:val="right"/>
            </w:pPr>
            <w:r>
              <w:rPr>
                <w:rFonts w:ascii="Times New Roman" w:eastAsia="Times New Roman" w:hAnsi="Times New Roman" w:cs="Times New Roman"/>
                <w:b w:val="0"/>
                <w:i w:val="0"/>
                <w:color w:val="000000"/>
                <w:sz w:val="20"/>
                <w:u w:val="none"/>
              </w:rPr>
              <w:tab/>
              <w:t>1,005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ab/>
              <w:t>(1,464)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ab/>
              <w:t>(1,053)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ab/>
              <w:t>(6,253)</w:t>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Interest expense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5,720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5,657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11,489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10,851</w:t>
              <w:tab/>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Loss on extinguishment of debt</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3,007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3,007</w:t>
              <w:tab/>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Other expense (income), net</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81"/>
              </w:tabs>
              <w:spacing w:before="65" w:after="20" w:line="240" w:lineRule="auto"/>
              <w:jc w:val="right"/>
            </w:pPr>
            <w:r>
              <w:rPr>
                <w:rFonts w:ascii="Times New Roman" w:eastAsia="Times New Roman" w:hAnsi="Times New Roman" w:cs="Times New Roman"/>
                <w:b w:val="0"/>
                <w:i w:val="0"/>
                <w:color w:val="000000"/>
                <w:sz w:val="20"/>
                <w:u w:val="none"/>
              </w:rPr>
              <w:tab/>
              <w:t>(217)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81"/>
              </w:tabs>
              <w:spacing w:before="65" w:after="20" w:line="240" w:lineRule="auto"/>
              <w:jc w:val="right"/>
            </w:pPr>
            <w:r>
              <w:rPr>
                <w:rFonts w:ascii="Times New Roman" w:eastAsia="Times New Roman" w:hAnsi="Times New Roman" w:cs="Times New Roman"/>
                <w:b w:val="0"/>
                <w:i w:val="0"/>
                <w:color w:val="000000"/>
                <w:sz w:val="20"/>
                <w:u w:val="none"/>
              </w:rPr>
              <w:tab/>
              <w:t>(619)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65" w:after="20" w:line="240" w:lineRule="auto"/>
              <w:jc w:val="right"/>
            </w:pPr>
            <w:r>
              <w:rPr>
                <w:rFonts w:ascii="Times New Roman" w:eastAsia="Times New Roman" w:hAnsi="Times New Roman" w:cs="Times New Roman"/>
                <w:b w:val="0"/>
                <w:i w:val="0"/>
                <w:color w:val="000000"/>
                <w:sz w:val="20"/>
                <w:u w:val="none"/>
              </w:rPr>
              <w:tab/>
              <w:t>285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(2,788)</w:t>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45" w:after="20" w:line="240" w:lineRule="auto"/>
              <w:ind w:left="360" w:hanging="360"/>
              <w:jc w:val="left"/>
            </w:pPr>
            <w:r>
              <w:rPr>
                <w:rFonts w:ascii="Times New Roman" w:eastAsia="Times New Roman" w:hAnsi="Times New Roman" w:cs="Times New Roman"/>
                <w:b w:val="0"/>
                <w:i w:val="0"/>
                <w:color w:val="000000"/>
                <w:sz w:val="20"/>
                <w:u w:val="none"/>
              </w:rPr>
              <w:t>Loss before provision for income taxes and share of net income from joint venture</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ab/>
              <w:t>(4,498)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ab/>
              <w:t>(9,509)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431"/>
              </w:tabs>
              <w:spacing w:before="45" w:after="20" w:line="240" w:lineRule="auto"/>
              <w:jc w:val="right"/>
            </w:pPr>
            <w:r>
              <w:rPr>
                <w:rFonts w:ascii="Times New Roman" w:eastAsia="Times New Roman" w:hAnsi="Times New Roman" w:cs="Times New Roman"/>
                <w:b w:val="0"/>
                <w:i w:val="0"/>
                <w:color w:val="000000"/>
                <w:sz w:val="20"/>
                <w:u w:val="none"/>
              </w:rPr>
              <w:tab/>
              <w:t>(12,827)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431"/>
              </w:tabs>
              <w:spacing w:before="45" w:after="20" w:line="240" w:lineRule="auto"/>
              <w:jc w:val="right"/>
            </w:pPr>
            <w:r>
              <w:rPr>
                <w:rFonts w:ascii="Times New Roman" w:eastAsia="Times New Roman" w:hAnsi="Times New Roman" w:cs="Times New Roman"/>
                <w:b w:val="0"/>
                <w:i w:val="0"/>
                <w:color w:val="000000"/>
                <w:sz w:val="20"/>
                <w:u w:val="none"/>
              </w:rPr>
              <w:tab/>
              <w:t>(17,323)</w:t>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Provision for income taxes</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s>
              <w:spacing w:before="65" w:after="20" w:line="240" w:lineRule="auto"/>
              <w:jc w:val="right"/>
            </w:pPr>
            <w:r>
              <w:rPr>
                <w:rFonts w:ascii="Times New Roman" w:eastAsia="Times New Roman" w:hAnsi="Times New Roman" w:cs="Times New Roman"/>
                <w:b w:val="0"/>
                <w:i w:val="0"/>
                <w:color w:val="000000"/>
                <w:sz w:val="20"/>
                <w:u w:val="none"/>
              </w:rPr>
              <w:tab/>
              <w:t>(189)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s>
              <w:spacing w:before="65" w:after="20" w:line="240" w:lineRule="auto"/>
              <w:jc w:val="right"/>
            </w:pPr>
            <w:r>
              <w:rPr>
                <w:rFonts w:ascii="Times New Roman" w:eastAsia="Times New Roman" w:hAnsi="Times New Roman" w:cs="Times New Roman"/>
                <w:b w:val="0"/>
                <w:i w:val="0"/>
                <w:color w:val="000000"/>
                <w:sz w:val="20"/>
                <w:u w:val="none"/>
              </w:rPr>
              <w:tab/>
              <w:t>(774)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s>
              <w:spacing w:before="65" w:after="20" w:line="240" w:lineRule="auto"/>
              <w:jc w:val="right"/>
            </w:pPr>
            <w:r>
              <w:rPr>
                <w:rFonts w:ascii="Times New Roman" w:eastAsia="Times New Roman" w:hAnsi="Times New Roman" w:cs="Times New Roman"/>
                <w:b w:val="0"/>
                <w:i w:val="0"/>
                <w:color w:val="000000"/>
                <w:sz w:val="20"/>
                <w:u w:val="none"/>
              </w:rPr>
              <w:tab/>
              <w:t>(906)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(2,084)</w:t>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Share of net income from joint venture</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2,420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2,181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4,638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4,620</w:t>
              <w:tab/>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45" w:after="20" w:line="240" w:lineRule="auto"/>
              <w:ind w:left="360" w:hanging="360"/>
              <w:jc w:val="left"/>
            </w:pPr>
            <w:r>
              <w:rPr>
                <w:rFonts w:ascii="Times New Roman" w:eastAsia="Times New Roman" w:hAnsi="Times New Roman" w:cs="Times New Roman"/>
                <w:b/>
                <w:i w:val="0"/>
                <w:color w:val="000000"/>
                <w:sz w:val="20"/>
                <w:u w:val="none"/>
              </w:rPr>
              <w:t>Net loss</w:t>
            </w:r>
          </w:p>
        </w:tc>
        <w:tc>
          <w:tcPr>
            <w:tcW w:w="12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w:t>
              <w:tab/>
              <w:t>(2,267)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w:t>
              <w:tab/>
              <w:t>(8,102)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w:t>
              <w:tab/>
              <w:t>(9,095)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431"/>
              </w:tabs>
              <w:spacing w:before="45" w:after="20" w:line="240" w:lineRule="auto"/>
              <w:jc w:val="right"/>
            </w:pPr>
            <w:r>
              <w:rPr>
                <w:rFonts w:ascii="Times New Roman" w:eastAsia="Times New Roman" w:hAnsi="Times New Roman" w:cs="Times New Roman"/>
                <w:b w:val="0"/>
                <w:i w:val="0"/>
                <w:color w:val="000000"/>
                <w:sz w:val="20"/>
                <w:u w:val="none"/>
              </w:rPr>
              <w:t>$</w:t>
              <w:tab/>
              <w:t>(14,787)</w:t>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45" w:after="20" w:line="240" w:lineRule="auto"/>
              <w:ind w:left="360" w:hanging="360"/>
              <w:jc w:val="left"/>
            </w:pPr>
            <w:r>
              <w:rPr>
                <w:rFonts w:ascii="Times New Roman" w:eastAsia="Times New Roman" w:hAnsi="Times New Roman" w:cs="Times New Roman"/>
                <w:b w:val="0"/>
                <w:i w:val="0"/>
                <w:color w:val="000000"/>
                <w:sz w:val="20"/>
                <w:u w:val="none"/>
              </w:rPr>
              <w:t>Other comprehensive income:</w:t>
            </w:r>
          </w:p>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sing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540" w:hanging="270"/>
              <w:jc w:val="left"/>
            </w:pPr>
            <w:r>
              <w:rPr>
                <w:rFonts w:ascii="Times New Roman" w:eastAsia="Times New Roman" w:hAnsi="Times New Roman" w:cs="Times New Roman"/>
                <w:b w:val="0"/>
                <w:i w:val="0"/>
                <w:color w:val="000000"/>
                <w:sz w:val="20"/>
                <w:u w:val="none"/>
              </w:rPr>
              <w:t>Foreign currency translation gain</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1,213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4,454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2,760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7,579</w:t>
              <w:tab/>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45" w:after="20" w:line="240" w:lineRule="auto"/>
              <w:ind w:left="270" w:hanging="270"/>
              <w:jc w:val="left"/>
            </w:pPr>
            <w:r>
              <w:rPr>
                <w:rFonts w:ascii="Times New Roman" w:eastAsia="Times New Roman" w:hAnsi="Times New Roman" w:cs="Times New Roman"/>
                <w:b w:val="0"/>
                <w:i w:val="0"/>
                <w:color w:val="000000"/>
                <w:sz w:val="20"/>
                <w:u w:val="none"/>
              </w:rPr>
              <w:t>Total other comprehensive income</w:t>
            </w: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45" w:after="20" w:line="240" w:lineRule="auto"/>
              <w:jc w:val="right"/>
            </w:pPr>
            <w:r>
              <w:rPr>
                <w:rFonts w:ascii="Times New Roman" w:eastAsia="Times New Roman" w:hAnsi="Times New Roman" w:cs="Times New Roman"/>
                <w:b w:val="0"/>
                <w:i w:val="0"/>
                <w:color w:val="000000"/>
                <w:sz w:val="20"/>
                <w:u w:val="none"/>
              </w:rPr>
              <w:tab/>
              <w:t>1,213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45" w:after="20" w:line="240" w:lineRule="auto"/>
              <w:jc w:val="right"/>
            </w:pPr>
            <w:r>
              <w:rPr>
                <w:rFonts w:ascii="Times New Roman" w:eastAsia="Times New Roman" w:hAnsi="Times New Roman" w:cs="Times New Roman"/>
                <w:b w:val="0"/>
                <w:i w:val="0"/>
                <w:color w:val="000000"/>
                <w:sz w:val="20"/>
                <w:u w:val="none"/>
              </w:rPr>
              <w:tab/>
              <w:t>4,454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45" w:after="20" w:line="240" w:lineRule="auto"/>
              <w:jc w:val="right"/>
            </w:pPr>
            <w:r>
              <w:rPr>
                <w:rFonts w:ascii="Times New Roman" w:eastAsia="Times New Roman" w:hAnsi="Times New Roman" w:cs="Times New Roman"/>
                <w:b w:val="0"/>
                <w:i w:val="0"/>
                <w:color w:val="000000"/>
                <w:sz w:val="20"/>
                <w:u w:val="none"/>
              </w:rPr>
              <w:tab/>
              <w:t>2,760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45" w:after="20" w:line="240" w:lineRule="auto"/>
              <w:jc w:val="right"/>
            </w:pPr>
            <w:r>
              <w:rPr>
                <w:rFonts w:ascii="Times New Roman" w:eastAsia="Times New Roman" w:hAnsi="Times New Roman" w:cs="Times New Roman"/>
                <w:b w:val="0"/>
                <w:i w:val="0"/>
                <w:color w:val="000000"/>
                <w:sz w:val="20"/>
                <w:u w:val="none"/>
              </w:rPr>
              <w:tab/>
              <w:t>7,579</w:t>
              <w:tab/>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45" w:after="20" w:line="240" w:lineRule="auto"/>
              <w:ind w:left="270" w:hanging="270"/>
              <w:jc w:val="left"/>
            </w:pPr>
            <w:r>
              <w:rPr>
                <w:rFonts w:ascii="Times New Roman" w:eastAsia="Times New Roman" w:hAnsi="Times New Roman" w:cs="Times New Roman"/>
                <w:b/>
                <w:i w:val="0"/>
                <w:color w:val="000000"/>
                <w:sz w:val="20"/>
                <w:u w:val="none"/>
              </w:rPr>
              <w:t>Comprehensive loss</w:t>
            </w: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w:t>
              <w:tab/>
              <w:t>(1,054)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w:t>
              <w:tab/>
              <w:t>(3,648)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w:t>
              <w:tab/>
              <w:t>(6,335)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w:t>
              <w:tab/>
              <w:t>(7,208)</w:t>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Basic and diluted net loss per common share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1"/>
              </w:tabs>
              <w:spacing w:before="65" w:after="20" w:line="240" w:lineRule="auto"/>
              <w:jc w:val="right"/>
            </w:pPr>
            <w:r>
              <w:rPr>
                <w:rFonts w:ascii="Times New Roman" w:eastAsia="Times New Roman" w:hAnsi="Times New Roman" w:cs="Times New Roman"/>
                <w:b w:val="0"/>
                <w:i w:val="0"/>
                <w:color w:val="000000"/>
                <w:sz w:val="20"/>
                <w:u w:val="none"/>
              </w:rPr>
              <w:t>$</w:t>
              <w:tab/>
              <w:t>(0.13)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1"/>
              </w:tabs>
              <w:spacing w:before="65" w:after="20" w:line="240" w:lineRule="auto"/>
              <w:jc w:val="right"/>
            </w:pPr>
            <w:r>
              <w:rPr>
                <w:rFonts w:ascii="Times New Roman" w:eastAsia="Times New Roman" w:hAnsi="Times New Roman" w:cs="Times New Roman"/>
                <w:b w:val="0"/>
                <w:i w:val="0"/>
                <w:color w:val="000000"/>
                <w:sz w:val="20"/>
                <w:u w:val="none"/>
              </w:rPr>
              <w:t>$</w:t>
              <w:tab/>
              <w:t>(0.26)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1"/>
              </w:tabs>
              <w:spacing w:before="65" w:after="20" w:line="240" w:lineRule="auto"/>
              <w:jc w:val="right"/>
            </w:pPr>
            <w:r>
              <w:rPr>
                <w:rFonts w:ascii="Times New Roman" w:eastAsia="Times New Roman" w:hAnsi="Times New Roman" w:cs="Times New Roman"/>
                <w:b w:val="0"/>
                <w:i w:val="0"/>
                <w:color w:val="000000"/>
                <w:sz w:val="20"/>
                <w:u w:val="none"/>
              </w:rPr>
              <w:t>$</w:t>
              <w:tab/>
              <w:t>(0.38)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1"/>
              </w:tabs>
              <w:spacing w:before="65" w:after="20" w:line="240" w:lineRule="auto"/>
              <w:jc w:val="right"/>
            </w:pPr>
            <w:r>
              <w:rPr>
                <w:rFonts w:ascii="Times New Roman" w:eastAsia="Times New Roman" w:hAnsi="Times New Roman" w:cs="Times New Roman"/>
                <w:b w:val="0"/>
                <w:i w:val="0"/>
                <w:color w:val="000000"/>
                <w:sz w:val="20"/>
                <w:u w:val="none"/>
              </w:rPr>
              <w:t>$</w:t>
              <w:tab/>
              <w:t>(0.48)</w:t>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53" w:type="dxa"/>
              <w:bottom w:w="0" w:type="dxa"/>
              <w:right w:w="53" w:type="dxa"/>
            </w:tcMar>
            <w:vAlign w:val="top"/>
          </w:tcPr>
          <w:p>
            <w:pPr>
              <w:pageBreakBefore w:val="0"/>
              <w:spacing w:before="65" w:after="20" w:line="240" w:lineRule="auto"/>
              <w:ind w:left="270" w:hanging="270"/>
              <w:jc w:val="left"/>
            </w:pPr>
            <w:r>
              <w:rPr>
                <w:rFonts w:ascii="Times New Roman" w:eastAsia="Times New Roman" w:hAnsi="Times New Roman" w:cs="Times New Roman"/>
                <w:b w:val="0"/>
                <w:i w:val="0"/>
                <w:color w:val="000000"/>
                <w:sz w:val="20"/>
                <w:u w:val="none"/>
              </w:rPr>
              <w:t>Shares used to calculate basic and diluted net loss per common share</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50,256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49,433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49,982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49,255</w:t>
              <w:tab/>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See notes to condensed consolidated financial statements (unaudited).</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val="0"/>
          <w:i w:val="0"/>
          <w:sz w:val="20"/>
        </w:rPr>
        <w:sectPr>
          <w:type w:val="continuous"/>
          <w:pgSz w:w="12240" w:h="15840"/>
          <w:pgMar w:top="810" w:right="990" w:bottom="810" w:left="990" w:header="270" w:footer="270"/>
          <w:cols w:space="708"/>
        </w:sectPr>
      </w:pPr>
    </w:p>
    <w:p>
      <w:pPr>
        <w:pStyle w:val="PARTheading"/>
        <w:keepNext w:val="0"/>
        <w:keepLines w:val="0"/>
        <w:pageBreakBefore w:val="0"/>
        <w:widowControl/>
        <w:numPr>
          <w:ilvl w:val="0"/>
          <w:numId w:val="0"/>
        </w:numPr>
        <w:spacing w:before="0" w:after="60" w:line="288" w:lineRule="auto"/>
        <w:ind w:left="0" w:right="0" w:firstLine="0"/>
        <w:jc w:val="center"/>
        <w:outlineLvl w:val="2"/>
        <w:rPr>
          <w:rFonts w:ascii="Times New Roman" w:eastAsia="Times New Roman" w:hAnsi="Times New Roman" w:cs="Times New Roman"/>
          <w:b/>
          <w:i w:val="0"/>
          <w:color w:val="000000"/>
          <w:sz w:val="20"/>
          <w:u w:val="none"/>
        </w:rPr>
      </w:pPr>
      <w:bookmarkStart w:id="4" w:name="Section6"/>
      <w:bookmarkEnd w:id="4"/>
      <w:r>
        <w:rPr>
          <w:rFonts w:ascii="Times New Roman" w:eastAsia="Times New Roman" w:hAnsi="Times New Roman" w:cs="Times New Roman"/>
          <w:b/>
          <w:i w:val="0"/>
          <w:color w:val="000000"/>
          <w:sz w:val="20"/>
          <w:u w:val="none"/>
        </w:rPr>
        <w:t>NN, Inc.</w:t>
      </w:r>
    </w:p>
    <w:p>
      <w:pPr>
        <w:pStyle w:val="PARTheading"/>
        <w:keepNext w:val="0"/>
        <w:keepLines w:val="0"/>
        <w:pageBreakBefore w:val="0"/>
        <w:widowControl/>
        <w:numPr>
          <w:ilvl w:val="0"/>
          <w:numId w:val="0"/>
        </w:numPr>
        <w:spacing w:before="0" w:after="6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Condensed Consolidated Balance Sheets</w:t>
      </w:r>
    </w:p>
    <w:p>
      <w:pPr>
        <w:pStyle w:val="PARTheading"/>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(Unaudited) </w:t>
      </w:r>
    </w:p>
    <w:tbl>
      <w:tblPr>
        <w:tblStyle w:val="TableNormal0"/>
        <w:tblW w:w="10260" w:type="dxa"/>
        <w:jc w:val="left"/>
        <w:tblInd w:w="0" w:type="dxa"/>
        <w:tblLayout w:type="fixed"/>
      </w:tblPr>
      <w:tblGrid>
        <w:gridCol w:w="7575"/>
        <w:gridCol w:w="1305"/>
        <w:gridCol w:w="75"/>
        <w:gridCol w:w="1305"/>
      </w:tblGrid>
      <w:tr>
        <w:tblPrEx>
          <w:tblW w:w="10260" w:type="dxa"/>
          <w:tblInd w:w="0" w:type="dxa"/>
          <w:tblLayout w:type="fixed"/>
        </w:tblPrEx>
        <w:trPr>
          <w:trHeight w:hRule="auto" w:val="0"/>
        </w:trPr>
        <w:tc>
          <w:tcPr>
            <w:tcW w:w="7575" w:type="dxa"/>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left"/>
            </w:pPr>
            <w:r>
              <w:rPr>
                <w:rFonts w:ascii="Times New Roman" w:eastAsia="Times New Roman" w:hAnsi="Times New Roman" w:cs="Times New Roman"/>
                <w:b/>
                <w:i w:val="0"/>
                <w:color w:val="000000"/>
                <w:sz w:val="16"/>
                <w:u w:val="none"/>
              </w:rPr>
              <w:t>(in thousands, except per share data)</w:t>
            </w: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June 30,</w:t>
            </w:r>
            <w:r>
              <w:br/>
            </w:r>
            <w:r>
              <w:rPr>
                <w:rFonts w:ascii="Times New Roman" w:eastAsia="Times New Roman" w:hAnsi="Times New Roman" w:cs="Times New Roman"/>
                <w:b/>
                <w:i w:val="0"/>
                <w:color w:val="000000"/>
                <w:sz w:val="16"/>
                <w:u w:val="none"/>
              </w:rPr>
              <w:t>2026</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December 31,</w:t>
            </w:r>
            <w:r>
              <w:br/>
            </w:r>
            <w:r>
              <w:rPr>
                <w:rFonts w:ascii="Times New Roman" w:eastAsia="Times New Roman" w:hAnsi="Times New Roman" w:cs="Times New Roman"/>
                <w:b/>
                <w:i w:val="0"/>
                <w:color w:val="000000"/>
                <w:sz w:val="16"/>
                <w:u w:val="none"/>
              </w:rPr>
              <w:t>2025</w:t>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45" w:after="20" w:line="240" w:lineRule="auto"/>
              <w:jc w:val="left"/>
            </w:pPr>
            <w:r>
              <w:rPr>
                <w:rFonts w:ascii="Times New Roman" w:eastAsia="Times New Roman" w:hAnsi="Times New Roman" w:cs="Times New Roman"/>
                <w:b/>
                <w:i w:val="0"/>
                <w:color w:val="000000"/>
                <w:sz w:val="20"/>
                <w:u w:val="none"/>
              </w:rPr>
              <w:t>Assets</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pPr>
              <w:keepNext/>
              <w:pageBreakBefore w:val="0"/>
              <w:spacing w:before="45" w:after="20" w:line="240" w:lineRule="auto"/>
              <w:jc w:val="left"/>
            </w:pPr>
          </w:p>
        </w:tc>
      </w:tr>
      <w:tr>
        <w:tblPrEx>
          <w:tblW w:w="10260" w:type="dxa"/>
          <w:tblInd w:w="0" w:type="dxa"/>
          <w:tblLayout w:type="fixed"/>
        </w:tblPrEx>
        <w:trPr>
          <w:trHeight w:hRule="exact" w:val="285"/>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Current assets:</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Cash and cash equivalents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w:t>
              <w:tab/>
              <w:t>16,450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w:t>
              <w:tab/>
              <w:t>11,377</w:t>
              <w:tab/>
            </w:r>
          </w:p>
        </w:tc>
      </w:tr>
      <w:tr>
        <w:tblPrEx>
          <w:tblW w:w="10260" w:type="dxa"/>
          <w:tblInd w:w="0" w:type="dxa"/>
          <w:tblLayout w:type="fixed"/>
        </w:tblPrEx>
        <w:trPr>
          <w:trHeight w:hRule="exact" w:val="465"/>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numPr>
                <w:ilvl w:val="0"/>
                <w:numId w:val="0"/>
              </w:numPr>
              <w:spacing w:before="75" w:after="30" w:line="240"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Accounts receivable, net of allowances of $</w:t>
            </w:r>
            <w:r>
              <w:rPr>
                <w:rFonts w:ascii="Times New Roman" w:eastAsia="Times New Roman" w:hAnsi="Times New Roman" w:cs="Times New Roman"/>
                <w:b w:val="0"/>
                <w:i w:val="0"/>
                <w:color w:val="000000"/>
                <w:sz w:val="20"/>
                <w:u w:val="none"/>
              </w:rPr>
              <w:t>2,651</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1,401</w:t>
            </w:r>
            <w:r>
              <w:rPr>
                <w:rFonts w:ascii="Times New Roman" w:eastAsia="Times New Roman" w:hAnsi="Times New Roman" w:cs="Times New Roman"/>
                <w:b w:val="0"/>
                <w:i w:val="0"/>
                <w:sz w:val="20"/>
              </w:rPr>
              <w:t xml:space="preserve"> at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December 31, 2025</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72,093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59,785</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Inventories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69,356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65,978</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Income tax receivable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65" w:after="20" w:line="240" w:lineRule="auto"/>
              <w:jc w:val="right"/>
            </w:pPr>
            <w:r>
              <w:rPr>
                <w:rFonts w:ascii="Times New Roman" w:eastAsia="Times New Roman" w:hAnsi="Times New Roman" w:cs="Times New Roman"/>
                <w:b w:val="0"/>
                <w:i w:val="0"/>
                <w:color w:val="000000"/>
                <w:sz w:val="20"/>
                <w:u w:val="none"/>
              </w:rPr>
              <w:tab/>
              <w:t>478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13,389</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Prepaid assets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5,296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2,952</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Other current assets</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10,676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10,526</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45" w:after="20" w:line="240" w:lineRule="auto"/>
              <w:ind w:left="360" w:hanging="360"/>
              <w:jc w:val="left"/>
            </w:pPr>
            <w:r>
              <w:rPr>
                <w:rFonts w:ascii="Times New Roman" w:eastAsia="Times New Roman" w:hAnsi="Times New Roman" w:cs="Times New Roman"/>
                <w:b w:val="0"/>
                <w:i w:val="0"/>
                <w:color w:val="000000"/>
                <w:sz w:val="20"/>
                <w:u w:val="none"/>
              </w:rPr>
              <w:t>Total current assets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45" w:after="20" w:line="240" w:lineRule="auto"/>
              <w:jc w:val="right"/>
            </w:pPr>
            <w:r>
              <w:rPr>
                <w:rFonts w:ascii="Times New Roman" w:eastAsia="Times New Roman" w:hAnsi="Times New Roman" w:cs="Times New Roman"/>
                <w:b w:val="0"/>
                <w:i w:val="0"/>
                <w:color w:val="000000"/>
                <w:sz w:val="20"/>
                <w:u w:val="none"/>
              </w:rPr>
              <w:tab/>
              <w:t>174,349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45" w:after="20" w:line="240" w:lineRule="auto"/>
              <w:jc w:val="right"/>
            </w:pPr>
            <w:r>
              <w:rPr>
                <w:rFonts w:ascii="Times New Roman" w:eastAsia="Times New Roman" w:hAnsi="Times New Roman" w:cs="Times New Roman"/>
                <w:b w:val="0"/>
                <w:i w:val="0"/>
                <w:color w:val="000000"/>
                <w:sz w:val="20"/>
                <w:u w:val="none"/>
              </w:rPr>
              <w:tab/>
              <w:t>164,007</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numPr>
                <w:ilvl w:val="0"/>
                <w:numId w:val="0"/>
              </w:numPr>
              <w:spacing w:before="65" w:after="20" w:line="240" w:lineRule="auto"/>
              <w:ind w:left="36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Property, plant and equipment, net of accumulated depreciation of $</w:t>
            </w:r>
            <w:r>
              <w:rPr>
                <w:rFonts w:ascii="Times New Roman" w:eastAsia="Times New Roman" w:hAnsi="Times New Roman" w:cs="Times New Roman"/>
                <w:b w:val="0"/>
                <w:i w:val="0"/>
                <w:color w:val="000000"/>
                <w:sz w:val="20"/>
                <w:u w:val="none"/>
              </w:rPr>
              <w:t>277,576</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265,399</w:t>
            </w:r>
            <w:r>
              <w:rPr>
                <w:rFonts w:ascii="Times New Roman" w:eastAsia="Times New Roman" w:hAnsi="Times New Roman" w:cs="Times New Roman"/>
                <w:b w:val="0"/>
                <w:i w:val="0"/>
                <w:sz w:val="20"/>
              </w:rPr>
              <w:t xml:space="preserve"> at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December 31, 2025</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65" w:after="20" w:line="240" w:lineRule="auto"/>
              <w:jc w:val="right"/>
            </w:pPr>
            <w:r>
              <w:rPr>
                <w:rFonts w:ascii="Times New Roman" w:eastAsia="Times New Roman" w:hAnsi="Times New Roman" w:cs="Times New Roman"/>
                <w:b w:val="0"/>
                <w:i w:val="0"/>
                <w:color w:val="000000"/>
                <w:sz w:val="20"/>
                <w:u w:val="none"/>
              </w:rPr>
              <w:tab/>
              <w:t>160,725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65" w:after="20" w:line="240" w:lineRule="auto"/>
              <w:jc w:val="right"/>
            </w:pPr>
            <w:r>
              <w:rPr>
                <w:rFonts w:ascii="Times New Roman" w:eastAsia="Times New Roman" w:hAnsi="Times New Roman" w:cs="Times New Roman"/>
                <w:b w:val="0"/>
                <w:i w:val="0"/>
                <w:color w:val="000000"/>
                <w:sz w:val="20"/>
                <w:u w:val="none"/>
              </w:rPr>
              <w:tab/>
              <w:t>158,885</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Operating lease right-of-use assets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32,370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35,155</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Intangible assets, net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23,978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30,789</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Investment in joint venture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48,474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42,543</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Deferred tax assets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1,674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1,673</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Other non-current assets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7,049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7,732</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45" w:after="20" w:line="240" w:lineRule="auto"/>
              <w:ind w:left="360" w:hanging="360"/>
              <w:jc w:val="left"/>
            </w:pPr>
            <w:r>
              <w:rPr>
                <w:rFonts w:ascii="Times New Roman" w:eastAsia="Times New Roman" w:hAnsi="Times New Roman" w:cs="Times New Roman"/>
                <w:b w:val="0"/>
                <w:i w:val="0"/>
                <w:color w:val="000000"/>
                <w:sz w:val="20"/>
                <w:u w:val="none"/>
              </w:rPr>
              <w:t>Total assets</w:t>
            </w: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45" w:after="20" w:line="240" w:lineRule="auto"/>
              <w:jc w:val="right"/>
            </w:pPr>
            <w:r>
              <w:rPr>
                <w:rFonts w:ascii="Times New Roman" w:eastAsia="Times New Roman" w:hAnsi="Times New Roman" w:cs="Times New Roman"/>
                <w:b w:val="0"/>
                <w:i w:val="0"/>
                <w:color w:val="000000"/>
                <w:sz w:val="20"/>
                <w:u w:val="none"/>
              </w:rPr>
              <w:t>$</w:t>
              <w:tab/>
              <w:t>448,619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45" w:after="20" w:line="240" w:lineRule="auto"/>
              <w:jc w:val="right"/>
            </w:pPr>
            <w:r>
              <w:rPr>
                <w:rFonts w:ascii="Times New Roman" w:eastAsia="Times New Roman" w:hAnsi="Times New Roman" w:cs="Times New Roman"/>
                <w:b w:val="0"/>
                <w:i w:val="0"/>
                <w:color w:val="000000"/>
                <w:sz w:val="20"/>
                <w:u w:val="none"/>
              </w:rPr>
              <w:t>$</w:t>
              <w:tab/>
              <w:t>440,784</w:t>
              <w:tab/>
            </w:r>
          </w:p>
        </w:tc>
      </w:tr>
      <w:tr>
        <w:tblPrEx>
          <w:tblW w:w="10260" w:type="dxa"/>
          <w:tblInd w:w="0" w:type="dxa"/>
          <w:tblLayout w:type="fixed"/>
        </w:tblPrEx>
        <w:trPr>
          <w:trHeight w:hRule="exact" w:val="255"/>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15" w:after="30" w:line="240" w:lineRule="auto"/>
              <w:ind w:left="360" w:hanging="360"/>
              <w:jc w:val="left"/>
            </w:pPr>
            <w:r>
              <w:rPr>
                <w:rFonts w:ascii="Times New Roman" w:eastAsia="Times New Roman" w:hAnsi="Times New Roman" w:cs="Times New Roman"/>
                <w:b/>
                <w:i w:val="0"/>
                <w:color w:val="000000"/>
                <w:sz w:val="20"/>
                <w:u w:val="none"/>
              </w:rPr>
              <w:t>Liabilities, Preferred Stock, and Stockholders’ Equity</w:t>
            </w:r>
          </w:p>
        </w:tc>
        <w:tc>
          <w:tcPr>
            <w:tcW w:w="13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Current liabilities:</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Accounts payable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w:t>
              <w:tab/>
              <w:t>56,405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w:t>
              <w:tab/>
              <w:t>49,442</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Accrued salaries, wages and benefits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15,184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14,004</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Income tax payable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65" w:after="20" w:line="240" w:lineRule="auto"/>
              <w:jc w:val="right"/>
            </w:pPr>
            <w:r>
              <w:rPr>
                <w:rFonts w:ascii="Times New Roman" w:eastAsia="Times New Roman" w:hAnsi="Times New Roman" w:cs="Times New Roman"/>
                <w:b w:val="0"/>
                <w:i w:val="0"/>
                <w:color w:val="000000"/>
                <w:sz w:val="20"/>
                <w:u w:val="none"/>
              </w:rPr>
              <w:tab/>
              <w:t>343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65" w:after="20" w:line="240" w:lineRule="auto"/>
              <w:jc w:val="right"/>
            </w:pPr>
            <w:r>
              <w:rPr>
                <w:rFonts w:ascii="Times New Roman" w:eastAsia="Times New Roman" w:hAnsi="Times New Roman" w:cs="Times New Roman"/>
                <w:b w:val="0"/>
                <w:i w:val="0"/>
                <w:color w:val="000000"/>
                <w:sz w:val="20"/>
                <w:u w:val="none"/>
              </w:rPr>
              <w:tab/>
              <w:t>553</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Current maturities of long-term debt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3,257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5,791</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Current portion of operating lease liabilities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6,113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6,430</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Other current liabilities</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16,332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13,575</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45" w:after="20" w:line="240" w:lineRule="auto"/>
              <w:ind w:left="360" w:hanging="360"/>
              <w:jc w:val="left"/>
            </w:pPr>
            <w:r>
              <w:rPr>
                <w:rFonts w:ascii="Times New Roman" w:eastAsia="Times New Roman" w:hAnsi="Times New Roman" w:cs="Times New Roman"/>
                <w:b w:val="0"/>
                <w:i w:val="0"/>
                <w:color w:val="000000"/>
                <w:sz w:val="20"/>
                <w:u w:val="none"/>
              </w:rPr>
              <w:t>Total current liabilities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45" w:after="20" w:line="240" w:lineRule="auto"/>
              <w:jc w:val="right"/>
            </w:pPr>
            <w:r>
              <w:rPr>
                <w:rFonts w:ascii="Times New Roman" w:eastAsia="Times New Roman" w:hAnsi="Times New Roman" w:cs="Times New Roman"/>
                <w:b w:val="0"/>
                <w:i w:val="0"/>
                <w:color w:val="000000"/>
                <w:sz w:val="20"/>
                <w:u w:val="none"/>
              </w:rPr>
              <w:tab/>
              <w:t>97,634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45" w:after="20" w:line="240" w:lineRule="auto"/>
              <w:jc w:val="right"/>
            </w:pPr>
            <w:r>
              <w:rPr>
                <w:rFonts w:ascii="Times New Roman" w:eastAsia="Times New Roman" w:hAnsi="Times New Roman" w:cs="Times New Roman"/>
                <w:b w:val="0"/>
                <w:i w:val="0"/>
                <w:color w:val="000000"/>
                <w:sz w:val="20"/>
                <w:u w:val="none"/>
              </w:rPr>
              <w:tab/>
              <w:t>89,795</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Deferred tax liabilities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3,862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4,312</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Long-term debt, net of current maturities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65" w:after="20" w:line="240" w:lineRule="auto"/>
              <w:jc w:val="right"/>
            </w:pPr>
            <w:r>
              <w:rPr>
                <w:rFonts w:ascii="Times New Roman" w:eastAsia="Times New Roman" w:hAnsi="Times New Roman" w:cs="Times New Roman"/>
                <w:b w:val="0"/>
                <w:i w:val="0"/>
                <w:color w:val="000000"/>
                <w:sz w:val="20"/>
                <w:u w:val="none"/>
              </w:rPr>
              <w:tab/>
              <w:t>163,227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65" w:after="20" w:line="240" w:lineRule="auto"/>
              <w:jc w:val="right"/>
            </w:pPr>
            <w:r>
              <w:rPr>
                <w:rFonts w:ascii="Times New Roman" w:eastAsia="Times New Roman" w:hAnsi="Times New Roman" w:cs="Times New Roman"/>
                <w:b w:val="0"/>
                <w:i w:val="0"/>
                <w:color w:val="000000"/>
                <w:sz w:val="20"/>
                <w:u w:val="none"/>
              </w:rPr>
              <w:tab/>
              <w:t>153,758</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Operating lease liabilities, net of current portion</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33,790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37,092</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Other non-current liabilities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6,767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9,420</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45" w:after="20" w:line="240" w:lineRule="auto"/>
              <w:ind w:left="360" w:hanging="360"/>
              <w:jc w:val="left"/>
            </w:pPr>
            <w:r>
              <w:rPr>
                <w:rFonts w:ascii="Times New Roman" w:eastAsia="Times New Roman" w:hAnsi="Times New Roman" w:cs="Times New Roman"/>
                <w:b w:val="0"/>
                <w:i w:val="0"/>
                <w:color w:val="000000"/>
                <w:sz w:val="20"/>
                <w:u w:val="none"/>
              </w:rPr>
              <w:t>Total liabilities</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45" w:after="20" w:line="240" w:lineRule="auto"/>
              <w:jc w:val="right"/>
            </w:pPr>
            <w:r>
              <w:rPr>
                <w:rFonts w:ascii="Times New Roman" w:eastAsia="Times New Roman" w:hAnsi="Times New Roman" w:cs="Times New Roman"/>
                <w:b w:val="0"/>
                <w:i w:val="0"/>
                <w:color w:val="000000"/>
                <w:sz w:val="20"/>
                <w:u w:val="none"/>
              </w:rPr>
              <w:tab/>
              <w:t>305,280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45" w:after="20" w:line="240" w:lineRule="auto"/>
              <w:jc w:val="right"/>
            </w:pPr>
            <w:r>
              <w:rPr>
                <w:rFonts w:ascii="Times New Roman" w:eastAsia="Times New Roman" w:hAnsi="Times New Roman" w:cs="Times New Roman"/>
                <w:b w:val="0"/>
                <w:i w:val="0"/>
                <w:color w:val="000000"/>
                <w:sz w:val="20"/>
                <w:u w:val="none"/>
              </w:rPr>
              <w:tab/>
              <w:t>294,377</w:t>
              <w:tab/>
            </w:r>
          </w:p>
        </w:tc>
      </w:tr>
      <w:tr>
        <w:tblPrEx>
          <w:tblW w:w="10260" w:type="dxa"/>
          <w:tblInd w:w="0" w:type="dxa"/>
          <w:tblLayout w:type="fixed"/>
        </w:tblPrEx>
        <w:trPr>
          <w:trHeight w:hRule="exact" w:val="30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numPr>
                <w:ilvl w:val="0"/>
                <w:numId w:val="0"/>
              </w:numPr>
              <w:spacing w:before="55" w:after="30" w:line="240" w:lineRule="auto"/>
              <w:ind w:left="36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Commitments and contingencies (</w:t>
            </w:r>
            <w:r>
              <w:rPr>
                <w:rFonts w:ascii="Times New Roman" w:eastAsia="Times New Roman" w:hAnsi="Times New Roman" w:cs="Times New Roman"/>
                <w:b w:val="0"/>
                <w:i w:val="0"/>
                <w:color w:val="000000"/>
                <w:sz w:val="20"/>
                <w:u w:val="none"/>
              </w:rPr>
              <w:t>Note 11</w:t>
            </w:r>
            <w:r>
              <w:rPr>
                <w:rFonts w:ascii="Times New Roman" w:eastAsia="Times New Roman" w:hAnsi="Times New Roman" w:cs="Times New Roman"/>
                <w:b w:val="0"/>
                <w:i w:val="0"/>
                <w:sz w:val="20"/>
              </w:rPr>
              <w:t>)</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numPr>
                <w:ilvl w:val="0"/>
                <w:numId w:val="0"/>
              </w:numPr>
              <w:spacing w:before="65" w:after="20" w:line="240" w:lineRule="auto"/>
              <w:ind w:left="36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Series D perpetual preferred stock - </w:t>
            </w:r>
            <w:r>
              <w:rPr>
                <w:rFonts w:ascii="Times New Roman" w:eastAsia="Times New Roman" w:hAnsi="Times New Roman" w:cs="Times New Roman"/>
                <w:b w:val="0"/>
                <w:i w:val="0"/>
                <w:color w:val="000000"/>
                <w:sz w:val="20"/>
                <w:u w:val="none"/>
              </w:rPr>
              <w:t>$0.01</w:t>
            </w:r>
            <w:r>
              <w:rPr>
                <w:rFonts w:ascii="Times New Roman" w:eastAsia="Times New Roman" w:hAnsi="Times New Roman" w:cs="Times New Roman"/>
                <w:b w:val="0"/>
                <w:i w:val="0"/>
                <w:sz w:val="20"/>
              </w:rPr>
              <w:t xml:space="preserve"> par value per share, </w:t>
            </w:r>
            <w:r>
              <w:rPr>
                <w:rFonts w:ascii="Times New Roman" w:eastAsia="Times New Roman" w:hAnsi="Times New Roman" w:cs="Times New Roman"/>
                <w:b w:val="0"/>
                <w:i w:val="0"/>
                <w:color w:val="000000"/>
                <w:sz w:val="20"/>
                <w:u w:val="none"/>
              </w:rPr>
              <w:t>65</w:t>
            </w:r>
            <w:r>
              <w:rPr>
                <w:rFonts w:ascii="Times New Roman" w:eastAsia="Times New Roman" w:hAnsi="Times New Roman" w:cs="Times New Roman"/>
                <w:b w:val="0"/>
                <w:i w:val="0"/>
                <w:sz w:val="20"/>
              </w:rPr>
              <w:t xml:space="preserve"> shares authorized, issued and outstanding at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December 31, 2025</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65" w:after="20" w:line="240" w:lineRule="auto"/>
              <w:jc w:val="right"/>
            </w:pPr>
            <w:r>
              <w:rPr>
                <w:rFonts w:ascii="Times New Roman" w:eastAsia="Times New Roman" w:hAnsi="Times New Roman" w:cs="Times New Roman"/>
                <w:b w:val="0"/>
                <w:i w:val="0"/>
                <w:color w:val="000000"/>
                <w:sz w:val="20"/>
                <w:u w:val="none"/>
              </w:rPr>
              <w:tab/>
              <w:t>122,128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65" w:after="20" w:line="240" w:lineRule="auto"/>
              <w:jc w:val="right"/>
            </w:pPr>
            <w:r>
              <w:rPr>
                <w:rFonts w:ascii="Times New Roman" w:eastAsia="Times New Roman" w:hAnsi="Times New Roman" w:cs="Times New Roman"/>
                <w:b w:val="0"/>
                <w:i w:val="0"/>
                <w:color w:val="000000"/>
                <w:sz w:val="20"/>
                <w:u w:val="none"/>
              </w:rPr>
              <w:tab/>
              <w:t>112,409</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Stockholders’ equity:</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numPr>
                <w:ilvl w:val="0"/>
                <w:numId w:val="0"/>
              </w:numPr>
              <w:spacing w:before="65" w:after="20" w:line="240" w:lineRule="auto"/>
              <w:ind w:left="72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Common stock - </w:t>
            </w:r>
            <w:r>
              <w:rPr>
                <w:rFonts w:ascii="Times New Roman" w:eastAsia="Times New Roman" w:hAnsi="Times New Roman" w:cs="Times New Roman"/>
                <w:b w:val="0"/>
                <w:i w:val="0"/>
                <w:color w:val="000000"/>
                <w:sz w:val="20"/>
                <w:u w:val="none"/>
              </w:rPr>
              <w:t>$0.01</w:t>
            </w:r>
            <w:r>
              <w:rPr>
                <w:rFonts w:ascii="Times New Roman" w:eastAsia="Times New Roman" w:hAnsi="Times New Roman" w:cs="Times New Roman"/>
                <w:b w:val="0"/>
                <w:i w:val="0"/>
                <w:sz w:val="20"/>
              </w:rPr>
              <w:t xml:space="preserve"> par value per share, </w:t>
            </w:r>
            <w:r>
              <w:rPr>
                <w:rFonts w:ascii="Times New Roman" w:eastAsia="Times New Roman" w:hAnsi="Times New Roman" w:cs="Times New Roman"/>
                <w:b w:val="0"/>
                <w:i w:val="0"/>
                <w:color w:val="000000"/>
                <w:sz w:val="20"/>
                <w:u w:val="none"/>
              </w:rPr>
              <w:t>90,000</w:t>
            </w:r>
            <w:r>
              <w:rPr>
                <w:rFonts w:ascii="Times New Roman" w:eastAsia="Times New Roman" w:hAnsi="Times New Roman" w:cs="Times New Roman"/>
                <w:b w:val="0"/>
                <w:i w:val="0"/>
                <w:sz w:val="20"/>
              </w:rPr>
              <w:t xml:space="preserve"> shares authorized, </w:t>
            </w:r>
            <w:r>
              <w:rPr>
                <w:rFonts w:ascii="Times New Roman" w:eastAsia="Times New Roman" w:hAnsi="Times New Roman" w:cs="Times New Roman"/>
                <w:b w:val="0"/>
                <w:i w:val="0"/>
                <w:color w:val="000000"/>
                <w:sz w:val="20"/>
                <w:u w:val="none"/>
              </w:rPr>
              <w:t>52,574</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50,196</w:t>
            </w:r>
            <w:r>
              <w:rPr>
                <w:rFonts w:ascii="Times New Roman" w:eastAsia="Times New Roman" w:hAnsi="Times New Roman" w:cs="Times New Roman"/>
                <w:b w:val="0"/>
                <w:i w:val="0"/>
                <w:sz w:val="20"/>
              </w:rPr>
              <w:t xml:space="preserve"> shares issued and outstanding at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December 31, 2025</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65" w:after="20" w:line="240" w:lineRule="auto"/>
              <w:jc w:val="right"/>
            </w:pPr>
            <w:r>
              <w:rPr>
                <w:rFonts w:ascii="Times New Roman" w:eastAsia="Times New Roman" w:hAnsi="Times New Roman" w:cs="Times New Roman"/>
                <w:b w:val="0"/>
                <w:i w:val="0"/>
                <w:color w:val="000000"/>
                <w:sz w:val="20"/>
                <w:u w:val="none"/>
              </w:rPr>
              <w:tab/>
              <w:t>525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65" w:after="20" w:line="240" w:lineRule="auto"/>
              <w:jc w:val="right"/>
            </w:pPr>
            <w:r>
              <w:rPr>
                <w:rFonts w:ascii="Times New Roman" w:eastAsia="Times New Roman" w:hAnsi="Times New Roman" w:cs="Times New Roman"/>
                <w:b w:val="0"/>
                <w:i w:val="0"/>
                <w:color w:val="000000"/>
                <w:sz w:val="20"/>
                <w:u w:val="none"/>
              </w:rPr>
              <w:tab/>
              <w:t>502</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Additional paid-in capital</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65" w:after="20" w:line="240" w:lineRule="auto"/>
              <w:jc w:val="right"/>
            </w:pPr>
            <w:r>
              <w:rPr>
                <w:rFonts w:ascii="Times New Roman" w:eastAsia="Times New Roman" w:hAnsi="Times New Roman" w:cs="Times New Roman"/>
                <w:b w:val="0"/>
                <w:i w:val="0"/>
                <w:color w:val="000000"/>
                <w:sz w:val="20"/>
                <w:u w:val="none"/>
              </w:rPr>
              <w:tab/>
              <w:t>433,225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65" w:after="20" w:line="240" w:lineRule="auto"/>
              <w:jc w:val="right"/>
            </w:pPr>
            <w:r>
              <w:rPr>
                <w:rFonts w:ascii="Times New Roman" w:eastAsia="Times New Roman" w:hAnsi="Times New Roman" w:cs="Times New Roman"/>
                <w:b w:val="0"/>
                <w:i w:val="0"/>
                <w:color w:val="000000"/>
                <w:sz w:val="20"/>
                <w:u w:val="none"/>
              </w:rPr>
              <w:tab/>
              <w:t>439,700</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Accumulated deficit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36"/>
              </w:tabs>
              <w:spacing w:before="65" w:after="20" w:line="240" w:lineRule="auto"/>
              <w:jc w:val="right"/>
            </w:pPr>
            <w:r>
              <w:rPr>
                <w:rFonts w:ascii="Times New Roman" w:eastAsia="Times New Roman" w:hAnsi="Times New Roman" w:cs="Times New Roman"/>
                <w:b w:val="0"/>
                <w:i w:val="0"/>
                <w:color w:val="000000"/>
                <w:sz w:val="20"/>
                <w:u w:val="none"/>
              </w:rPr>
              <w:tab/>
              <w:t>(376,720)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36"/>
              </w:tabs>
              <w:spacing w:before="65" w:after="20" w:line="240" w:lineRule="auto"/>
              <w:jc w:val="right"/>
            </w:pPr>
            <w:r>
              <w:rPr>
                <w:rFonts w:ascii="Times New Roman" w:eastAsia="Times New Roman" w:hAnsi="Times New Roman" w:cs="Times New Roman"/>
                <w:b w:val="0"/>
                <w:i w:val="0"/>
                <w:color w:val="000000"/>
                <w:sz w:val="20"/>
                <w:u w:val="none"/>
              </w:rPr>
              <w:tab/>
              <w:t>(367,625)</w:t>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Accumulated other comprehensive loss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36"/>
              </w:tabs>
              <w:spacing w:before="65" w:after="20" w:line="240" w:lineRule="auto"/>
              <w:jc w:val="right"/>
            </w:pPr>
            <w:r>
              <w:rPr>
                <w:rFonts w:ascii="Times New Roman" w:eastAsia="Times New Roman" w:hAnsi="Times New Roman" w:cs="Times New Roman"/>
                <w:b w:val="0"/>
                <w:i w:val="0"/>
                <w:color w:val="000000"/>
                <w:sz w:val="20"/>
                <w:u w:val="none"/>
              </w:rPr>
              <w:tab/>
              <w:t>(35,819)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36"/>
              </w:tabs>
              <w:spacing w:before="65" w:after="20" w:line="240" w:lineRule="auto"/>
              <w:jc w:val="right"/>
            </w:pPr>
            <w:r>
              <w:rPr>
                <w:rFonts w:ascii="Times New Roman" w:eastAsia="Times New Roman" w:hAnsi="Times New Roman" w:cs="Times New Roman"/>
                <w:b w:val="0"/>
                <w:i w:val="0"/>
                <w:color w:val="000000"/>
                <w:sz w:val="20"/>
                <w:u w:val="none"/>
              </w:rPr>
              <w:tab/>
              <w:t>(38,579)</w:t>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45" w:after="20" w:line="240" w:lineRule="auto"/>
              <w:jc w:val="left"/>
            </w:pPr>
            <w:r>
              <w:rPr>
                <w:rFonts w:ascii="Times New Roman" w:eastAsia="Times New Roman" w:hAnsi="Times New Roman" w:cs="Times New Roman"/>
                <w:b w:val="0"/>
                <w:i w:val="0"/>
                <w:color w:val="000000"/>
                <w:sz w:val="20"/>
                <w:u w:val="none"/>
              </w:rPr>
              <w:t>Total stockholders’ equity</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45" w:after="20" w:line="240" w:lineRule="auto"/>
              <w:jc w:val="right"/>
            </w:pPr>
            <w:r>
              <w:rPr>
                <w:rFonts w:ascii="Times New Roman" w:eastAsia="Times New Roman" w:hAnsi="Times New Roman" w:cs="Times New Roman"/>
                <w:b w:val="0"/>
                <w:i w:val="0"/>
                <w:color w:val="000000"/>
                <w:sz w:val="20"/>
                <w:u w:val="none"/>
              </w:rPr>
              <w:tab/>
              <w:t>21,211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45" w:after="20" w:line="240" w:lineRule="auto"/>
              <w:jc w:val="right"/>
            </w:pPr>
            <w:r>
              <w:rPr>
                <w:rFonts w:ascii="Times New Roman" w:eastAsia="Times New Roman" w:hAnsi="Times New Roman" w:cs="Times New Roman"/>
                <w:b w:val="0"/>
                <w:i w:val="0"/>
                <w:color w:val="000000"/>
                <w:sz w:val="20"/>
                <w:u w:val="none"/>
              </w:rPr>
              <w:tab/>
              <w:t>33,998</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pageBreakBefore w:val="0"/>
              <w:spacing w:before="45" w:after="20" w:line="240" w:lineRule="auto"/>
              <w:jc w:val="left"/>
            </w:pPr>
            <w:r>
              <w:rPr>
                <w:rFonts w:ascii="Times New Roman" w:eastAsia="Times New Roman" w:hAnsi="Times New Roman" w:cs="Times New Roman"/>
                <w:b w:val="0"/>
                <w:i w:val="0"/>
                <w:color w:val="000000"/>
                <w:sz w:val="20"/>
                <w:u w:val="none"/>
              </w:rPr>
              <w:t>Total liabilities, preferred stock, and stockholders’ equity</w:t>
            </w: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522"/>
                <w:tab w:val="left" w:pos="1237"/>
              </w:tabs>
              <w:spacing w:before="45" w:after="20" w:line="240" w:lineRule="auto"/>
              <w:jc w:val="right"/>
            </w:pPr>
            <w:r>
              <w:rPr>
                <w:rFonts w:ascii="Times New Roman" w:eastAsia="Times New Roman" w:hAnsi="Times New Roman" w:cs="Times New Roman"/>
                <w:b w:val="0"/>
                <w:i w:val="0"/>
                <w:color w:val="000000"/>
                <w:sz w:val="20"/>
                <w:u w:val="none"/>
              </w:rPr>
              <w:t>$</w:t>
              <w:tab/>
              <w:t>448,619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rPr>
                <w:sz w:val="20"/>
              </w:rPr>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522"/>
                <w:tab w:val="left" w:pos="1237"/>
              </w:tabs>
              <w:spacing w:before="45" w:after="20" w:line="240" w:lineRule="auto"/>
              <w:jc w:val="right"/>
            </w:pPr>
            <w:r>
              <w:rPr>
                <w:rFonts w:ascii="Times New Roman" w:eastAsia="Times New Roman" w:hAnsi="Times New Roman" w:cs="Times New Roman"/>
                <w:b w:val="0"/>
                <w:i w:val="0"/>
                <w:color w:val="000000"/>
                <w:sz w:val="20"/>
                <w:u w:val="none"/>
              </w:rPr>
              <w:t>$</w:t>
              <w:tab/>
              <w:t>440,784</w:t>
              <w:tab/>
            </w:r>
          </w:p>
        </w:tc>
      </w:tr>
    </w:tbl>
    <w:p>
      <w:pPr>
        <w:keepNext w:val="0"/>
        <w:keepLines w:val="0"/>
        <w:pageBreakBefore w:val="0"/>
        <w:widowControl/>
        <w:numPr>
          <w:ilvl w:val="0"/>
          <w:numId w:val="0"/>
        </w:numPr>
        <w:spacing w:before="12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See notes to condensed consolidated financial statements (unaudited).</w:t>
      </w:r>
    </w:p>
    <w:p>
      <w:pPr>
        <w:keepNext w:val="0"/>
        <w:keepLines w:val="0"/>
        <w:pageBreakBefore w:val="0"/>
        <w:widowControl/>
        <w:numPr>
          <w:ilvl w:val="0"/>
          <w:numId w:val="0"/>
        </w:numPr>
        <w:spacing w:before="120" w:after="0" w:line="288" w:lineRule="auto"/>
        <w:ind w:left="0" w:right="0" w:firstLine="0"/>
        <w:jc w:val="center"/>
        <w:outlineLvl w:val="9"/>
        <w:rPr>
          <w:rFonts w:ascii="Times New Roman" w:eastAsia="Times New Roman" w:hAnsi="Times New Roman" w:cs="Times New Roman"/>
          <w:b/>
          <w:i w:val="0"/>
          <w:sz w:val="20"/>
        </w:rPr>
        <w:sectPr>
          <w:pgSz w:w="12240" w:h="15840"/>
          <w:pgMar w:top="810" w:right="990" w:bottom="810" w:left="990" w:header="270" w:footer="270"/>
          <w:cols w:space="708"/>
        </w:sectPr>
      </w:pPr>
    </w:p>
    <w:p>
      <w:pPr>
        <w:pStyle w:val="PARTheading"/>
        <w:keepNext w:val="0"/>
        <w:keepLines w:val="0"/>
        <w:pageBreakBefore w:val="0"/>
        <w:widowControl/>
        <w:numPr>
          <w:ilvl w:val="0"/>
          <w:numId w:val="0"/>
        </w:numPr>
        <w:spacing w:before="0" w:after="60" w:line="288" w:lineRule="auto"/>
        <w:ind w:left="0" w:right="0" w:firstLine="0"/>
        <w:jc w:val="center"/>
        <w:outlineLvl w:val="2"/>
        <w:rPr>
          <w:rFonts w:ascii="Times New Roman" w:eastAsia="Times New Roman" w:hAnsi="Times New Roman" w:cs="Times New Roman"/>
          <w:b/>
          <w:i w:val="0"/>
          <w:color w:val="000000"/>
          <w:sz w:val="20"/>
          <w:u w:val="none"/>
        </w:rPr>
      </w:pPr>
      <w:bookmarkStart w:id="5" w:name="Section7"/>
      <w:bookmarkEnd w:id="5"/>
      <w:r>
        <w:rPr>
          <w:rFonts w:ascii="Times New Roman" w:eastAsia="Times New Roman" w:hAnsi="Times New Roman" w:cs="Times New Roman"/>
          <w:b/>
          <w:i w:val="0"/>
          <w:color w:val="000000"/>
          <w:sz w:val="20"/>
          <w:u w:val="none"/>
        </w:rPr>
        <w:t>NN, Inc.</w:t>
      </w:r>
    </w:p>
    <w:p>
      <w:pPr>
        <w:pStyle w:val="PARTheading"/>
        <w:keepNext w:val="0"/>
        <w:keepLines w:val="0"/>
        <w:pageBreakBefore w:val="0"/>
        <w:widowControl/>
        <w:numPr>
          <w:ilvl w:val="0"/>
          <w:numId w:val="0"/>
        </w:numPr>
        <w:spacing w:before="0" w:after="6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Condensed Consolidated Statements of Cash Flows (Unaudited)</w:t>
      </w:r>
    </w:p>
    <w:tbl>
      <w:tblPr>
        <w:tblStyle w:val="TableNormal0"/>
        <w:tblW w:w="10260" w:type="dxa"/>
        <w:jc w:val="left"/>
        <w:tblInd w:w="0" w:type="dxa"/>
        <w:tblLayout w:type="fixed"/>
      </w:tblPr>
      <w:tblGrid>
        <w:gridCol w:w="7590"/>
        <w:gridCol w:w="1305"/>
        <w:gridCol w:w="60"/>
        <w:gridCol w:w="1305"/>
      </w:tblGrid>
      <w:tr>
        <w:tblPrEx>
          <w:tblW w:w="10260" w:type="dxa"/>
          <w:tblInd w:w="0" w:type="dxa"/>
          <w:tblLayout w:type="fixed"/>
        </w:tblPrEx>
        <w:trPr>
          <w:trHeight w:hRule="auto" w:val="0"/>
        </w:trPr>
        <w:tc>
          <w:tcPr>
            <w:tcW w:w="7590"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20"/>
              </w:rPr>
            </w:pPr>
          </w:p>
        </w:tc>
        <w:tc>
          <w:tcPr>
            <w:tcW w:w="2670"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line="240" w:lineRule="auto"/>
              <w:jc w:val="center"/>
            </w:pPr>
            <w:r>
              <w:rPr>
                <w:rFonts w:ascii="Times New Roman" w:eastAsia="Times New Roman" w:hAnsi="Times New Roman" w:cs="Times New Roman"/>
                <w:b/>
                <w:i w:val="0"/>
                <w:color w:val="000000"/>
                <w:sz w:val="16"/>
                <w:u w:val="none"/>
              </w:rPr>
              <w:t xml:space="preserve">Six Months Ended </w:t>
            </w:r>
          </w:p>
          <w:p>
            <w:pPr>
              <w:spacing w:after="20" w:line="240" w:lineRule="auto"/>
              <w:jc w:val="center"/>
            </w:pPr>
            <w:r>
              <w:rPr>
                <w:rFonts w:ascii="Times New Roman" w:eastAsia="Times New Roman" w:hAnsi="Times New Roman" w:cs="Times New Roman"/>
                <w:b/>
                <w:i w:val="0"/>
                <w:color w:val="000000"/>
                <w:sz w:val="16"/>
                <w:u w:val="none"/>
              </w:rPr>
              <w:t>June 30,</w:t>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45" w:after="20" w:line="240" w:lineRule="auto"/>
              <w:jc w:val="left"/>
            </w:pPr>
            <w:r>
              <w:rPr>
                <w:rFonts w:ascii="Times New Roman" w:eastAsia="Times New Roman" w:hAnsi="Times New Roman" w:cs="Times New Roman"/>
                <w:b/>
                <w:i w:val="0"/>
                <w:color w:val="000000"/>
                <w:sz w:val="16"/>
                <w:u w:val="none"/>
              </w:rPr>
              <w:t>(in thousands)</w:t>
            </w:r>
          </w:p>
        </w:tc>
        <w:tc>
          <w:tcPr>
            <w:tcW w:w="130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2026</w:t>
            </w:r>
          </w:p>
        </w:tc>
        <w:tc>
          <w:tcPr>
            <w:tcW w:w="60" w:type="dxa"/>
            <w:tcBorders>
              <w:top w:val="sing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30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2025</w:t>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45" w:after="20" w:line="240" w:lineRule="auto"/>
              <w:jc w:val="left"/>
            </w:pPr>
            <w:r>
              <w:rPr>
                <w:rFonts w:ascii="Times New Roman" w:eastAsia="Times New Roman" w:hAnsi="Times New Roman" w:cs="Times New Roman"/>
                <w:b/>
                <w:i w:val="0"/>
                <w:color w:val="000000"/>
                <w:sz w:val="20"/>
                <w:u w:val="none"/>
              </w:rPr>
              <w:t>Cash flows from operating activities</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Net loss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36"/>
              </w:tabs>
              <w:spacing w:before="65" w:after="20" w:line="240" w:lineRule="auto"/>
              <w:jc w:val="right"/>
            </w:pPr>
            <w:r>
              <w:rPr>
                <w:rFonts w:ascii="Times New Roman" w:eastAsia="Times New Roman" w:hAnsi="Times New Roman" w:cs="Times New Roman"/>
                <w:b w:val="0"/>
                <w:i w:val="0"/>
                <w:color w:val="000000"/>
                <w:sz w:val="20"/>
                <w:u w:val="none"/>
              </w:rPr>
              <w:t>$</w:t>
              <w:tab/>
              <w:t>(9,095)</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6"/>
              </w:tabs>
              <w:spacing w:before="65" w:after="20" w:line="240" w:lineRule="auto"/>
              <w:jc w:val="right"/>
            </w:pPr>
            <w:r>
              <w:rPr>
                <w:rFonts w:ascii="Times New Roman" w:eastAsia="Times New Roman" w:hAnsi="Times New Roman" w:cs="Times New Roman"/>
                <w:b w:val="0"/>
                <w:i w:val="0"/>
                <w:color w:val="000000"/>
                <w:sz w:val="20"/>
                <w:u w:val="none"/>
              </w:rPr>
              <w:t>$</w:t>
              <w:tab/>
              <w:t>(14,787)</w:t>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Adjustments to reconcile net loss to net cash provided by (used in) operating activities:</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Depreciation and amortization</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18,584</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17,692</w:t>
              <w:tab/>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Amortization of debt issuance costs and discount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65" w:after="20" w:line="240" w:lineRule="auto"/>
              <w:jc w:val="right"/>
            </w:pPr>
            <w:r>
              <w:rPr>
                <w:rFonts w:ascii="Times New Roman" w:eastAsia="Times New Roman" w:hAnsi="Times New Roman" w:cs="Times New Roman"/>
                <w:b w:val="0"/>
                <w:i w:val="0"/>
                <w:color w:val="000000"/>
                <w:sz w:val="20"/>
                <w:u w:val="none"/>
              </w:rPr>
              <w:tab/>
              <w:t>499</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1,024</w:t>
              <w:tab/>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Paid-in-kind interest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3,283</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1,236</w:t>
              <w:tab/>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Loss on extinguishment of debt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2"/>
                <w:tab w:val="left" w:pos="123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3,007</w:t>
              <w:tab/>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Total derivative loss (gain)</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65" w:after="20" w:line="240" w:lineRule="auto"/>
              <w:jc w:val="right"/>
            </w:pPr>
            <w:r>
              <w:rPr>
                <w:rFonts w:ascii="Times New Roman" w:eastAsia="Times New Roman" w:hAnsi="Times New Roman" w:cs="Times New Roman"/>
                <w:b w:val="0"/>
                <w:i w:val="0"/>
                <w:color w:val="000000"/>
                <w:sz w:val="20"/>
                <w:u w:val="none"/>
              </w:rPr>
              <w:tab/>
              <w:t>250</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36"/>
              </w:tabs>
              <w:spacing w:before="65" w:after="20" w:line="240" w:lineRule="auto"/>
              <w:jc w:val="right"/>
            </w:pPr>
            <w:r>
              <w:rPr>
                <w:rFonts w:ascii="Times New Roman" w:eastAsia="Times New Roman" w:hAnsi="Times New Roman" w:cs="Times New Roman"/>
                <w:b w:val="0"/>
                <w:i w:val="0"/>
                <w:color w:val="000000"/>
                <w:sz w:val="20"/>
                <w:u w:val="none"/>
              </w:rPr>
              <w:tab/>
              <w:t>(2,036)</w:t>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Share of net income from joint venture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65" w:after="20" w:line="240" w:lineRule="auto"/>
              <w:jc w:val="right"/>
            </w:pPr>
            <w:r>
              <w:rPr>
                <w:rFonts w:ascii="Times New Roman" w:eastAsia="Times New Roman" w:hAnsi="Times New Roman" w:cs="Times New Roman"/>
                <w:b w:val="0"/>
                <w:i w:val="0"/>
                <w:color w:val="000000"/>
                <w:sz w:val="20"/>
                <w:u w:val="none"/>
              </w:rPr>
              <w:tab/>
              <w:t>(4,638)</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65" w:after="20" w:line="240" w:lineRule="auto"/>
              <w:jc w:val="right"/>
            </w:pPr>
            <w:r>
              <w:rPr>
                <w:rFonts w:ascii="Times New Roman" w:eastAsia="Times New Roman" w:hAnsi="Times New Roman" w:cs="Times New Roman"/>
                <w:b w:val="0"/>
                <w:i w:val="0"/>
                <w:color w:val="000000"/>
                <w:sz w:val="20"/>
                <w:u w:val="none"/>
              </w:rPr>
              <w:tab/>
              <w:t>(4,620)</w:t>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Share-based compensation expense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1,609</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1,640</w:t>
              <w:tab/>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Deferred income taxes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6"/>
              </w:tabs>
              <w:spacing w:before="65" w:after="20" w:line="240" w:lineRule="auto"/>
              <w:jc w:val="right"/>
            </w:pPr>
            <w:r>
              <w:rPr>
                <w:rFonts w:ascii="Times New Roman" w:eastAsia="Times New Roman" w:hAnsi="Times New Roman" w:cs="Times New Roman"/>
                <w:b w:val="0"/>
                <w:i w:val="0"/>
                <w:color w:val="000000"/>
                <w:sz w:val="20"/>
                <w:u w:val="none"/>
              </w:rPr>
              <w:tab/>
              <w:t>(393)</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86"/>
              </w:tabs>
              <w:spacing w:before="65" w:after="20" w:line="240" w:lineRule="auto"/>
              <w:jc w:val="right"/>
            </w:pPr>
            <w:r>
              <w:rPr>
                <w:rFonts w:ascii="Times New Roman" w:eastAsia="Times New Roman" w:hAnsi="Times New Roman" w:cs="Times New Roman"/>
                <w:b w:val="0"/>
                <w:i w:val="0"/>
                <w:color w:val="000000"/>
                <w:sz w:val="20"/>
                <w:u w:val="none"/>
              </w:rPr>
              <w:tab/>
              <w:t>(5)</w:t>
            </w:r>
          </w:p>
        </w:tc>
      </w:tr>
      <w:tr>
        <w:tblPrEx>
          <w:tblW w:w="10260" w:type="dxa"/>
          <w:tblInd w:w="0" w:type="dxa"/>
          <w:tblLayout w:type="fixed"/>
        </w:tblPrEx>
        <w:trPr>
          <w:trHeight w:hRule="exact" w:val="285"/>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ind w:left="720" w:hanging="360"/>
              <w:jc w:val="left"/>
            </w:pPr>
            <w:r>
              <w:rPr>
                <w:rFonts w:ascii="Times New Roman" w:eastAsia="Times New Roman" w:hAnsi="Times New Roman" w:cs="Times New Roman"/>
                <w:b w:val="0"/>
                <w:i w:val="0"/>
                <w:color w:val="000000"/>
                <w:sz w:val="20"/>
                <w:u w:val="none"/>
              </w:rPr>
              <w:t>Other</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741</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86"/>
              </w:tabs>
              <w:spacing w:before="75" w:after="30" w:line="240" w:lineRule="auto"/>
              <w:jc w:val="right"/>
            </w:pPr>
            <w:r>
              <w:rPr>
                <w:rFonts w:ascii="Times New Roman" w:eastAsia="Times New Roman" w:hAnsi="Times New Roman" w:cs="Times New Roman"/>
                <w:b w:val="0"/>
                <w:i w:val="0"/>
                <w:color w:val="000000"/>
                <w:sz w:val="20"/>
                <w:u w:val="none"/>
              </w:rPr>
              <w:tab/>
              <w:t>(785)</w:t>
            </w:r>
          </w:p>
        </w:tc>
      </w:tr>
      <w:tr>
        <w:tblPrEx>
          <w:tblW w:w="10260" w:type="dxa"/>
          <w:tblInd w:w="0" w:type="dxa"/>
          <w:tblLayout w:type="fixed"/>
        </w:tblPrEx>
        <w:trPr>
          <w:trHeight w:hRule="exact" w:val="285"/>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ind w:left="720" w:hanging="360"/>
              <w:jc w:val="left"/>
            </w:pPr>
            <w:r>
              <w:rPr>
                <w:rFonts w:ascii="Times New Roman" w:eastAsia="Times New Roman" w:hAnsi="Times New Roman" w:cs="Times New Roman"/>
                <w:b w:val="0"/>
                <w:i w:val="0"/>
                <w:color w:val="000000"/>
                <w:sz w:val="20"/>
                <w:u w:val="none"/>
              </w:rPr>
              <w:t>Changes in operating assets and liabilities:</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r>
      <w:tr>
        <w:tblPrEx>
          <w:tblW w:w="10260" w:type="dxa"/>
          <w:tblInd w:w="0" w:type="dxa"/>
          <w:tblLayout w:type="fixed"/>
        </w:tblPrEx>
        <w:trPr>
          <w:trHeight w:hRule="exact" w:val="285"/>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ind w:left="1080" w:hanging="360"/>
              <w:jc w:val="left"/>
            </w:pPr>
            <w:r>
              <w:rPr>
                <w:rFonts w:ascii="Times New Roman" w:eastAsia="Times New Roman" w:hAnsi="Times New Roman" w:cs="Times New Roman"/>
                <w:b w:val="0"/>
                <w:i w:val="0"/>
                <w:color w:val="000000"/>
                <w:sz w:val="20"/>
                <w:u w:val="none"/>
              </w:rPr>
              <w:t>Accounts receivable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6"/>
              </w:tabs>
              <w:spacing w:before="75" w:after="30" w:line="240" w:lineRule="auto"/>
              <w:jc w:val="right"/>
            </w:pPr>
            <w:r>
              <w:rPr>
                <w:rFonts w:ascii="Times New Roman" w:eastAsia="Times New Roman" w:hAnsi="Times New Roman" w:cs="Times New Roman"/>
                <w:b w:val="0"/>
                <w:i w:val="0"/>
                <w:color w:val="000000"/>
                <w:sz w:val="20"/>
                <w:u w:val="none"/>
              </w:rPr>
              <w:tab/>
              <w:t>(13,120)</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36"/>
              </w:tabs>
              <w:spacing w:before="75" w:after="30" w:line="240" w:lineRule="auto"/>
              <w:jc w:val="right"/>
            </w:pPr>
            <w:r>
              <w:rPr>
                <w:rFonts w:ascii="Times New Roman" w:eastAsia="Times New Roman" w:hAnsi="Times New Roman" w:cs="Times New Roman"/>
                <w:b w:val="0"/>
                <w:i w:val="0"/>
                <w:color w:val="000000"/>
                <w:sz w:val="20"/>
                <w:u w:val="none"/>
              </w:rPr>
              <w:tab/>
              <w:t>(6,568)</w:t>
            </w:r>
          </w:p>
        </w:tc>
      </w:tr>
      <w:tr>
        <w:tblPrEx>
          <w:tblW w:w="10260" w:type="dxa"/>
          <w:tblInd w:w="0" w:type="dxa"/>
          <w:tblLayout w:type="fixed"/>
        </w:tblPrEx>
        <w:trPr>
          <w:trHeight w:hRule="exact" w:val="285"/>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ind w:left="1080" w:hanging="360"/>
              <w:jc w:val="left"/>
            </w:pPr>
            <w:r>
              <w:rPr>
                <w:rFonts w:ascii="Times New Roman" w:eastAsia="Times New Roman" w:hAnsi="Times New Roman" w:cs="Times New Roman"/>
                <w:b w:val="0"/>
                <w:i w:val="0"/>
                <w:color w:val="000000"/>
                <w:sz w:val="20"/>
                <w:u w:val="none"/>
              </w:rPr>
              <w:t>Inventories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75" w:after="30" w:line="240" w:lineRule="auto"/>
              <w:jc w:val="right"/>
            </w:pPr>
            <w:r>
              <w:rPr>
                <w:rFonts w:ascii="Times New Roman" w:eastAsia="Times New Roman" w:hAnsi="Times New Roman" w:cs="Times New Roman"/>
                <w:b w:val="0"/>
                <w:i w:val="0"/>
                <w:color w:val="000000"/>
                <w:sz w:val="20"/>
                <w:u w:val="none"/>
              </w:rPr>
              <w:tab/>
              <w:t>(2,889)</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1,044</w:t>
              <w:tab/>
            </w:r>
          </w:p>
        </w:tc>
      </w:tr>
      <w:tr>
        <w:tblPrEx>
          <w:tblW w:w="10260" w:type="dxa"/>
          <w:tblInd w:w="0" w:type="dxa"/>
          <w:tblLayout w:type="fixed"/>
        </w:tblPrEx>
        <w:trPr>
          <w:trHeight w:hRule="exact" w:val="285"/>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ind w:left="1080" w:hanging="360"/>
              <w:jc w:val="left"/>
            </w:pPr>
            <w:r>
              <w:rPr>
                <w:rFonts w:ascii="Times New Roman" w:eastAsia="Times New Roman" w:hAnsi="Times New Roman" w:cs="Times New Roman"/>
                <w:b w:val="0"/>
                <w:i w:val="0"/>
                <w:color w:val="000000"/>
                <w:sz w:val="20"/>
                <w:u w:val="none"/>
              </w:rPr>
              <w:t>Other operating assets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36"/>
              </w:tabs>
              <w:spacing w:before="75" w:after="30" w:line="240" w:lineRule="auto"/>
              <w:jc w:val="right"/>
            </w:pPr>
            <w:r>
              <w:rPr>
                <w:rFonts w:ascii="Times New Roman" w:eastAsia="Times New Roman" w:hAnsi="Times New Roman" w:cs="Times New Roman"/>
                <w:b w:val="0"/>
                <w:i w:val="0"/>
                <w:color w:val="000000"/>
                <w:sz w:val="20"/>
                <w:u w:val="none"/>
              </w:rPr>
              <w:tab/>
              <w:t>(2,599)</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36"/>
              </w:tabs>
              <w:spacing w:before="75" w:after="30" w:line="240" w:lineRule="auto"/>
              <w:jc w:val="right"/>
            </w:pPr>
            <w:r>
              <w:rPr>
                <w:rFonts w:ascii="Times New Roman" w:eastAsia="Times New Roman" w:hAnsi="Times New Roman" w:cs="Times New Roman"/>
                <w:b w:val="0"/>
                <w:i w:val="0"/>
                <w:color w:val="000000"/>
                <w:sz w:val="20"/>
                <w:u w:val="none"/>
              </w:rPr>
              <w:tab/>
              <w:t>(3,318)</w:t>
            </w:r>
          </w:p>
        </w:tc>
      </w:tr>
      <w:tr>
        <w:tblPrEx>
          <w:tblW w:w="10260" w:type="dxa"/>
          <w:tblInd w:w="0" w:type="dxa"/>
          <w:tblLayout w:type="fixed"/>
        </w:tblPrEx>
        <w:trPr>
          <w:trHeight w:hRule="exact" w:val="285"/>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ind w:left="1080" w:hanging="360"/>
              <w:jc w:val="left"/>
            </w:pPr>
            <w:r>
              <w:rPr>
                <w:rFonts w:ascii="Times New Roman" w:eastAsia="Times New Roman" w:hAnsi="Times New Roman" w:cs="Times New Roman"/>
                <w:b w:val="0"/>
                <w:i w:val="0"/>
                <w:color w:val="000000"/>
                <w:sz w:val="20"/>
                <w:u w:val="none"/>
              </w:rPr>
              <w:t>Income taxes receivable and payable, net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12,708</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6"/>
              </w:tabs>
              <w:spacing w:before="75" w:after="30" w:line="240" w:lineRule="auto"/>
              <w:jc w:val="right"/>
            </w:pPr>
            <w:r>
              <w:rPr>
                <w:rFonts w:ascii="Times New Roman" w:eastAsia="Times New Roman" w:hAnsi="Times New Roman" w:cs="Times New Roman"/>
                <w:b w:val="0"/>
                <w:i w:val="0"/>
                <w:color w:val="000000"/>
                <w:sz w:val="20"/>
                <w:u w:val="none"/>
              </w:rPr>
              <w:tab/>
              <w:t>(589)</w:t>
            </w:r>
          </w:p>
        </w:tc>
      </w:tr>
      <w:tr>
        <w:tblPrEx>
          <w:tblW w:w="10260" w:type="dxa"/>
          <w:tblInd w:w="0" w:type="dxa"/>
          <w:tblLayout w:type="fixed"/>
        </w:tblPrEx>
        <w:trPr>
          <w:trHeight w:hRule="exact" w:val="285"/>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ind w:left="1080" w:hanging="360"/>
              <w:jc w:val="left"/>
            </w:pPr>
            <w:r>
              <w:rPr>
                <w:rFonts w:ascii="Times New Roman" w:eastAsia="Times New Roman" w:hAnsi="Times New Roman" w:cs="Times New Roman"/>
                <w:b w:val="0"/>
                <w:i w:val="0"/>
                <w:color w:val="000000"/>
                <w:sz w:val="20"/>
                <w:u w:val="none"/>
              </w:rPr>
              <w:t>Accounts payable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4,276</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6,564</w:t>
              <w:tab/>
            </w:r>
          </w:p>
        </w:tc>
      </w:tr>
      <w:tr>
        <w:tblPrEx>
          <w:tblW w:w="10260" w:type="dxa"/>
          <w:tblInd w:w="0" w:type="dxa"/>
          <w:tblLayout w:type="fixed"/>
        </w:tblPrEx>
        <w:trPr>
          <w:trHeight w:hRule="exact" w:val="285"/>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ind w:left="1080" w:hanging="360"/>
              <w:jc w:val="left"/>
            </w:pPr>
            <w:r>
              <w:rPr>
                <w:rFonts w:ascii="Times New Roman" w:eastAsia="Times New Roman" w:hAnsi="Times New Roman" w:cs="Times New Roman"/>
                <w:b w:val="0"/>
                <w:i w:val="0"/>
                <w:color w:val="000000"/>
                <w:sz w:val="20"/>
                <w:u w:val="none"/>
              </w:rPr>
              <w:t>Other operating liabilities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2,582</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36"/>
              </w:tabs>
              <w:spacing w:before="75" w:after="30" w:line="240" w:lineRule="auto"/>
              <w:jc w:val="right"/>
            </w:pPr>
            <w:r>
              <w:rPr>
                <w:rFonts w:ascii="Times New Roman" w:eastAsia="Times New Roman" w:hAnsi="Times New Roman" w:cs="Times New Roman"/>
                <w:b w:val="0"/>
                <w:i w:val="0"/>
                <w:color w:val="000000"/>
                <w:sz w:val="20"/>
                <w:u w:val="none"/>
              </w:rPr>
              <w:tab/>
              <w:t>(3,540)</w:t>
            </w:r>
          </w:p>
        </w:tc>
      </w:tr>
      <w:tr>
        <w:tblPrEx>
          <w:tblW w:w="10260" w:type="dxa"/>
          <w:tblInd w:w="0" w:type="dxa"/>
          <w:tblLayout w:type="fixed"/>
        </w:tblPrEx>
        <w:trPr>
          <w:trHeight w:hRule="exact" w:val="285"/>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Net cash provided by (used in) operating activities</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55" w:after="30" w:line="240" w:lineRule="auto"/>
              <w:jc w:val="right"/>
            </w:pPr>
            <w:r>
              <w:rPr>
                <w:rFonts w:ascii="Times New Roman" w:eastAsia="Times New Roman" w:hAnsi="Times New Roman" w:cs="Times New Roman"/>
                <w:b w:val="0"/>
                <w:i w:val="0"/>
                <w:color w:val="000000"/>
                <w:sz w:val="20"/>
                <w:u w:val="none"/>
              </w:rPr>
              <w:tab/>
              <w:t>11,798</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ab/>
              <w:t>(4,041)</w:t>
            </w:r>
          </w:p>
        </w:tc>
      </w:tr>
      <w:tr>
        <w:tblPrEx>
          <w:tblW w:w="10260" w:type="dxa"/>
          <w:tblInd w:w="0" w:type="dxa"/>
          <w:tblLayout w:type="fixed"/>
        </w:tblPrEx>
        <w:trPr>
          <w:trHeight w:hRule="exact" w:val="285"/>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55" w:after="30" w:line="240" w:lineRule="auto"/>
              <w:jc w:val="left"/>
            </w:pPr>
            <w:r>
              <w:rPr>
                <w:rFonts w:ascii="Times New Roman" w:eastAsia="Times New Roman" w:hAnsi="Times New Roman" w:cs="Times New Roman"/>
                <w:b/>
                <w:i w:val="0"/>
                <w:color w:val="000000"/>
                <w:sz w:val="20"/>
                <w:u w:val="none"/>
              </w:rPr>
              <w:t>Cash flows from investing activities</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r>
      <w:tr>
        <w:tblPrEx>
          <w:tblW w:w="10260" w:type="dxa"/>
          <w:tblInd w:w="0" w:type="dxa"/>
          <w:tblLayout w:type="fixed"/>
        </w:tblPrEx>
        <w:trPr>
          <w:trHeight w:hRule="exact" w:val="285"/>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ind w:left="360" w:hanging="360"/>
              <w:jc w:val="left"/>
            </w:pPr>
            <w:r>
              <w:rPr>
                <w:rFonts w:ascii="Times New Roman" w:eastAsia="Times New Roman" w:hAnsi="Times New Roman" w:cs="Times New Roman"/>
                <w:b w:val="0"/>
                <w:i w:val="0"/>
                <w:color w:val="000000"/>
                <w:sz w:val="20"/>
                <w:u w:val="none"/>
              </w:rPr>
              <w:t>Acquisition of property, plant and equipment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36"/>
              </w:tabs>
              <w:spacing w:before="75" w:after="30" w:line="240" w:lineRule="auto"/>
              <w:jc w:val="right"/>
            </w:pPr>
            <w:r>
              <w:rPr>
                <w:rFonts w:ascii="Times New Roman" w:eastAsia="Times New Roman" w:hAnsi="Times New Roman" w:cs="Times New Roman"/>
                <w:b w:val="0"/>
                <w:i w:val="0"/>
                <w:color w:val="000000"/>
                <w:sz w:val="20"/>
                <w:u w:val="none"/>
              </w:rPr>
              <w:tab/>
              <w:t>(8,525)</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36"/>
              </w:tabs>
              <w:spacing w:before="75" w:after="30" w:line="240" w:lineRule="auto"/>
              <w:jc w:val="right"/>
            </w:pPr>
            <w:r>
              <w:rPr>
                <w:rFonts w:ascii="Times New Roman" w:eastAsia="Times New Roman" w:hAnsi="Times New Roman" w:cs="Times New Roman"/>
                <w:b w:val="0"/>
                <w:i w:val="0"/>
                <w:color w:val="000000"/>
                <w:sz w:val="20"/>
                <w:u w:val="none"/>
              </w:rPr>
              <w:tab/>
              <w:t>(7,630)</w:t>
            </w:r>
          </w:p>
        </w:tc>
      </w:tr>
      <w:tr>
        <w:tblPrEx>
          <w:tblW w:w="10260" w:type="dxa"/>
          <w:tblInd w:w="0" w:type="dxa"/>
          <w:tblLayout w:type="fixed"/>
        </w:tblPrEx>
        <w:trPr>
          <w:trHeight w:hRule="exact" w:val="285"/>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ind w:left="360" w:hanging="360"/>
              <w:jc w:val="left"/>
            </w:pPr>
            <w:r>
              <w:rPr>
                <w:rFonts w:ascii="Times New Roman" w:eastAsia="Times New Roman" w:hAnsi="Times New Roman" w:cs="Times New Roman"/>
                <w:b w:val="0"/>
                <w:i w:val="0"/>
                <w:color w:val="000000"/>
                <w:sz w:val="20"/>
                <w:u w:val="none"/>
              </w:rPr>
              <w:t>Proceeds from sale of property, plant, and equipment</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118</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451</w:t>
              <w:tab/>
            </w:r>
          </w:p>
        </w:tc>
      </w:tr>
      <w:tr>
        <w:tblPrEx>
          <w:tblW w:w="10260" w:type="dxa"/>
          <w:tblInd w:w="0" w:type="dxa"/>
          <w:tblLayout w:type="fixed"/>
        </w:tblPrEx>
        <w:trPr>
          <w:trHeight w:hRule="exact" w:val="300"/>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5" w:after="30" w:line="240" w:lineRule="auto"/>
              <w:ind w:left="360" w:hanging="360"/>
              <w:jc w:val="left"/>
            </w:pPr>
            <w:r>
              <w:rPr>
                <w:rFonts w:ascii="Times New Roman" w:eastAsia="Times New Roman" w:hAnsi="Times New Roman" w:cs="Times New Roman"/>
                <w:b w:val="0"/>
                <w:i w:val="0"/>
                <w:color w:val="000000"/>
                <w:sz w:val="20"/>
                <w:u w:val="none"/>
              </w:rPr>
              <w:t>Net cash used in investing activities</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ab/>
              <w:t>(8,407)</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ab/>
              <w:t>(7,179)</w:t>
            </w:r>
          </w:p>
        </w:tc>
      </w:tr>
      <w:tr>
        <w:tblPrEx>
          <w:tblW w:w="10260" w:type="dxa"/>
          <w:tblInd w:w="0" w:type="dxa"/>
          <w:tblLayout w:type="fixed"/>
        </w:tblPrEx>
        <w:trPr>
          <w:trHeight w:hRule="exact" w:val="285"/>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55" w:after="30" w:line="240" w:lineRule="auto"/>
              <w:ind w:left="360" w:hanging="360"/>
              <w:jc w:val="left"/>
            </w:pPr>
            <w:r>
              <w:rPr>
                <w:rFonts w:ascii="Times New Roman" w:eastAsia="Times New Roman" w:hAnsi="Times New Roman" w:cs="Times New Roman"/>
                <w:b/>
                <w:i w:val="0"/>
                <w:color w:val="000000"/>
                <w:sz w:val="20"/>
                <w:u w:val="none"/>
              </w:rPr>
              <w:t>Cash flows from financing activities</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r>
      <w:tr>
        <w:tblPrEx>
          <w:tblW w:w="10260" w:type="dxa"/>
          <w:tblInd w:w="0" w:type="dxa"/>
          <w:tblLayout w:type="fixed"/>
        </w:tblPrEx>
        <w:trPr>
          <w:trHeight w:hRule="exact" w:val="300"/>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ind w:left="360" w:hanging="360"/>
              <w:jc w:val="left"/>
            </w:pPr>
            <w:r>
              <w:rPr>
                <w:rFonts w:ascii="Times New Roman" w:eastAsia="Times New Roman" w:hAnsi="Times New Roman" w:cs="Times New Roman"/>
                <w:b w:val="0"/>
                <w:i w:val="0"/>
                <w:color w:val="000000"/>
                <w:sz w:val="20"/>
                <w:u w:val="none"/>
              </w:rPr>
              <w:t>Proceeds from asset backed credit facilities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44,825</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21,000</w:t>
              <w:tab/>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Repayments of asset backed credit facilities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36"/>
              </w:tabs>
              <w:spacing w:before="65" w:after="20" w:line="240" w:lineRule="auto"/>
              <w:jc w:val="right"/>
            </w:pPr>
            <w:r>
              <w:rPr>
                <w:rFonts w:ascii="Times New Roman" w:eastAsia="Times New Roman" w:hAnsi="Times New Roman" w:cs="Times New Roman"/>
                <w:b w:val="0"/>
                <w:i w:val="0"/>
                <w:color w:val="000000"/>
                <w:sz w:val="20"/>
                <w:u w:val="none"/>
              </w:rPr>
              <w:tab/>
              <w:t>(49,525)</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36"/>
              </w:tabs>
              <w:spacing w:before="65" w:after="20" w:line="240" w:lineRule="auto"/>
              <w:jc w:val="right"/>
            </w:pPr>
            <w:r>
              <w:rPr>
                <w:rFonts w:ascii="Times New Roman" w:eastAsia="Times New Roman" w:hAnsi="Times New Roman" w:cs="Times New Roman"/>
                <w:b w:val="0"/>
                <w:i w:val="0"/>
                <w:color w:val="000000"/>
                <w:sz w:val="20"/>
                <w:u w:val="none"/>
              </w:rPr>
              <w:tab/>
              <w:t>(21,400)</w:t>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Proceeds from long-term debt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10,000</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65" w:after="20" w:line="240" w:lineRule="auto"/>
              <w:jc w:val="right"/>
            </w:pPr>
            <w:r>
              <w:rPr>
                <w:rFonts w:ascii="Times New Roman" w:eastAsia="Times New Roman" w:hAnsi="Times New Roman" w:cs="Times New Roman"/>
                <w:b w:val="0"/>
                <w:i w:val="0"/>
                <w:color w:val="000000"/>
                <w:sz w:val="20"/>
                <w:u w:val="none"/>
              </w:rPr>
              <w:tab/>
              <w:t>118,579</w:t>
              <w:tab/>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Repayments of long-term debt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6"/>
              </w:tabs>
              <w:spacing w:before="65" w:after="20" w:line="240" w:lineRule="auto"/>
              <w:jc w:val="right"/>
            </w:pPr>
            <w:r>
              <w:rPr>
                <w:rFonts w:ascii="Times New Roman" w:eastAsia="Times New Roman" w:hAnsi="Times New Roman" w:cs="Times New Roman"/>
                <w:b w:val="0"/>
                <w:i w:val="0"/>
                <w:color w:val="000000"/>
                <w:sz w:val="20"/>
                <w:u w:val="none"/>
              </w:rPr>
              <w:tab/>
              <w:t>(566)</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36"/>
              </w:tabs>
              <w:spacing w:before="65" w:after="20" w:line="240" w:lineRule="auto"/>
              <w:jc w:val="right"/>
            </w:pPr>
            <w:r>
              <w:rPr>
                <w:rFonts w:ascii="Times New Roman" w:eastAsia="Times New Roman" w:hAnsi="Times New Roman" w:cs="Times New Roman"/>
                <w:b w:val="0"/>
                <w:i w:val="0"/>
                <w:color w:val="000000"/>
                <w:sz w:val="20"/>
                <w:u w:val="none"/>
              </w:rPr>
              <w:tab/>
              <w:t>(115,356)</w:t>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Payments for debt issuance costs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86"/>
              </w:tabs>
              <w:spacing w:before="65" w:after="20" w:line="240" w:lineRule="auto"/>
              <w:jc w:val="right"/>
            </w:pPr>
            <w:r>
              <w:rPr>
                <w:rFonts w:ascii="Times New Roman" w:eastAsia="Times New Roman" w:hAnsi="Times New Roman" w:cs="Times New Roman"/>
                <w:b w:val="0"/>
                <w:i w:val="0"/>
                <w:color w:val="000000"/>
                <w:sz w:val="20"/>
                <w:u w:val="none"/>
              </w:rPr>
              <w:tab/>
              <w:t>(100)</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36"/>
              </w:tabs>
              <w:spacing w:before="65" w:after="20" w:line="240" w:lineRule="auto"/>
              <w:jc w:val="right"/>
            </w:pPr>
            <w:r>
              <w:rPr>
                <w:rFonts w:ascii="Times New Roman" w:eastAsia="Times New Roman" w:hAnsi="Times New Roman" w:cs="Times New Roman"/>
                <w:b w:val="0"/>
                <w:i w:val="0"/>
                <w:color w:val="000000"/>
                <w:sz w:val="20"/>
                <w:u w:val="none"/>
              </w:rPr>
              <w:tab/>
              <w:t>(3,553)</w:t>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Proceeds from sale-leaseback of equipment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72"/>
                <w:tab w:val="left" w:pos="123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65" w:after="20" w:line="240" w:lineRule="auto"/>
              <w:jc w:val="right"/>
            </w:pPr>
            <w:r>
              <w:rPr>
                <w:rFonts w:ascii="Times New Roman" w:eastAsia="Times New Roman" w:hAnsi="Times New Roman" w:cs="Times New Roman"/>
                <w:b w:val="0"/>
                <w:i w:val="0"/>
                <w:color w:val="000000"/>
                <w:sz w:val="20"/>
                <w:u w:val="none"/>
              </w:rPr>
              <w:tab/>
              <w:t>946</w:t>
              <w:tab/>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Proceeds from sale-leaseback of land and buildings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2"/>
                <w:tab w:val="left" w:pos="123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4,300</w:t>
              <w:tab/>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Repayments of financing obligations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6"/>
              </w:tabs>
              <w:spacing w:before="65" w:after="20" w:line="240" w:lineRule="auto"/>
              <w:jc w:val="right"/>
            </w:pPr>
            <w:r>
              <w:rPr>
                <w:rFonts w:ascii="Times New Roman" w:eastAsia="Times New Roman" w:hAnsi="Times New Roman" w:cs="Times New Roman"/>
                <w:b w:val="0"/>
                <w:i w:val="0"/>
                <w:color w:val="000000"/>
                <w:sz w:val="20"/>
                <w:u w:val="none"/>
              </w:rPr>
              <w:tab/>
              <w:t>(949)</w:t>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6"/>
              </w:tabs>
              <w:spacing w:before="65" w:after="20" w:line="240" w:lineRule="auto"/>
              <w:jc w:val="right"/>
            </w:pPr>
            <w:r>
              <w:rPr>
                <w:rFonts w:ascii="Times New Roman" w:eastAsia="Times New Roman" w:hAnsi="Times New Roman" w:cs="Times New Roman"/>
                <w:b w:val="0"/>
                <w:i w:val="0"/>
                <w:color w:val="000000"/>
                <w:sz w:val="20"/>
                <w:u w:val="none"/>
              </w:rPr>
              <w:tab/>
              <w:t>(601)</w:t>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Other</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65" w:after="20" w:line="240" w:lineRule="auto"/>
              <w:jc w:val="right"/>
            </w:pPr>
            <w:r>
              <w:rPr>
                <w:rFonts w:ascii="Times New Roman" w:eastAsia="Times New Roman" w:hAnsi="Times New Roman" w:cs="Times New Roman"/>
                <w:b w:val="0"/>
                <w:i w:val="0"/>
                <w:color w:val="000000"/>
                <w:sz w:val="20"/>
                <w:u w:val="none"/>
              </w:rPr>
              <w:tab/>
              <w:t>(3,088)</w:t>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65" w:after="20" w:line="240" w:lineRule="auto"/>
              <w:jc w:val="right"/>
            </w:pPr>
            <w:r>
              <w:rPr>
                <w:rFonts w:ascii="Times New Roman" w:eastAsia="Times New Roman" w:hAnsi="Times New Roman" w:cs="Times New Roman"/>
                <w:b w:val="0"/>
                <w:i w:val="0"/>
                <w:color w:val="000000"/>
                <w:sz w:val="20"/>
                <w:u w:val="none"/>
              </w:rPr>
              <w:tab/>
              <w:t>(2,352)</w:t>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45" w:after="20" w:line="240" w:lineRule="auto"/>
              <w:ind w:left="360" w:hanging="360"/>
              <w:jc w:val="left"/>
            </w:pPr>
            <w:r>
              <w:rPr>
                <w:rFonts w:ascii="Times New Roman" w:eastAsia="Times New Roman" w:hAnsi="Times New Roman" w:cs="Times New Roman"/>
                <w:b w:val="0"/>
                <w:i w:val="0"/>
                <w:color w:val="000000"/>
                <w:sz w:val="20"/>
                <w:u w:val="none"/>
              </w:rPr>
              <w:t>Net cash provided by financing activities</w:t>
            </w:r>
          </w:p>
        </w:tc>
        <w:tc>
          <w:tcPr>
            <w:tcW w:w="130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45" w:after="20" w:line="240" w:lineRule="auto"/>
              <w:jc w:val="right"/>
            </w:pPr>
            <w:r>
              <w:rPr>
                <w:rFonts w:ascii="Times New Roman" w:eastAsia="Times New Roman" w:hAnsi="Times New Roman" w:cs="Times New Roman"/>
                <w:b w:val="0"/>
                <w:i w:val="0"/>
                <w:color w:val="000000"/>
                <w:sz w:val="20"/>
                <w:u w:val="none"/>
              </w:rPr>
              <w:tab/>
              <w:t>597</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45" w:after="20" w:line="240" w:lineRule="auto"/>
              <w:jc w:val="right"/>
            </w:pPr>
            <w:r>
              <w:rPr>
                <w:rFonts w:ascii="Times New Roman" w:eastAsia="Times New Roman" w:hAnsi="Times New Roman" w:cs="Times New Roman"/>
                <w:b w:val="0"/>
                <w:i w:val="0"/>
                <w:color w:val="000000"/>
                <w:sz w:val="20"/>
                <w:u w:val="none"/>
              </w:rPr>
              <w:tab/>
              <w:t>1,563</w:t>
              <w:tab/>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45" w:after="20" w:line="240" w:lineRule="auto"/>
              <w:ind w:left="360" w:hanging="360"/>
              <w:jc w:val="left"/>
            </w:pPr>
            <w:r>
              <w:rPr>
                <w:rFonts w:ascii="Times New Roman" w:eastAsia="Times New Roman" w:hAnsi="Times New Roman" w:cs="Times New Roman"/>
                <w:b w:val="0"/>
                <w:i w:val="0"/>
                <w:color w:val="000000"/>
                <w:sz w:val="20"/>
                <w:u w:val="none"/>
              </w:rPr>
              <w:t>Effect of exchange rate changes on cash flows</w:t>
            </w: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45" w:after="20" w:line="240" w:lineRule="auto"/>
              <w:jc w:val="right"/>
            </w:pPr>
            <w:r>
              <w:rPr>
                <w:rFonts w:ascii="Times New Roman" w:eastAsia="Times New Roman" w:hAnsi="Times New Roman" w:cs="Times New Roman"/>
                <w:b w:val="0"/>
                <w:i w:val="0"/>
                <w:color w:val="000000"/>
                <w:sz w:val="20"/>
                <w:u w:val="none"/>
              </w:rPr>
              <w:tab/>
              <w:t>1,085</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45" w:after="20" w:line="240" w:lineRule="auto"/>
              <w:jc w:val="right"/>
            </w:pPr>
            <w:r>
              <w:rPr>
                <w:rFonts w:ascii="Times New Roman" w:eastAsia="Times New Roman" w:hAnsi="Times New Roman" w:cs="Times New Roman"/>
                <w:b w:val="0"/>
                <w:i w:val="0"/>
                <w:color w:val="000000"/>
                <w:sz w:val="20"/>
                <w:u w:val="none"/>
              </w:rPr>
              <w:tab/>
              <w:t>1,071</w:t>
              <w:tab/>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Net change in cash and cash equivalents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5,073</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65" w:after="20" w:line="240" w:lineRule="auto"/>
              <w:jc w:val="right"/>
            </w:pPr>
            <w:r>
              <w:rPr>
                <w:rFonts w:ascii="Times New Roman" w:eastAsia="Times New Roman" w:hAnsi="Times New Roman" w:cs="Times New Roman"/>
                <w:b w:val="0"/>
                <w:i w:val="0"/>
                <w:color w:val="000000"/>
                <w:sz w:val="20"/>
                <w:u w:val="none"/>
              </w:rPr>
              <w:tab/>
              <w:t>(8,586)</w:t>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Cash and cash equivalents at beginning of period</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11,377</w:t>
              <w:tab/>
            </w:r>
          </w:p>
        </w:tc>
        <w:tc>
          <w:tcPr>
            <w:tcW w:w="6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65" w:after="20" w:line="240" w:lineRule="auto"/>
              <w:jc w:val="right"/>
            </w:pPr>
            <w:r>
              <w:rPr>
                <w:rFonts w:ascii="Times New Roman" w:eastAsia="Times New Roman" w:hAnsi="Times New Roman" w:cs="Times New Roman"/>
                <w:b w:val="0"/>
                <w:i w:val="0"/>
                <w:color w:val="000000"/>
                <w:sz w:val="20"/>
                <w:u w:val="none"/>
              </w:rPr>
              <w:tab/>
              <w:t>18,128</w:t>
              <w:tab/>
            </w:r>
          </w:p>
        </w:tc>
      </w:tr>
      <w:tr>
        <w:tblPrEx>
          <w:tblW w:w="10260" w:type="dxa"/>
          <w:tblInd w:w="0" w:type="dxa"/>
          <w:tblLayout w:type="fixed"/>
        </w:tblPrEx>
        <w:trPr>
          <w:trHeight w:hRule="auto" w:val="0"/>
        </w:trPr>
        <w:tc>
          <w:tcPr>
            <w:tcW w:w="7590" w:type="dxa"/>
            <w:tcBorders>
              <w:top w:val="nil"/>
              <w:left w:val="nil"/>
              <w:bottom w:val="nil"/>
              <w:right w:val="nil"/>
            </w:tcBorders>
            <w:shd w:val="clear" w:color="auto" w:fill="CCEEFF"/>
            <w:tcMar>
              <w:top w:w="0" w:type="dxa"/>
              <w:left w:w="53" w:type="dxa"/>
              <w:bottom w:w="0" w:type="dxa"/>
              <w:right w:w="53" w:type="dxa"/>
            </w:tcMar>
            <w:vAlign w:val="top"/>
          </w:tcPr>
          <w:p>
            <w:pPr>
              <w:pageBreakBefore w:val="0"/>
              <w:spacing w:before="45" w:after="20" w:line="240" w:lineRule="auto"/>
              <w:ind w:left="360" w:hanging="360"/>
              <w:jc w:val="left"/>
            </w:pPr>
            <w:r>
              <w:rPr>
                <w:rFonts w:ascii="Times New Roman" w:eastAsia="Times New Roman" w:hAnsi="Times New Roman" w:cs="Times New Roman"/>
                <w:b w:val="0"/>
                <w:i w:val="0"/>
                <w:color w:val="000000"/>
                <w:sz w:val="20"/>
                <w:u w:val="none"/>
              </w:rPr>
              <w:t>Cash and cash equivalents at end of period</w:t>
            </w: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22"/>
                <w:tab w:val="left" w:pos="1237"/>
              </w:tabs>
              <w:spacing w:before="45" w:after="20" w:line="240" w:lineRule="auto"/>
              <w:jc w:val="right"/>
            </w:pPr>
            <w:r>
              <w:rPr>
                <w:rFonts w:ascii="Times New Roman" w:eastAsia="Times New Roman" w:hAnsi="Times New Roman" w:cs="Times New Roman"/>
                <w:b w:val="0"/>
                <w:i w:val="0"/>
                <w:color w:val="000000"/>
                <w:sz w:val="20"/>
                <w:u w:val="none"/>
              </w:rPr>
              <w:t>$</w:t>
              <w:tab/>
              <w:t>16,450</w:t>
              <w:tab/>
            </w:r>
          </w:p>
        </w:tc>
        <w:tc>
          <w:tcPr>
            <w:tcW w:w="60"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22"/>
                <w:tab w:val="left" w:pos="1237"/>
              </w:tabs>
              <w:spacing w:before="45" w:after="20" w:line="240" w:lineRule="auto"/>
              <w:jc w:val="right"/>
            </w:pPr>
            <w:r>
              <w:rPr>
                <w:rFonts w:ascii="Times New Roman" w:eastAsia="Times New Roman" w:hAnsi="Times New Roman" w:cs="Times New Roman"/>
                <w:b w:val="0"/>
                <w:i w:val="0"/>
                <w:color w:val="000000"/>
                <w:sz w:val="20"/>
                <w:u w:val="none"/>
              </w:rPr>
              <w:t>$</w:t>
              <w:tab/>
              <w:t>9,542</w:t>
              <w:tab/>
            </w:r>
          </w:p>
        </w:tc>
      </w:tr>
    </w:tbl>
    <w:p>
      <w:pPr>
        <w:keepNext w:val="0"/>
        <w:keepLines w:val="0"/>
        <w:pageBreakBefore w:val="0"/>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60" w:after="0" w:line="288" w:lineRule="auto"/>
        <w:ind w:left="990" w:right="0" w:firstLine="0"/>
        <w:jc w:val="center"/>
        <w:outlineLvl w:val="9"/>
        <w:rPr>
          <w:rFonts w:ascii="Times New Roman" w:eastAsia="Times New Roman" w:hAnsi="Times New Roman" w:cs="Times New Roman"/>
          <w:b/>
          <w:i w:val="0"/>
          <w:sz w:val="16"/>
        </w:rPr>
      </w:pPr>
      <w:r>
        <w:rPr>
          <w:rFonts w:ascii="Times New Roman" w:eastAsia="Times New Roman" w:hAnsi="Times New Roman" w:cs="Times New Roman"/>
          <w:b/>
          <w:i w:val="0"/>
          <w:sz w:val="20"/>
        </w:rPr>
        <w:t>See notes to condensed consolidated financial statements (unaudited).</w:t>
      </w:r>
    </w:p>
    <w:p>
      <w:pPr>
        <w:keepNext w:val="0"/>
        <w:keepLines w:val="0"/>
        <w:pageBreakBefore w:val="0"/>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60" w:after="0" w:line="288" w:lineRule="auto"/>
        <w:ind w:left="990" w:right="0" w:firstLine="0"/>
        <w:jc w:val="center"/>
        <w:outlineLvl w:val="9"/>
        <w:rPr>
          <w:rFonts w:ascii="Times New Roman" w:eastAsia="Times New Roman" w:hAnsi="Times New Roman" w:cs="Times New Roman"/>
          <w:b/>
          <w:i w:val="0"/>
          <w:sz w:val="20"/>
        </w:rPr>
      </w:pPr>
    </w:p>
    <w:p>
      <w:pPr>
        <w:keepNext w:val="0"/>
        <w:keepLines w:val="0"/>
        <w:pageBreakBefore w:val="0"/>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60" w:after="60" w:line="288" w:lineRule="auto"/>
        <w:ind w:left="990" w:right="0" w:firstLine="0"/>
        <w:jc w:val="center"/>
        <w:outlineLvl w:val="9"/>
        <w:rPr>
          <w:rFonts w:ascii="Times New Roman" w:eastAsia="Times New Roman" w:hAnsi="Times New Roman" w:cs="Times New Roman"/>
          <w:b/>
          <w:i w:val="0"/>
          <w:color w:val="000000"/>
          <w:sz w:val="20"/>
          <w:u w:val="none"/>
        </w:rPr>
      </w:pPr>
    </w:p>
    <w:p>
      <w:pPr>
        <w:pStyle w:val="PARTheading"/>
        <w:keepNext w:val="0"/>
        <w:keepLines w:val="0"/>
        <w:pageBreakBefore w:val="0"/>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NN, Inc.</w:t>
      </w:r>
    </w:p>
    <w:p>
      <w:pPr>
        <w:pStyle w:val="PARTheading"/>
        <w:keepNext w:val="0"/>
        <w:keepLines w:val="0"/>
        <w:pageBreakBefore w:val="0"/>
        <w:widowControl/>
        <w:numPr>
          <w:ilvl w:val="0"/>
          <w:numId w:val="0"/>
        </w:numPr>
        <w:spacing w:before="0" w:after="6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 xml:space="preserve">Condensed Consolidated Statements of Cash Flows </w:t>
      </w:r>
    </w:p>
    <w:p>
      <w:pPr>
        <w:pStyle w:val="PARTheading"/>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(Unaudited)</w:t>
      </w:r>
    </w:p>
    <w:tbl>
      <w:tblPr>
        <w:tblStyle w:val="TableNormal0"/>
        <w:tblW w:w="10260" w:type="dxa"/>
        <w:jc w:val="left"/>
        <w:tblInd w:w="0" w:type="dxa"/>
        <w:tblLayout w:type="fixed"/>
      </w:tblPr>
      <w:tblGrid>
        <w:gridCol w:w="7575"/>
        <w:gridCol w:w="1305"/>
        <w:gridCol w:w="75"/>
        <w:gridCol w:w="1305"/>
      </w:tblGrid>
      <w:tr>
        <w:tblPrEx>
          <w:tblW w:w="10260" w:type="dxa"/>
          <w:tblInd w:w="0" w:type="dxa"/>
          <w:tblLayout w:type="fixed"/>
        </w:tblPrEx>
        <w:trPr>
          <w:trHeight w:hRule="auto" w:val="0"/>
        </w:trPr>
        <w:tc>
          <w:tcPr>
            <w:tcW w:w="75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268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line="240" w:lineRule="auto"/>
              <w:jc w:val="center"/>
            </w:pPr>
            <w:r>
              <w:rPr>
                <w:rFonts w:ascii="Times New Roman" w:eastAsia="Times New Roman" w:hAnsi="Times New Roman" w:cs="Times New Roman"/>
                <w:b/>
                <w:i w:val="0"/>
                <w:color w:val="000000"/>
                <w:sz w:val="16"/>
                <w:u w:val="none"/>
              </w:rPr>
              <w:t xml:space="preserve">Six Months Ended </w:t>
            </w:r>
          </w:p>
          <w:p>
            <w:pPr>
              <w:spacing w:after="20" w:line="240" w:lineRule="auto"/>
              <w:jc w:val="center"/>
            </w:pPr>
            <w:r>
              <w:rPr>
                <w:rFonts w:ascii="Times New Roman" w:eastAsia="Times New Roman" w:hAnsi="Times New Roman" w:cs="Times New Roman"/>
                <w:b/>
                <w:i w:val="0"/>
                <w:color w:val="000000"/>
                <w:sz w:val="16"/>
                <w:u w:val="none"/>
              </w:rPr>
              <w:t>June 30,</w:t>
            </w:r>
          </w:p>
        </w:tc>
      </w:tr>
      <w:tr>
        <w:tblPrEx>
          <w:tblW w:w="10260" w:type="dxa"/>
          <w:tblInd w:w="0" w:type="dxa"/>
          <w:tblLayout w:type="fixed"/>
        </w:tblPrEx>
        <w:trPr>
          <w:trHeight w:hRule="auto" w:val="0"/>
        </w:trPr>
        <w:tc>
          <w:tcPr>
            <w:tcW w:w="7575" w:type="dxa"/>
            <w:tcBorders>
              <w:top w:val="nil"/>
              <w:left w:val="nil"/>
              <w:bottom w:val="nil"/>
              <w:right w:val="nil"/>
            </w:tcBorders>
            <w:tcMar>
              <w:top w:w="0" w:type="dxa"/>
              <w:left w:w="53" w:type="dxa"/>
              <w:bottom w:w="0" w:type="dxa"/>
              <w:right w:w="53" w:type="dxa"/>
            </w:tcMar>
            <w:vAlign w:val="bottom"/>
          </w:tcPr>
          <w:p>
            <w:pPr>
              <w:keepNext/>
              <w:pageBreakBefore w:val="0"/>
              <w:spacing w:before="45" w:after="20" w:line="240" w:lineRule="auto"/>
              <w:jc w:val="left"/>
            </w:pPr>
            <w:r>
              <w:rPr>
                <w:rFonts w:ascii="Times New Roman" w:eastAsia="Times New Roman" w:hAnsi="Times New Roman" w:cs="Times New Roman"/>
                <w:b/>
                <w:i w:val="0"/>
                <w:color w:val="000000"/>
                <w:sz w:val="16"/>
                <w:u w:val="none"/>
              </w:rPr>
              <w:t>(in thousands)</w:t>
            </w: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2025</w:t>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45" w:after="20" w:line="240" w:lineRule="auto"/>
              <w:ind w:left="360" w:hanging="360"/>
              <w:jc w:val="left"/>
            </w:pPr>
            <w:r>
              <w:rPr>
                <w:rFonts w:ascii="Times New Roman" w:eastAsia="Times New Roman" w:hAnsi="Times New Roman" w:cs="Times New Roman"/>
                <w:b/>
                <w:i w:val="0"/>
                <w:color w:val="000000"/>
                <w:sz w:val="20"/>
                <w:u w:val="none"/>
              </w:rPr>
              <w:t>Supplemental schedule of non-cash activities:</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Non-cash additions to property, plant and equipment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w:t>
              <w:tab/>
              <w:t>2,208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w:t>
              <w:tab/>
              <w:t>3,547</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pageBreakBefore w:val="0"/>
              <w:spacing w:before="65" w:after="20" w:line="240" w:lineRule="auto"/>
              <w:ind w:left="720" w:hanging="360"/>
              <w:jc w:val="left"/>
            </w:pPr>
            <w:r>
              <w:rPr>
                <w:rFonts w:ascii="Times New Roman" w:eastAsia="Times New Roman" w:hAnsi="Times New Roman" w:cs="Times New Roman"/>
                <w:b w:val="0"/>
                <w:i w:val="0"/>
                <w:color w:val="000000"/>
                <w:sz w:val="20"/>
                <w:u w:val="none"/>
              </w:rPr>
              <w:t>Non-cash additions to financing obligations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pageBreakBefore w:val="0"/>
              <w:tabs>
                <w:tab w:val="left" w:pos="972"/>
                <w:tab w:val="left" w:pos="123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pageBreakBefore w:val="0"/>
              <w:tabs>
                <w:tab w:val="left" w:pos="722"/>
                <w:tab w:val="left" w:pos="1237"/>
              </w:tabs>
              <w:spacing w:before="65" w:after="20" w:line="240" w:lineRule="auto"/>
              <w:jc w:val="right"/>
            </w:pPr>
            <w:r>
              <w:rPr>
                <w:rFonts w:ascii="Times New Roman" w:eastAsia="Times New Roman" w:hAnsi="Times New Roman" w:cs="Times New Roman"/>
                <w:b w:val="0"/>
                <w:i w:val="0"/>
                <w:color w:val="000000"/>
                <w:sz w:val="20"/>
                <w:u w:val="none"/>
              </w:rPr>
              <w:tab/>
              <w:t>1,304</w:t>
              <w:tab/>
            </w:r>
          </w:p>
        </w:tc>
      </w:tr>
    </w:tbl>
    <w:p>
      <w:pPr>
        <w:keepNext w:val="0"/>
        <w:keepLines w:val="0"/>
        <w:pageBreakBefore w:val="0"/>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60" w:after="0" w:line="288" w:lineRule="auto"/>
        <w:ind w:left="990" w:right="0" w:firstLine="0"/>
        <w:jc w:val="center"/>
        <w:outlineLvl w:val="9"/>
        <w:rPr>
          <w:rFonts w:ascii="Times New Roman" w:eastAsia="Times New Roman" w:hAnsi="Times New Roman" w:cs="Times New Roman"/>
          <w:b/>
          <w:i w:val="0"/>
          <w:sz w:val="16"/>
        </w:rPr>
      </w:pPr>
      <w:r>
        <w:rPr>
          <w:rFonts w:ascii="Times New Roman" w:eastAsia="Times New Roman" w:hAnsi="Times New Roman" w:cs="Times New Roman"/>
          <w:b/>
          <w:i w:val="0"/>
          <w:sz w:val="20"/>
        </w:rPr>
        <w:t>See notes to condensed consolidated financial statements (unaudited).</w:t>
      </w:r>
    </w:p>
    <w:p>
      <w:pPr>
        <w:keepNext w:val="0"/>
        <w:keepLines w:val="0"/>
        <w:pageBreakBefore w:val="0"/>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60" w:after="0" w:line="288" w:lineRule="auto"/>
        <w:ind w:left="990" w:right="0" w:firstLine="0"/>
        <w:jc w:val="center"/>
        <w:outlineLvl w:val="9"/>
        <w:rPr>
          <w:rFonts w:ascii="Times New Roman" w:eastAsia="Times New Roman" w:hAnsi="Times New Roman" w:cs="Times New Roman"/>
          <w:b/>
          <w:i w:val="0"/>
          <w:sz w:val="16"/>
        </w:rPr>
        <w:sectPr>
          <w:pgSz w:w="12240" w:h="15840"/>
          <w:pgMar w:top="810" w:right="990" w:bottom="810" w:left="990" w:header="270" w:footer="270"/>
          <w:cols w:space="708"/>
        </w:sectPr>
      </w:pPr>
    </w:p>
    <w:p>
      <w:pPr>
        <w:pStyle w:val="PARTheading"/>
        <w:keepNext w:val="0"/>
        <w:keepLines w:val="0"/>
        <w:pageBreakBefore w:val="0"/>
        <w:widowControl/>
        <w:numPr>
          <w:ilvl w:val="0"/>
          <w:numId w:val="0"/>
        </w:numPr>
        <w:spacing w:before="0" w:after="60" w:line="288" w:lineRule="auto"/>
        <w:ind w:left="0" w:right="0" w:firstLine="0"/>
        <w:jc w:val="center"/>
        <w:outlineLvl w:val="2"/>
        <w:rPr>
          <w:rFonts w:ascii="Times New Roman" w:eastAsia="Times New Roman" w:hAnsi="Times New Roman" w:cs="Times New Roman"/>
          <w:b/>
          <w:i w:val="0"/>
          <w:color w:val="000000"/>
          <w:sz w:val="20"/>
          <w:u w:val="none"/>
        </w:rPr>
      </w:pPr>
      <w:bookmarkStart w:id="6" w:name="Section8"/>
      <w:bookmarkEnd w:id="6"/>
      <w:r>
        <w:rPr>
          <w:rFonts w:ascii="Times New Roman" w:eastAsia="Times New Roman" w:hAnsi="Times New Roman" w:cs="Times New Roman"/>
          <w:b/>
          <w:i w:val="0"/>
          <w:color w:val="000000"/>
          <w:sz w:val="20"/>
          <w:u w:val="none"/>
        </w:rPr>
        <w:t>NN, Inc.</w:t>
      </w:r>
    </w:p>
    <w:p>
      <w:pPr>
        <w:pStyle w:val="PARTheading"/>
        <w:keepNext w:val="0"/>
        <w:keepLines w:val="0"/>
        <w:pageBreakBefore w:val="0"/>
        <w:widowControl/>
        <w:numPr>
          <w:ilvl w:val="0"/>
          <w:numId w:val="0"/>
        </w:numPr>
        <w:spacing w:before="0" w:after="6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 xml:space="preserve">Condensed Consolidated Statements of Changes in Stockholders’ Equity </w:t>
      </w:r>
    </w:p>
    <w:p>
      <w:pPr>
        <w:pStyle w:val="PARTheading"/>
        <w:keepNext w:val="0"/>
        <w:keepLines w:val="0"/>
        <w:pageBreakBefore w:val="0"/>
        <w:widowControl/>
        <w:numPr>
          <w:ilvl w:val="0"/>
          <w:numId w:val="0"/>
        </w:numPr>
        <w:spacing w:before="0" w:after="12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Three Months Ended June 30,</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2026</w:t>
      </w:r>
      <w:r>
        <w:rPr>
          <w:rFonts w:ascii="Times New Roman" w:eastAsia="Times New Roman" w:hAnsi="Times New Roman" w:cs="Times New Roman"/>
          <w:b/>
          <w:i w:val="0"/>
          <w:color w:val="000000"/>
          <w:sz w:val="20"/>
          <w:u w:val="none"/>
        </w:rPr>
        <w:t xml:space="preserve"> and </w:t>
      </w:r>
      <w:r>
        <w:rPr>
          <w:rFonts w:ascii="Times New Roman" w:eastAsia="Times New Roman" w:hAnsi="Times New Roman" w:cs="Times New Roman"/>
          <w:b/>
          <w:i w:val="0"/>
          <w:color w:val="000000"/>
          <w:sz w:val="20"/>
          <w:u w:val="none"/>
        </w:rPr>
        <w:t>2025</w:t>
      </w:r>
      <w:r>
        <w:rPr>
          <w:rFonts w:ascii="Times New Roman" w:eastAsia="Times New Roman" w:hAnsi="Times New Roman" w:cs="Times New Roman"/>
          <w:b/>
          <w:i w:val="0"/>
          <w:color w:val="000000"/>
          <w:sz w:val="20"/>
          <w:u w:val="none"/>
        </w:rPr>
        <w:t xml:space="preserve"> </w:t>
      </w:r>
    </w:p>
    <w:p>
      <w:pPr>
        <w:pStyle w:val="PARTheading"/>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(Unaudited)</w:t>
      </w:r>
      <w:r>
        <w:rPr>
          <w:rFonts w:ascii="Times New Roman" w:eastAsia="Times New Roman" w:hAnsi="Times New Roman" w:cs="Times New Roman"/>
          <w:b w:val="0"/>
          <w:i w:val="0"/>
          <w:sz w:val="24"/>
        </w:rPr>
        <w:t> </w:t>
      </w:r>
    </w:p>
    <w:tbl>
      <w:tblPr>
        <w:tblStyle w:val="TableNormal0"/>
        <w:tblW w:w="10260" w:type="dxa"/>
        <w:jc w:val="center"/>
        <w:tblLayout w:type="fixed"/>
      </w:tblPr>
      <w:tblGrid>
        <w:gridCol w:w="4455"/>
        <w:gridCol w:w="795"/>
        <w:gridCol w:w="75"/>
        <w:gridCol w:w="600"/>
        <w:gridCol w:w="75"/>
        <w:gridCol w:w="900"/>
        <w:gridCol w:w="75"/>
        <w:gridCol w:w="1095"/>
        <w:gridCol w:w="75"/>
        <w:gridCol w:w="1200"/>
        <w:gridCol w:w="75"/>
        <w:gridCol w:w="840"/>
      </w:tblGrid>
      <w:tr>
        <w:tblPrEx>
          <w:tblW w:w="10260" w:type="dxa"/>
          <w:tblLayout w:type="fixed"/>
        </w:tblPrEx>
        <w:trPr>
          <w:trHeight w:hRule="auto" w:val="0"/>
        </w:trPr>
        <w:tc>
          <w:tcPr>
            <w:tcW w:w="44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70"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Common Stock</w:t>
            </w:r>
          </w:p>
        </w:tc>
        <w:tc>
          <w:tcPr>
            <w:tcW w:w="75" w:type="dxa"/>
            <w:vMerge w:val="restart"/>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00" w:type="dxa"/>
            <w:vMerge w:val="restart"/>
            <w:tcBorders>
              <w:top w:val="nil"/>
              <w:left w:val="nil"/>
              <w:bottom w:val="nil"/>
              <w:right w:val="nil"/>
            </w:tcBorders>
            <w:tcMar>
              <w:top w:w="0" w:type="dxa"/>
              <w:left w:w="53" w:type="dxa"/>
              <w:bottom w:w="0" w:type="dxa"/>
              <w:right w:w="53" w:type="dxa"/>
            </w:tcMar>
            <w:vAlign w:val="bottom"/>
          </w:tcPr>
          <w:p>
            <w:pPr>
              <w:keepNext/>
              <w:pageBreakBefore w:val="0"/>
              <w:spacing w:before="65" w:line="240" w:lineRule="auto"/>
              <w:jc w:val="center"/>
            </w:pPr>
            <w:r>
              <w:rPr>
                <w:rFonts w:ascii="Times New Roman" w:eastAsia="Times New Roman" w:hAnsi="Times New Roman" w:cs="Times New Roman"/>
                <w:b/>
                <w:i w:val="0"/>
                <w:color w:val="000000"/>
                <w:sz w:val="16"/>
                <w:u w:val="none"/>
              </w:rPr>
              <w:t>Additional</w:t>
            </w:r>
          </w:p>
          <w:p>
            <w:pPr>
              <w:spacing w:line="240" w:lineRule="auto"/>
              <w:jc w:val="center"/>
            </w:pPr>
            <w:r>
              <w:rPr>
                <w:rFonts w:ascii="Times New Roman" w:eastAsia="Times New Roman" w:hAnsi="Times New Roman" w:cs="Times New Roman"/>
                <w:b/>
                <w:i w:val="0"/>
                <w:color w:val="000000"/>
                <w:sz w:val="16"/>
                <w:u w:val="none"/>
              </w:rPr>
              <w:t>paid-in</w:t>
            </w:r>
          </w:p>
          <w:p>
            <w:pPr>
              <w:spacing w:after="20" w:line="240" w:lineRule="auto"/>
              <w:jc w:val="center"/>
            </w:pPr>
            <w:r>
              <w:rPr>
                <w:rFonts w:ascii="Times New Roman" w:eastAsia="Times New Roman" w:hAnsi="Times New Roman" w:cs="Times New Roman"/>
                <w:b/>
                <w:i w:val="0"/>
                <w:color w:val="000000"/>
                <w:sz w:val="16"/>
                <w:u w:val="none"/>
              </w:rPr>
              <w:t>capital</w:t>
            </w:r>
          </w:p>
        </w:tc>
        <w:tc>
          <w:tcPr>
            <w:tcW w:w="75" w:type="dxa"/>
            <w:vMerge w:val="restart"/>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95" w:type="dxa"/>
            <w:vMerge w:val="restart"/>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Accumulated deficit</w:t>
            </w:r>
          </w:p>
        </w:tc>
        <w:tc>
          <w:tcPr>
            <w:tcW w:w="75" w:type="dxa"/>
            <w:vMerge w:val="restart"/>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vMerge w:val="restart"/>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Accumulated other comprehensive loss</w:t>
            </w:r>
          </w:p>
        </w:tc>
        <w:tc>
          <w:tcPr>
            <w:tcW w:w="75" w:type="dxa"/>
            <w:vMerge w:val="restart"/>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40" w:type="dxa"/>
            <w:vMerge w:val="restart"/>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Total</w:t>
            </w:r>
          </w:p>
        </w:tc>
      </w:tr>
      <w:tr>
        <w:tblPrEx>
          <w:tblW w:w="10260" w:type="dxa"/>
          <w:tblLayout w:type="fixed"/>
        </w:tblPrEx>
        <w:trPr>
          <w:trHeight w:hRule="auto" w:val="0"/>
        </w:trPr>
        <w:tc>
          <w:tcPr>
            <w:tcW w:w="4455" w:type="dxa"/>
            <w:tcBorders>
              <w:top w:val="nil"/>
              <w:left w:val="nil"/>
              <w:bottom w:val="nil"/>
              <w:right w:val="nil"/>
            </w:tcBorders>
            <w:tcMar>
              <w:top w:w="0" w:type="dxa"/>
              <w:left w:w="53" w:type="dxa"/>
              <w:bottom w:w="0" w:type="dxa"/>
              <w:right w:w="53" w:type="dxa"/>
            </w:tcMar>
            <w:vAlign w:val="bottom"/>
          </w:tcPr>
          <w:p>
            <w:pPr>
              <w:keepNext/>
              <w:pageBreakBefore w:val="0"/>
              <w:spacing w:before="45" w:after="20" w:line="240" w:lineRule="auto"/>
              <w:jc w:val="left"/>
            </w:pPr>
            <w:r>
              <w:rPr>
                <w:rFonts w:ascii="Times New Roman" w:eastAsia="Times New Roman" w:hAnsi="Times New Roman" w:cs="Times New Roman"/>
                <w:b/>
                <w:i w:val="0"/>
                <w:color w:val="000000"/>
                <w:sz w:val="16"/>
                <w:u w:val="none"/>
              </w:rPr>
              <w:t>(in thousands)</w:t>
            </w:r>
          </w:p>
        </w:tc>
        <w:tc>
          <w:tcPr>
            <w:tcW w:w="7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Number of shares</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6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45" w:line="240" w:lineRule="auto"/>
              <w:jc w:val="center"/>
            </w:pPr>
            <w:r>
              <w:rPr>
                <w:rFonts w:ascii="Times New Roman" w:eastAsia="Times New Roman" w:hAnsi="Times New Roman" w:cs="Times New Roman"/>
                <w:b/>
                <w:i w:val="0"/>
                <w:color w:val="000000"/>
                <w:sz w:val="16"/>
                <w:u w:val="none"/>
              </w:rPr>
              <w:t>Par</w:t>
            </w:r>
          </w:p>
          <w:p>
            <w:pPr>
              <w:spacing w:after="20" w:line="240" w:lineRule="auto"/>
              <w:jc w:val="center"/>
            </w:pPr>
            <w:r>
              <w:rPr>
                <w:rFonts w:ascii="Times New Roman" w:eastAsia="Times New Roman" w:hAnsi="Times New Roman" w:cs="Times New Roman"/>
                <w:b/>
                <w:i w:val="0"/>
                <w:color w:val="000000"/>
                <w:sz w:val="16"/>
                <w:u w:val="none"/>
              </w:rPr>
              <w:t>value</w:t>
            </w:r>
          </w:p>
        </w:tc>
        <w:tc>
          <w:tcPr>
            <w:tcW w:w="75" w:type="dxa"/>
            <w:vMerge/>
            <w:tcBorders>
              <w:top w:val="nil"/>
              <w:left w:val="nil"/>
              <w:bottom w:val="nil"/>
              <w:right w:val="nil"/>
            </w:tcBorders>
          </w:tcPr>
          <w:p>
            <w:pPr>
              <w:keepNext/>
              <w:pageBreakBefore w:val="0"/>
            </w:pPr>
          </w:p>
        </w:tc>
        <w:tc>
          <w:tcPr>
            <w:tcW w:w="900" w:type="dxa"/>
            <w:vMerge/>
            <w:tcBorders>
              <w:top w:val="nil"/>
              <w:left w:val="nil"/>
              <w:bottom w:val="single" w:sz="8" w:space="0" w:color="000000"/>
              <w:right w:val="nil"/>
            </w:tcBorders>
          </w:tcPr>
          <w:p>
            <w:pPr>
              <w:keepNext/>
              <w:pageBreakBefore w:val="0"/>
            </w:pPr>
          </w:p>
        </w:tc>
        <w:tc>
          <w:tcPr>
            <w:tcW w:w="75" w:type="dxa"/>
            <w:vMerge/>
            <w:tcBorders>
              <w:top w:val="nil"/>
              <w:left w:val="nil"/>
              <w:bottom w:val="nil"/>
              <w:right w:val="nil"/>
            </w:tcBorders>
          </w:tcPr>
          <w:p>
            <w:pPr>
              <w:keepNext/>
              <w:pageBreakBefore w:val="0"/>
            </w:pPr>
          </w:p>
        </w:tc>
        <w:tc>
          <w:tcPr>
            <w:tcW w:w="1095" w:type="dxa"/>
            <w:vMerge/>
            <w:tcBorders>
              <w:top w:val="nil"/>
              <w:left w:val="nil"/>
              <w:bottom w:val="single" w:sz="8" w:space="0" w:color="000000"/>
              <w:right w:val="nil"/>
            </w:tcBorders>
          </w:tcPr>
          <w:p>
            <w:pPr>
              <w:keepNext/>
              <w:pageBreakBefore w:val="0"/>
            </w:pPr>
          </w:p>
        </w:tc>
        <w:tc>
          <w:tcPr>
            <w:tcW w:w="75" w:type="dxa"/>
            <w:vMerge/>
            <w:tcBorders>
              <w:top w:val="nil"/>
              <w:left w:val="nil"/>
              <w:bottom w:val="nil"/>
              <w:right w:val="nil"/>
            </w:tcBorders>
          </w:tcPr>
          <w:p>
            <w:pPr>
              <w:keepNext/>
              <w:pageBreakBefore w:val="0"/>
            </w:pPr>
          </w:p>
        </w:tc>
        <w:tc>
          <w:tcPr>
            <w:tcW w:w="1200" w:type="dxa"/>
            <w:vMerge/>
            <w:tcBorders>
              <w:top w:val="nil"/>
              <w:left w:val="nil"/>
              <w:bottom w:val="single" w:sz="8" w:space="0" w:color="000000"/>
              <w:right w:val="nil"/>
            </w:tcBorders>
          </w:tcPr>
          <w:p>
            <w:pPr>
              <w:keepNext/>
              <w:pageBreakBefore w:val="0"/>
            </w:pPr>
          </w:p>
        </w:tc>
        <w:tc>
          <w:tcPr>
            <w:tcW w:w="75" w:type="dxa"/>
            <w:vMerge/>
            <w:tcBorders>
              <w:top w:val="nil"/>
              <w:left w:val="nil"/>
              <w:bottom w:val="nil"/>
              <w:right w:val="nil"/>
            </w:tcBorders>
          </w:tcPr>
          <w:p>
            <w:pPr>
              <w:keepNext/>
              <w:pageBreakBefore w:val="0"/>
            </w:pPr>
          </w:p>
        </w:tc>
        <w:tc>
          <w:tcPr>
            <w:tcW w:w="840" w:type="dxa"/>
            <w:vMerge/>
            <w:tcBorders>
              <w:top w:val="nil"/>
              <w:left w:val="nil"/>
              <w:bottom w:val="single" w:sz="8" w:space="0" w:color="000000"/>
              <w:right w:val="nil"/>
            </w:tcBorders>
          </w:tcPr>
          <w:p>
            <w:pPr>
              <w:keepNext/>
              <w:pageBreakBefore w:val="0"/>
            </w:pPr>
          </w:p>
        </w:tc>
      </w:tr>
      <w:tr>
        <w:tblPrEx>
          <w:tblW w:w="1026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45" w:after="20" w:line="240" w:lineRule="auto"/>
              <w:jc w:val="left"/>
            </w:pPr>
            <w:r>
              <w:rPr>
                <w:rFonts w:ascii="Times New Roman" w:eastAsia="Times New Roman" w:hAnsi="Times New Roman" w:cs="Times New Roman"/>
                <w:b w:val="0"/>
                <w:i w:val="0"/>
                <w:color w:val="000000"/>
                <w:sz w:val="20"/>
                <w:u w:val="none"/>
              </w:rPr>
              <w:t>Balance as of March 31, 2026</w:t>
            </w:r>
          </w:p>
        </w:tc>
        <w:tc>
          <w:tcPr>
            <w:tcW w:w="7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2"/>
                <w:tab w:val="left" w:pos="727"/>
              </w:tabs>
              <w:spacing w:before="45" w:after="20" w:line="240" w:lineRule="auto"/>
              <w:jc w:val="right"/>
            </w:pPr>
            <w:r>
              <w:rPr>
                <w:rFonts w:ascii="Times New Roman" w:eastAsia="Times New Roman" w:hAnsi="Times New Roman" w:cs="Times New Roman"/>
                <w:b w:val="0"/>
                <w:i w:val="0"/>
                <w:color w:val="000000"/>
                <w:sz w:val="20"/>
                <w:u w:val="none"/>
              </w:rPr>
              <w:tab/>
              <w:t>52,789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6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67"/>
                <w:tab w:val="left" w:pos="532"/>
              </w:tabs>
              <w:spacing w:before="45" w:after="20" w:line="240" w:lineRule="auto"/>
              <w:jc w:val="right"/>
            </w:pPr>
            <w:r>
              <w:rPr>
                <w:rFonts w:ascii="Times New Roman" w:eastAsia="Times New Roman" w:hAnsi="Times New Roman" w:cs="Times New Roman"/>
                <w:b w:val="0"/>
                <w:i w:val="0"/>
                <w:color w:val="000000"/>
                <w:sz w:val="20"/>
                <w:u w:val="none"/>
              </w:rPr>
              <w:t>$</w:t>
              <w:tab/>
              <w:t>527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7"/>
                <w:tab w:val="left" w:pos="832"/>
              </w:tabs>
              <w:spacing w:before="45" w:after="20" w:line="240" w:lineRule="auto"/>
              <w:jc w:val="right"/>
            </w:pPr>
            <w:r>
              <w:rPr>
                <w:rFonts w:ascii="Times New Roman" w:eastAsia="Times New Roman" w:hAnsi="Times New Roman" w:cs="Times New Roman"/>
                <w:b w:val="0"/>
                <w:i w:val="0"/>
                <w:color w:val="000000"/>
                <w:sz w:val="20"/>
                <w:u w:val="none"/>
              </w:rPr>
              <w:t>$</w:t>
              <w:tab/>
              <w:t>437,061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0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226"/>
              </w:tabs>
              <w:spacing w:before="45" w:after="20" w:line="240" w:lineRule="auto"/>
              <w:jc w:val="right"/>
            </w:pPr>
            <w:r>
              <w:rPr>
                <w:rFonts w:ascii="Times New Roman" w:eastAsia="Times New Roman" w:hAnsi="Times New Roman" w:cs="Times New Roman"/>
                <w:b w:val="0"/>
                <w:i w:val="0"/>
                <w:color w:val="000000"/>
                <w:sz w:val="20"/>
                <w:u w:val="none"/>
              </w:rPr>
              <w:t>$</w:t>
              <w:tab/>
              <w:t>(374,453)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31"/>
              </w:tabs>
              <w:spacing w:before="45" w:after="20" w:line="240" w:lineRule="auto"/>
              <w:jc w:val="right"/>
            </w:pPr>
            <w:r>
              <w:rPr>
                <w:rFonts w:ascii="Times New Roman" w:eastAsia="Times New Roman" w:hAnsi="Times New Roman" w:cs="Times New Roman"/>
                <w:b w:val="0"/>
                <w:i w:val="0"/>
                <w:color w:val="000000"/>
                <w:sz w:val="20"/>
                <w:u w:val="none"/>
              </w:rPr>
              <w:t>$</w:t>
              <w:tab/>
              <w:t>(37,032)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84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57"/>
                <w:tab w:val="left" w:pos="772"/>
              </w:tabs>
              <w:spacing w:before="45" w:after="20" w:line="240" w:lineRule="auto"/>
              <w:jc w:val="right"/>
            </w:pPr>
            <w:r>
              <w:rPr>
                <w:rFonts w:ascii="Times New Roman" w:eastAsia="Times New Roman" w:hAnsi="Times New Roman" w:cs="Times New Roman"/>
                <w:b w:val="0"/>
                <w:i w:val="0"/>
                <w:color w:val="000000"/>
                <w:sz w:val="20"/>
                <w:u w:val="none"/>
              </w:rPr>
              <w:t>$</w:t>
              <w:tab/>
              <w:t>26,103</w:t>
              <w:tab/>
            </w:r>
          </w:p>
        </w:tc>
      </w:tr>
      <w:tr>
        <w:tblPrEx>
          <w:tblW w:w="10260" w:type="dxa"/>
          <w:tblLayout w:type="fixed"/>
        </w:tblPrEx>
        <w:trPr>
          <w:trHeight w:hRule="auto" w:val="0"/>
        </w:trPr>
        <w:tc>
          <w:tcPr>
            <w:tcW w:w="445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Net loss</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62"/>
                <w:tab w:val="left" w:pos="7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67"/>
                <w:tab w:val="left" w:pos="8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26"/>
              </w:tabs>
              <w:spacing w:before="65" w:after="20" w:line="240" w:lineRule="auto"/>
              <w:jc w:val="right"/>
            </w:pPr>
            <w:r>
              <w:rPr>
                <w:rFonts w:ascii="Times New Roman" w:eastAsia="Times New Roman" w:hAnsi="Times New Roman" w:cs="Times New Roman"/>
                <w:b w:val="0"/>
                <w:i w:val="0"/>
                <w:color w:val="000000"/>
                <w:sz w:val="20"/>
                <w:u w:val="none"/>
              </w:rPr>
              <w:tab/>
              <w:t>(2,267)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71"/>
              </w:tabs>
              <w:spacing w:before="65" w:after="20" w:line="240" w:lineRule="auto"/>
              <w:jc w:val="right"/>
            </w:pPr>
            <w:r>
              <w:rPr>
                <w:rFonts w:ascii="Times New Roman" w:eastAsia="Times New Roman" w:hAnsi="Times New Roman" w:cs="Times New Roman"/>
                <w:b w:val="0"/>
                <w:i w:val="0"/>
                <w:color w:val="000000"/>
                <w:sz w:val="20"/>
                <w:u w:val="none"/>
              </w:rPr>
              <w:tab/>
              <w:t>(2,267)</w:t>
            </w:r>
          </w:p>
        </w:tc>
      </w:tr>
      <w:tr>
        <w:tblPrEx>
          <w:tblW w:w="1026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Dividends accrued for preferred stock</w:t>
            </w:r>
          </w:p>
        </w:tc>
        <w:tc>
          <w:tcPr>
            <w:tcW w:w="7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62"/>
                <w:tab w:val="left" w:pos="7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6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231"/>
              </w:tabs>
              <w:spacing w:before="65" w:after="20" w:line="240" w:lineRule="auto"/>
              <w:jc w:val="right"/>
            </w:pPr>
            <w:r>
              <w:rPr>
                <w:rFonts w:ascii="Times New Roman" w:eastAsia="Times New Roman" w:hAnsi="Times New Roman" w:cs="Times New Roman"/>
                <w:b w:val="0"/>
                <w:i w:val="0"/>
                <w:color w:val="000000"/>
                <w:sz w:val="20"/>
                <w:u w:val="none"/>
              </w:rPr>
              <w:tab/>
              <w:t>(4,281)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0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8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71"/>
              </w:tabs>
              <w:spacing w:before="65" w:after="20" w:line="240" w:lineRule="auto"/>
              <w:jc w:val="right"/>
            </w:pPr>
            <w:r>
              <w:rPr>
                <w:rFonts w:ascii="Times New Roman" w:eastAsia="Times New Roman" w:hAnsi="Times New Roman" w:cs="Times New Roman"/>
                <w:b w:val="0"/>
                <w:i w:val="0"/>
                <w:color w:val="000000"/>
                <w:sz w:val="20"/>
                <w:u w:val="none"/>
              </w:rPr>
              <w:tab/>
              <w:t>(4,281)</w:t>
            </w:r>
          </w:p>
        </w:tc>
      </w:tr>
      <w:tr>
        <w:tblPrEx>
          <w:tblW w:w="10260" w:type="dxa"/>
          <w:tblLayout w:type="fixed"/>
        </w:tblPrEx>
        <w:trPr>
          <w:trHeight w:hRule="auto" w:val="0"/>
        </w:trPr>
        <w:tc>
          <w:tcPr>
            <w:tcW w:w="445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Shares issued under stock incentive plans, net of forfeitures</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376"/>
              </w:tabs>
              <w:spacing w:before="65" w:after="20" w:line="240" w:lineRule="auto"/>
              <w:jc w:val="right"/>
            </w:pPr>
            <w:r>
              <w:rPr>
                <w:rFonts w:ascii="Times New Roman" w:eastAsia="Times New Roman" w:hAnsi="Times New Roman" w:cs="Times New Roman"/>
                <w:b w:val="0"/>
                <w:i w:val="0"/>
                <w:color w:val="000000"/>
                <w:sz w:val="20"/>
                <w:u w:val="none"/>
              </w:rPr>
              <w:tab/>
              <w:t>(56)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81"/>
              </w:tabs>
              <w:spacing w:before="65" w:after="20" w:line="240" w:lineRule="auto"/>
              <w:jc w:val="right"/>
            </w:pPr>
            <w:r>
              <w:rPr>
                <w:rFonts w:ascii="Times New Roman" w:eastAsia="Times New Roman" w:hAnsi="Times New Roman" w:cs="Times New Roman"/>
                <w:b w:val="0"/>
                <w:i w:val="0"/>
                <w:color w:val="000000"/>
                <w:sz w:val="20"/>
                <w:u w:val="none"/>
              </w:rPr>
              <w:tab/>
              <w:t>(1)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67"/>
                <w:tab w:val="left" w:pos="832"/>
              </w:tabs>
              <w:spacing w:before="65" w:after="20" w:line="240" w:lineRule="auto"/>
              <w:jc w:val="right"/>
            </w:pPr>
            <w:r>
              <w:rPr>
                <w:rFonts w:ascii="Times New Roman" w:eastAsia="Times New Roman" w:hAnsi="Times New Roman" w:cs="Times New Roman"/>
                <w:b w:val="0"/>
                <w:i w:val="0"/>
                <w:color w:val="000000"/>
                <w:sz w:val="20"/>
                <w:u w:val="none"/>
              </w:rPr>
              <w:tab/>
              <w:t>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07"/>
                <w:tab w:val="left" w:pos="772"/>
              </w:tabs>
              <w:spacing w:before="65" w:after="2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Share-based compensation expense</w:t>
            </w:r>
          </w:p>
        </w:tc>
        <w:tc>
          <w:tcPr>
            <w:tcW w:w="7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62"/>
                <w:tab w:val="left" w:pos="7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67"/>
                <w:tab w:val="left" w:pos="832"/>
              </w:tabs>
              <w:spacing w:before="65" w:after="20" w:line="240" w:lineRule="auto"/>
              <w:jc w:val="right"/>
            </w:pPr>
            <w:r>
              <w:rPr>
                <w:rFonts w:ascii="Times New Roman" w:eastAsia="Times New Roman" w:hAnsi="Times New Roman" w:cs="Times New Roman"/>
                <w:b w:val="0"/>
                <w:i w:val="0"/>
                <w:color w:val="000000"/>
                <w:sz w:val="20"/>
                <w:u w:val="none"/>
              </w:rPr>
              <w:tab/>
              <w:t>808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8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07"/>
                <w:tab w:val="left" w:pos="772"/>
              </w:tabs>
              <w:spacing w:before="65" w:after="20" w:line="240" w:lineRule="auto"/>
              <w:jc w:val="right"/>
            </w:pPr>
            <w:r>
              <w:rPr>
                <w:rFonts w:ascii="Times New Roman" w:eastAsia="Times New Roman" w:hAnsi="Times New Roman" w:cs="Times New Roman"/>
                <w:b w:val="0"/>
                <w:i w:val="0"/>
                <w:color w:val="000000"/>
                <w:sz w:val="20"/>
                <w:u w:val="none"/>
              </w:rPr>
              <w:tab/>
              <w:t>808</w:t>
              <w:tab/>
            </w:r>
          </w:p>
        </w:tc>
      </w:tr>
      <w:tr>
        <w:tblPrEx>
          <w:tblW w:w="10260" w:type="dxa"/>
          <w:tblLayout w:type="fixed"/>
        </w:tblPrEx>
        <w:trPr>
          <w:trHeight w:hRule="auto" w:val="0"/>
        </w:trPr>
        <w:tc>
          <w:tcPr>
            <w:tcW w:w="445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Restricted shares surrendered for tax withholdings under stock incentive plans</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76"/>
              </w:tabs>
              <w:spacing w:before="65" w:after="20" w:line="240" w:lineRule="auto"/>
              <w:jc w:val="right"/>
            </w:pPr>
            <w:r>
              <w:rPr>
                <w:rFonts w:ascii="Times New Roman" w:eastAsia="Times New Roman" w:hAnsi="Times New Roman" w:cs="Times New Roman"/>
                <w:b w:val="0"/>
                <w:i w:val="0"/>
                <w:color w:val="000000"/>
                <w:sz w:val="20"/>
                <w:u w:val="none"/>
              </w:rPr>
              <w:tab/>
              <w:t>(159)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81"/>
              </w:tabs>
              <w:spacing w:before="65" w:after="20" w:line="240" w:lineRule="auto"/>
              <w:jc w:val="right"/>
            </w:pPr>
            <w:r>
              <w:rPr>
                <w:rFonts w:ascii="Times New Roman" w:eastAsia="Times New Roman" w:hAnsi="Times New Roman" w:cs="Times New Roman"/>
                <w:b w:val="0"/>
                <w:i w:val="0"/>
                <w:color w:val="000000"/>
                <w:sz w:val="20"/>
                <w:u w:val="none"/>
              </w:rPr>
              <w:tab/>
              <w:t>(1)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381"/>
              </w:tabs>
              <w:spacing w:before="65" w:after="20" w:line="240" w:lineRule="auto"/>
              <w:jc w:val="right"/>
            </w:pPr>
            <w:r>
              <w:rPr>
                <w:rFonts w:ascii="Times New Roman" w:eastAsia="Times New Roman" w:hAnsi="Times New Roman" w:cs="Times New Roman"/>
                <w:b w:val="0"/>
                <w:i w:val="0"/>
                <w:color w:val="000000"/>
                <w:sz w:val="20"/>
                <w:u w:val="none"/>
              </w:rPr>
              <w:tab/>
              <w:t>(364)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321"/>
              </w:tabs>
              <w:spacing w:before="65" w:after="20" w:line="240" w:lineRule="auto"/>
              <w:jc w:val="right"/>
            </w:pPr>
            <w:r>
              <w:rPr>
                <w:rFonts w:ascii="Times New Roman" w:eastAsia="Times New Roman" w:hAnsi="Times New Roman" w:cs="Times New Roman"/>
                <w:b w:val="0"/>
                <w:i w:val="0"/>
                <w:color w:val="000000"/>
                <w:sz w:val="20"/>
                <w:u w:val="none"/>
              </w:rPr>
              <w:tab/>
              <w:t>(365)</w:t>
            </w:r>
          </w:p>
        </w:tc>
      </w:tr>
      <w:tr>
        <w:tblPrEx>
          <w:tblW w:w="1026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Other comprehensive income</w:t>
            </w:r>
          </w:p>
        </w:tc>
        <w:tc>
          <w:tcPr>
            <w:tcW w:w="79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462"/>
                <w:tab w:val="left" w:pos="7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6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67"/>
                <w:tab w:val="left" w:pos="8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09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1,213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84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257"/>
                <w:tab w:val="left" w:pos="772"/>
              </w:tabs>
              <w:spacing w:before="65" w:after="20" w:line="240" w:lineRule="auto"/>
              <w:jc w:val="right"/>
            </w:pPr>
            <w:r>
              <w:rPr>
                <w:rFonts w:ascii="Times New Roman" w:eastAsia="Times New Roman" w:hAnsi="Times New Roman" w:cs="Times New Roman"/>
                <w:b w:val="0"/>
                <w:i w:val="0"/>
                <w:color w:val="000000"/>
                <w:sz w:val="20"/>
                <w:u w:val="none"/>
              </w:rPr>
              <w:tab/>
              <w:t>1,213</w:t>
              <w:tab/>
            </w:r>
          </w:p>
        </w:tc>
      </w:tr>
      <w:tr>
        <w:tblPrEx>
          <w:tblW w:w="10260" w:type="dxa"/>
          <w:tblLayout w:type="fixed"/>
        </w:tblPrEx>
        <w:trPr>
          <w:trHeight w:hRule="auto" w:val="0"/>
        </w:trPr>
        <w:tc>
          <w:tcPr>
            <w:tcW w:w="445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45" w:after="20" w:line="240" w:lineRule="auto"/>
              <w:jc w:val="left"/>
            </w:pPr>
            <w:r>
              <w:rPr>
                <w:rFonts w:ascii="Times New Roman" w:eastAsia="Times New Roman" w:hAnsi="Times New Roman" w:cs="Times New Roman"/>
                <w:b w:val="0"/>
                <w:i w:val="0"/>
                <w:color w:val="000000"/>
                <w:sz w:val="20"/>
                <w:u w:val="none"/>
              </w:rPr>
              <w:t>Balance as of June 30, 2026</w:t>
            </w:r>
          </w:p>
        </w:tc>
        <w:tc>
          <w:tcPr>
            <w:tcW w:w="79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12"/>
                <w:tab w:val="left" w:pos="727"/>
              </w:tabs>
              <w:spacing w:before="45" w:after="20" w:line="240" w:lineRule="auto"/>
              <w:jc w:val="right"/>
            </w:pPr>
            <w:r>
              <w:rPr>
                <w:rFonts w:ascii="Times New Roman" w:eastAsia="Times New Roman" w:hAnsi="Times New Roman" w:cs="Times New Roman"/>
                <w:b w:val="0"/>
                <w:i w:val="0"/>
                <w:color w:val="000000"/>
                <w:sz w:val="20"/>
                <w:u w:val="none"/>
              </w:rPr>
              <w:tab/>
              <w:t>52,574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6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67"/>
                <w:tab w:val="left" w:pos="532"/>
              </w:tabs>
              <w:spacing w:before="45" w:after="20" w:line="240" w:lineRule="auto"/>
              <w:jc w:val="right"/>
            </w:pPr>
            <w:r>
              <w:rPr>
                <w:rFonts w:ascii="Times New Roman" w:eastAsia="Times New Roman" w:hAnsi="Times New Roman" w:cs="Times New Roman"/>
                <w:b w:val="0"/>
                <w:i w:val="0"/>
                <w:color w:val="000000"/>
                <w:sz w:val="20"/>
                <w:u w:val="none"/>
              </w:rPr>
              <w:t>$</w:t>
              <w:tab/>
              <w:t>525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sz w:val="20"/>
              </w:rPr>
            </w:pP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17"/>
                <w:tab w:val="left" w:pos="832"/>
              </w:tabs>
              <w:spacing w:before="45" w:after="20" w:line="240" w:lineRule="auto"/>
              <w:jc w:val="right"/>
            </w:pPr>
            <w:r>
              <w:rPr>
                <w:rFonts w:ascii="Times New Roman" w:eastAsia="Times New Roman" w:hAnsi="Times New Roman" w:cs="Times New Roman"/>
                <w:b w:val="0"/>
                <w:i w:val="0"/>
                <w:color w:val="000000"/>
                <w:sz w:val="20"/>
                <w:u w:val="none"/>
              </w:rPr>
              <w:t>$</w:t>
              <w:tab/>
              <w:t>433,225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sz w:val="20"/>
              </w:rPr>
            </w:pPr>
          </w:p>
        </w:tc>
        <w:tc>
          <w:tcPr>
            <w:tcW w:w="109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226"/>
              </w:tabs>
              <w:spacing w:before="45" w:after="20" w:line="240" w:lineRule="auto"/>
              <w:jc w:val="right"/>
            </w:pPr>
            <w:r>
              <w:rPr>
                <w:rFonts w:ascii="Times New Roman" w:eastAsia="Times New Roman" w:hAnsi="Times New Roman" w:cs="Times New Roman"/>
                <w:b w:val="0"/>
                <w:i w:val="0"/>
                <w:color w:val="000000"/>
                <w:sz w:val="20"/>
                <w:u w:val="none"/>
              </w:rPr>
              <w:t>$</w:t>
              <w:tab/>
              <w:t>(376,720)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sz w:val="20"/>
              </w:rPr>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431"/>
              </w:tabs>
              <w:spacing w:before="45" w:after="20" w:line="240" w:lineRule="auto"/>
              <w:jc w:val="right"/>
            </w:pPr>
            <w:r>
              <w:rPr>
                <w:rFonts w:ascii="Times New Roman" w:eastAsia="Times New Roman" w:hAnsi="Times New Roman" w:cs="Times New Roman"/>
                <w:b w:val="0"/>
                <w:i w:val="0"/>
                <w:color w:val="000000"/>
                <w:sz w:val="20"/>
                <w:u w:val="none"/>
              </w:rPr>
              <w:t>$</w:t>
              <w:tab/>
              <w:t>(35,819)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sz w:val="20"/>
              </w:rPr>
            </w:pPr>
          </w:p>
        </w:tc>
        <w:tc>
          <w:tcPr>
            <w:tcW w:w="84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57"/>
                <w:tab w:val="left" w:pos="772"/>
              </w:tabs>
              <w:spacing w:before="45" w:after="20" w:line="240" w:lineRule="auto"/>
              <w:jc w:val="right"/>
            </w:pPr>
            <w:r>
              <w:rPr>
                <w:rFonts w:ascii="Times New Roman" w:eastAsia="Times New Roman" w:hAnsi="Times New Roman" w:cs="Times New Roman"/>
                <w:b w:val="0"/>
                <w:i w:val="0"/>
                <w:color w:val="000000"/>
                <w:sz w:val="20"/>
                <w:u w:val="none"/>
              </w:rPr>
              <w:t>$</w:t>
              <w:tab/>
              <w:t>21,211</w:t>
              <w:tab/>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tbl>
      <w:tblPr>
        <w:tblStyle w:val="TableNormal0"/>
        <w:tblW w:w="10260" w:type="dxa"/>
        <w:jc w:val="left"/>
        <w:tblInd w:w="0" w:type="dxa"/>
        <w:tblLayout w:type="fixed"/>
      </w:tblPr>
      <w:tblGrid>
        <w:gridCol w:w="4455"/>
        <w:gridCol w:w="795"/>
        <w:gridCol w:w="75"/>
        <w:gridCol w:w="600"/>
        <w:gridCol w:w="75"/>
        <w:gridCol w:w="900"/>
        <w:gridCol w:w="75"/>
        <w:gridCol w:w="1095"/>
        <w:gridCol w:w="75"/>
        <w:gridCol w:w="1200"/>
        <w:gridCol w:w="75"/>
        <w:gridCol w:w="840"/>
      </w:tblGrid>
      <w:tr>
        <w:tblPrEx>
          <w:tblW w:w="10260" w:type="dxa"/>
          <w:tblInd w:w="0" w:type="dxa"/>
          <w:tblLayout w:type="fixed"/>
        </w:tblPrEx>
        <w:trPr>
          <w:trHeight w:hRule="auto" w:val="0"/>
        </w:trPr>
        <w:tc>
          <w:tcPr>
            <w:tcW w:w="44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70"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Common Stock</w:t>
            </w:r>
          </w:p>
        </w:tc>
        <w:tc>
          <w:tcPr>
            <w:tcW w:w="75" w:type="dxa"/>
            <w:vMerge w:val="restart"/>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00" w:type="dxa"/>
            <w:vMerge w:val="restart"/>
            <w:tcBorders>
              <w:top w:val="nil"/>
              <w:left w:val="nil"/>
              <w:bottom w:val="nil"/>
              <w:right w:val="nil"/>
            </w:tcBorders>
            <w:tcMar>
              <w:top w:w="0" w:type="dxa"/>
              <w:left w:w="53" w:type="dxa"/>
              <w:bottom w:w="0" w:type="dxa"/>
              <w:right w:w="53" w:type="dxa"/>
            </w:tcMar>
            <w:vAlign w:val="bottom"/>
          </w:tcPr>
          <w:p>
            <w:pPr>
              <w:keepNext/>
              <w:pageBreakBefore w:val="0"/>
              <w:spacing w:before="65" w:line="240" w:lineRule="auto"/>
              <w:jc w:val="center"/>
            </w:pPr>
            <w:r>
              <w:rPr>
                <w:rFonts w:ascii="Times New Roman" w:eastAsia="Times New Roman" w:hAnsi="Times New Roman" w:cs="Times New Roman"/>
                <w:b/>
                <w:i w:val="0"/>
                <w:color w:val="000000"/>
                <w:sz w:val="16"/>
                <w:u w:val="none"/>
              </w:rPr>
              <w:t>Additional</w:t>
            </w:r>
          </w:p>
          <w:p>
            <w:pPr>
              <w:spacing w:line="240" w:lineRule="auto"/>
              <w:jc w:val="center"/>
            </w:pPr>
            <w:r>
              <w:rPr>
                <w:rFonts w:ascii="Times New Roman" w:eastAsia="Times New Roman" w:hAnsi="Times New Roman" w:cs="Times New Roman"/>
                <w:b/>
                <w:i w:val="0"/>
                <w:color w:val="000000"/>
                <w:sz w:val="16"/>
                <w:u w:val="none"/>
              </w:rPr>
              <w:t>paid-in</w:t>
            </w:r>
          </w:p>
          <w:p>
            <w:pPr>
              <w:spacing w:after="20" w:line="240" w:lineRule="auto"/>
              <w:jc w:val="center"/>
            </w:pPr>
            <w:r>
              <w:rPr>
                <w:rFonts w:ascii="Times New Roman" w:eastAsia="Times New Roman" w:hAnsi="Times New Roman" w:cs="Times New Roman"/>
                <w:b/>
                <w:i w:val="0"/>
                <w:color w:val="000000"/>
                <w:sz w:val="16"/>
                <w:u w:val="none"/>
              </w:rPr>
              <w:t>capital</w:t>
            </w:r>
          </w:p>
        </w:tc>
        <w:tc>
          <w:tcPr>
            <w:tcW w:w="75" w:type="dxa"/>
            <w:vMerge w:val="restart"/>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95" w:type="dxa"/>
            <w:vMerge w:val="restart"/>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Accumulated deficit</w:t>
            </w:r>
          </w:p>
        </w:tc>
        <w:tc>
          <w:tcPr>
            <w:tcW w:w="75" w:type="dxa"/>
            <w:vMerge w:val="restart"/>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vMerge w:val="restart"/>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Accumulated other comprehensive loss</w:t>
            </w:r>
          </w:p>
        </w:tc>
        <w:tc>
          <w:tcPr>
            <w:tcW w:w="75" w:type="dxa"/>
            <w:vMerge w:val="restart"/>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40" w:type="dxa"/>
            <w:vMerge w:val="restart"/>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Total</w:t>
            </w:r>
          </w:p>
        </w:tc>
      </w:tr>
      <w:tr>
        <w:tblPrEx>
          <w:tblW w:w="10260" w:type="dxa"/>
          <w:tblInd w:w="0" w:type="dxa"/>
          <w:tblLayout w:type="fixed"/>
        </w:tblPrEx>
        <w:trPr>
          <w:trHeight w:hRule="auto" w:val="0"/>
        </w:trPr>
        <w:tc>
          <w:tcPr>
            <w:tcW w:w="4455" w:type="dxa"/>
            <w:tcBorders>
              <w:top w:val="nil"/>
              <w:left w:val="nil"/>
              <w:bottom w:val="nil"/>
              <w:right w:val="nil"/>
            </w:tcBorders>
            <w:tcMar>
              <w:top w:w="0" w:type="dxa"/>
              <w:left w:w="53" w:type="dxa"/>
              <w:bottom w:w="0" w:type="dxa"/>
              <w:right w:w="53" w:type="dxa"/>
            </w:tcMar>
            <w:vAlign w:val="bottom"/>
          </w:tcPr>
          <w:p>
            <w:pPr>
              <w:keepNext/>
              <w:pageBreakBefore w:val="0"/>
              <w:spacing w:before="45" w:after="20" w:line="240" w:lineRule="auto"/>
              <w:jc w:val="left"/>
            </w:pPr>
            <w:r>
              <w:rPr>
                <w:rFonts w:ascii="Times New Roman" w:eastAsia="Times New Roman" w:hAnsi="Times New Roman" w:cs="Times New Roman"/>
                <w:b/>
                <w:i w:val="0"/>
                <w:color w:val="000000"/>
                <w:sz w:val="16"/>
                <w:u w:val="none"/>
              </w:rPr>
              <w:t>(in thousands)</w:t>
            </w:r>
          </w:p>
        </w:tc>
        <w:tc>
          <w:tcPr>
            <w:tcW w:w="7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Number of shares</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6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45" w:line="240" w:lineRule="auto"/>
              <w:jc w:val="center"/>
            </w:pPr>
            <w:r>
              <w:rPr>
                <w:rFonts w:ascii="Times New Roman" w:eastAsia="Times New Roman" w:hAnsi="Times New Roman" w:cs="Times New Roman"/>
                <w:b/>
                <w:i w:val="0"/>
                <w:color w:val="000000"/>
                <w:sz w:val="16"/>
                <w:u w:val="none"/>
              </w:rPr>
              <w:t>Par</w:t>
            </w:r>
          </w:p>
          <w:p>
            <w:pPr>
              <w:spacing w:after="20" w:line="240" w:lineRule="auto"/>
              <w:jc w:val="center"/>
            </w:pPr>
            <w:r>
              <w:rPr>
                <w:rFonts w:ascii="Times New Roman" w:eastAsia="Times New Roman" w:hAnsi="Times New Roman" w:cs="Times New Roman"/>
                <w:b/>
                <w:i w:val="0"/>
                <w:color w:val="000000"/>
                <w:sz w:val="16"/>
                <w:u w:val="none"/>
              </w:rPr>
              <w:t>value</w:t>
            </w:r>
          </w:p>
        </w:tc>
        <w:tc>
          <w:tcPr>
            <w:tcW w:w="75" w:type="dxa"/>
            <w:vMerge/>
            <w:tcBorders>
              <w:top w:val="nil"/>
              <w:left w:val="nil"/>
              <w:bottom w:val="nil"/>
              <w:right w:val="nil"/>
            </w:tcBorders>
          </w:tcPr>
          <w:p>
            <w:pPr>
              <w:keepNext/>
              <w:pageBreakBefore w:val="0"/>
            </w:pPr>
          </w:p>
        </w:tc>
        <w:tc>
          <w:tcPr>
            <w:tcW w:w="900" w:type="dxa"/>
            <w:vMerge/>
            <w:tcBorders>
              <w:top w:val="nil"/>
              <w:left w:val="nil"/>
              <w:bottom w:val="single" w:sz="8" w:space="0" w:color="000000"/>
              <w:right w:val="nil"/>
            </w:tcBorders>
          </w:tcPr>
          <w:p>
            <w:pPr>
              <w:keepNext/>
              <w:pageBreakBefore w:val="0"/>
            </w:pPr>
          </w:p>
        </w:tc>
        <w:tc>
          <w:tcPr>
            <w:tcW w:w="75" w:type="dxa"/>
            <w:vMerge/>
            <w:tcBorders>
              <w:top w:val="nil"/>
              <w:left w:val="nil"/>
              <w:bottom w:val="nil"/>
              <w:right w:val="nil"/>
            </w:tcBorders>
          </w:tcPr>
          <w:p>
            <w:pPr>
              <w:keepNext/>
              <w:pageBreakBefore w:val="0"/>
            </w:pPr>
          </w:p>
        </w:tc>
        <w:tc>
          <w:tcPr>
            <w:tcW w:w="1095" w:type="dxa"/>
            <w:vMerge/>
            <w:tcBorders>
              <w:top w:val="nil"/>
              <w:left w:val="nil"/>
              <w:bottom w:val="single" w:sz="8" w:space="0" w:color="000000"/>
              <w:right w:val="nil"/>
            </w:tcBorders>
          </w:tcPr>
          <w:p>
            <w:pPr>
              <w:keepNext/>
              <w:pageBreakBefore w:val="0"/>
            </w:pPr>
          </w:p>
        </w:tc>
        <w:tc>
          <w:tcPr>
            <w:tcW w:w="75" w:type="dxa"/>
            <w:vMerge/>
            <w:tcBorders>
              <w:top w:val="nil"/>
              <w:left w:val="nil"/>
              <w:bottom w:val="nil"/>
              <w:right w:val="nil"/>
            </w:tcBorders>
          </w:tcPr>
          <w:p>
            <w:pPr>
              <w:keepNext/>
              <w:pageBreakBefore w:val="0"/>
            </w:pPr>
          </w:p>
        </w:tc>
        <w:tc>
          <w:tcPr>
            <w:tcW w:w="1200" w:type="dxa"/>
            <w:vMerge/>
            <w:tcBorders>
              <w:top w:val="nil"/>
              <w:left w:val="nil"/>
              <w:bottom w:val="single" w:sz="8" w:space="0" w:color="000000"/>
              <w:right w:val="nil"/>
            </w:tcBorders>
          </w:tcPr>
          <w:p>
            <w:pPr>
              <w:keepNext/>
              <w:pageBreakBefore w:val="0"/>
            </w:pPr>
          </w:p>
        </w:tc>
        <w:tc>
          <w:tcPr>
            <w:tcW w:w="75" w:type="dxa"/>
            <w:vMerge/>
            <w:tcBorders>
              <w:top w:val="nil"/>
              <w:left w:val="nil"/>
              <w:bottom w:val="nil"/>
              <w:right w:val="nil"/>
            </w:tcBorders>
          </w:tcPr>
          <w:p>
            <w:pPr>
              <w:keepNext/>
              <w:pageBreakBefore w:val="0"/>
            </w:pPr>
          </w:p>
        </w:tc>
        <w:tc>
          <w:tcPr>
            <w:tcW w:w="840" w:type="dxa"/>
            <w:vMerge/>
            <w:tcBorders>
              <w:top w:val="nil"/>
              <w:left w:val="nil"/>
              <w:bottom w:val="single" w:sz="8" w:space="0" w:color="000000"/>
              <w:right w:val="nil"/>
            </w:tcBorders>
          </w:tcPr>
          <w:p>
            <w:pPr>
              <w:keepNext/>
              <w:pageBreakBefore w:val="0"/>
            </w:pP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45" w:after="20" w:line="240" w:lineRule="auto"/>
              <w:jc w:val="left"/>
            </w:pPr>
            <w:r>
              <w:rPr>
                <w:rFonts w:ascii="Times New Roman" w:eastAsia="Times New Roman" w:hAnsi="Times New Roman" w:cs="Times New Roman"/>
                <w:b w:val="0"/>
                <w:i w:val="0"/>
                <w:color w:val="000000"/>
                <w:sz w:val="20"/>
                <w:u w:val="none"/>
              </w:rPr>
              <w:t>Balance as of March 31, 2025</w:t>
            </w:r>
          </w:p>
        </w:tc>
        <w:tc>
          <w:tcPr>
            <w:tcW w:w="7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2"/>
                <w:tab w:val="left" w:pos="727"/>
              </w:tabs>
              <w:spacing w:before="45" w:after="20" w:line="240" w:lineRule="auto"/>
              <w:jc w:val="right"/>
            </w:pPr>
            <w:r>
              <w:rPr>
                <w:rFonts w:ascii="Times New Roman" w:eastAsia="Times New Roman" w:hAnsi="Times New Roman" w:cs="Times New Roman"/>
                <w:b w:val="0"/>
                <w:i w:val="0"/>
                <w:color w:val="000000"/>
                <w:sz w:val="20"/>
                <w:u w:val="none"/>
              </w:rPr>
              <w:tab/>
              <w:t>50,526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67"/>
                <w:tab w:val="left" w:pos="532"/>
              </w:tabs>
              <w:spacing w:before="45" w:after="20" w:line="240" w:lineRule="auto"/>
              <w:jc w:val="right"/>
            </w:pPr>
            <w:r>
              <w:rPr>
                <w:rFonts w:ascii="Times New Roman" w:eastAsia="Times New Roman" w:hAnsi="Times New Roman" w:cs="Times New Roman"/>
                <w:b w:val="0"/>
                <w:i w:val="0"/>
                <w:color w:val="000000"/>
                <w:sz w:val="20"/>
                <w:u w:val="none"/>
              </w:rPr>
              <w:t>$</w:t>
              <w:tab/>
              <w:t>505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7"/>
                <w:tab w:val="left" w:pos="832"/>
              </w:tabs>
              <w:spacing w:before="45" w:after="20" w:line="240" w:lineRule="auto"/>
              <w:jc w:val="right"/>
            </w:pPr>
            <w:r>
              <w:rPr>
                <w:rFonts w:ascii="Times New Roman" w:eastAsia="Times New Roman" w:hAnsi="Times New Roman" w:cs="Times New Roman"/>
                <w:b w:val="0"/>
                <w:i w:val="0"/>
                <w:color w:val="000000"/>
                <w:sz w:val="20"/>
                <w:u w:val="none"/>
              </w:rPr>
              <w:t>$</w:t>
              <w:tab/>
              <w:t>452,187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226"/>
              </w:tabs>
              <w:spacing w:before="45" w:after="20" w:line="240" w:lineRule="auto"/>
              <w:jc w:val="right"/>
            </w:pPr>
            <w:r>
              <w:rPr>
                <w:rFonts w:ascii="Times New Roman" w:eastAsia="Times New Roman" w:hAnsi="Times New Roman" w:cs="Times New Roman"/>
                <w:b w:val="0"/>
                <w:i w:val="0"/>
                <w:color w:val="000000"/>
                <w:sz w:val="20"/>
                <w:u w:val="none"/>
              </w:rPr>
              <w:t>$</w:t>
              <w:tab/>
              <w:t>(340,306)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31"/>
              </w:tabs>
              <w:spacing w:before="45" w:after="20" w:line="240" w:lineRule="auto"/>
              <w:jc w:val="right"/>
            </w:pPr>
            <w:r>
              <w:rPr>
                <w:rFonts w:ascii="Times New Roman" w:eastAsia="Times New Roman" w:hAnsi="Times New Roman" w:cs="Times New Roman"/>
                <w:b w:val="0"/>
                <w:i w:val="0"/>
                <w:color w:val="000000"/>
                <w:sz w:val="20"/>
                <w:u w:val="none"/>
              </w:rPr>
              <w:t>$</w:t>
              <w:tab/>
              <w:t>(45,042)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84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57"/>
                <w:tab w:val="left" w:pos="772"/>
              </w:tabs>
              <w:spacing w:before="45" w:after="20" w:line="240" w:lineRule="auto"/>
              <w:jc w:val="right"/>
            </w:pPr>
            <w:r>
              <w:rPr>
                <w:rFonts w:ascii="Times New Roman" w:eastAsia="Times New Roman" w:hAnsi="Times New Roman" w:cs="Times New Roman"/>
                <w:b w:val="0"/>
                <w:i w:val="0"/>
                <w:color w:val="000000"/>
                <w:sz w:val="20"/>
                <w:u w:val="none"/>
              </w:rPr>
              <w:t>$</w:t>
              <w:tab/>
              <w:t>67,344</w:t>
              <w:tab/>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Net loss</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62"/>
                <w:tab w:val="left" w:pos="7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67"/>
                <w:tab w:val="left" w:pos="8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26"/>
              </w:tabs>
              <w:spacing w:before="65" w:after="20" w:line="240" w:lineRule="auto"/>
              <w:jc w:val="right"/>
            </w:pPr>
            <w:r>
              <w:rPr>
                <w:rFonts w:ascii="Times New Roman" w:eastAsia="Times New Roman" w:hAnsi="Times New Roman" w:cs="Times New Roman"/>
                <w:b w:val="0"/>
                <w:i w:val="0"/>
                <w:color w:val="000000"/>
                <w:sz w:val="20"/>
                <w:u w:val="none"/>
              </w:rPr>
              <w:tab/>
              <w:t>(8,102)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71"/>
              </w:tabs>
              <w:spacing w:before="65" w:after="20" w:line="240" w:lineRule="auto"/>
              <w:jc w:val="right"/>
            </w:pPr>
            <w:r>
              <w:rPr>
                <w:rFonts w:ascii="Times New Roman" w:eastAsia="Times New Roman" w:hAnsi="Times New Roman" w:cs="Times New Roman"/>
                <w:b w:val="0"/>
                <w:i w:val="0"/>
                <w:color w:val="000000"/>
                <w:sz w:val="20"/>
                <w:u w:val="none"/>
              </w:rPr>
              <w:tab/>
              <w:t>(8,102)</w:t>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Dividends accrued for preferred stock</w:t>
            </w:r>
          </w:p>
        </w:tc>
        <w:tc>
          <w:tcPr>
            <w:tcW w:w="7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62"/>
                <w:tab w:val="left" w:pos="7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6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231"/>
              </w:tabs>
              <w:spacing w:before="65" w:after="20" w:line="240" w:lineRule="auto"/>
              <w:jc w:val="right"/>
            </w:pPr>
            <w:r>
              <w:rPr>
                <w:rFonts w:ascii="Times New Roman" w:eastAsia="Times New Roman" w:hAnsi="Times New Roman" w:cs="Times New Roman"/>
                <w:b w:val="0"/>
                <w:i w:val="0"/>
                <w:color w:val="000000"/>
                <w:sz w:val="20"/>
                <w:u w:val="none"/>
              </w:rPr>
              <w:tab/>
              <w:t>(4,614)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8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71"/>
              </w:tabs>
              <w:spacing w:before="65" w:after="20" w:line="240" w:lineRule="auto"/>
              <w:jc w:val="right"/>
            </w:pPr>
            <w:r>
              <w:rPr>
                <w:rFonts w:ascii="Times New Roman" w:eastAsia="Times New Roman" w:hAnsi="Times New Roman" w:cs="Times New Roman"/>
                <w:b w:val="0"/>
                <w:i w:val="0"/>
                <w:color w:val="000000"/>
                <w:sz w:val="20"/>
                <w:u w:val="none"/>
              </w:rPr>
              <w:tab/>
              <w:t>(4,614)</w:t>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Shares issued under stock incentive plans, net of forfeitures</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376"/>
              </w:tabs>
              <w:spacing w:before="65" w:after="20" w:line="240" w:lineRule="auto"/>
              <w:jc w:val="right"/>
            </w:pPr>
            <w:r>
              <w:rPr>
                <w:rFonts w:ascii="Times New Roman" w:eastAsia="Times New Roman" w:hAnsi="Times New Roman" w:cs="Times New Roman"/>
                <w:b w:val="0"/>
                <w:i w:val="0"/>
                <w:color w:val="000000"/>
                <w:sz w:val="20"/>
                <w:u w:val="none"/>
              </w:rPr>
              <w:tab/>
              <w:t>(64)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67"/>
                <w:tab w:val="left" w:pos="8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07"/>
                <w:tab w:val="left" w:pos="772"/>
              </w:tabs>
              <w:spacing w:before="65" w:after="2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Share-based compensation expense</w:t>
            </w:r>
          </w:p>
        </w:tc>
        <w:tc>
          <w:tcPr>
            <w:tcW w:w="7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62"/>
                <w:tab w:val="left" w:pos="7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6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67"/>
                <w:tab w:val="left" w:pos="832"/>
              </w:tabs>
              <w:spacing w:before="65" w:after="20" w:line="240" w:lineRule="auto"/>
              <w:jc w:val="right"/>
            </w:pPr>
            <w:r>
              <w:rPr>
                <w:rFonts w:ascii="Times New Roman" w:eastAsia="Times New Roman" w:hAnsi="Times New Roman" w:cs="Times New Roman"/>
                <w:b w:val="0"/>
                <w:i w:val="0"/>
                <w:color w:val="000000"/>
                <w:sz w:val="20"/>
                <w:u w:val="none"/>
              </w:rPr>
              <w:tab/>
              <w:t>801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8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07"/>
                <w:tab w:val="left" w:pos="772"/>
              </w:tabs>
              <w:spacing w:before="65" w:after="20" w:line="240" w:lineRule="auto"/>
              <w:jc w:val="right"/>
            </w:pPr>
            <w:r>
              <w:rPr>
                <w:rFonts w:ascii="Times New Roman" w:eastAsia="Times New Roman" w:hAnsi="Times New Roman" w:cs="Times New Roman"/>
                <w:b w:val="0"/>
                <w:i w:val="0"/>
                <w:color w:val="000000"/>
                <w:sz w:val="20"/>
                <w:u w:val="none"/>
              </w:rPr>
              <w:tab/>
              <w:t>801</w:t>
              <w:tab/>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Restricted shares surrendered for tax withholdings under stock incentive plans</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76"/>
              </w:tabs>
              <w:spacing w:before="65" w:after="20" w:line="240" w:lineRule="auto"/>
              <w:jc w:val="right"/>
            </w:pPr>
            <w:r>
              <w:rPr>
                <w:rFonts w:ascii="Times New Roman" w:eastAsia="Times New Roman" w:hAnsi="Times New Roman" w:cs="Times New Roman"/>
                <w:b w:val="0"/>
                <w:i w:val="0"/>
                <w:color w:val="000000"/>
                <w:sz w:val="20"/>
                <w:u w:val="none"/>
              </w:rPr>
              <w:tab/>
              <w:t>(175)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81"/>
              </w:tabs>
              <w:spacing w:before="65" w:after="20" w:line="240" w:lineRule="auto"/>
              <w:jc w:val="right"/>
            </w:pPr>
            <w:r>
              <w:rPr>
                <w:rFonts w:ascii="Times New Roman" w:eastAsia="Times New Roman" w:hAnsi="Times New Roman" w:cs="Times New Roman"/>
                <w:b w:val="0"/>
                <w:i w:val="0"/>
                <w:color w:val="000000"/>
                <w:sz w:val="20"/>
                <w:u w:val="none"/>
              </w:rPr>
              <w:tab/>
              <w:t>(2)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381"/>
              </w:tabs>
              <w:spacing w:before="65" w:after="20" w:line="240" w:lineRule="auto"/>
              <w:jc w:val="right"/>
            </w:pPr>
            <w:r>
              <w:rPr>
                <w:rFonts w:ascii="Times New Roman" w:eastAsia="Times New Roman" w:hAnsi="Times New Roman" w:cs="Times New Roman"/>
                <w:b w:val="0"/>
                <w:i w:val="0"/>
                <w:color w:val="000000"/>
                <w:sz w:val="20"/>
                <w:u w:val="none"/>
              </w:rPr>
              <w:tab/>
              <w:t>(341)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321"/>
              </w:tabs>
              <w:spacing w:before="65" w:after="20" w:line="240" w:lineRule="auto"/>
              <w:jc w:val="right"/>
            </w:pPr>
            <w:r>
              <w:rPr>
                <w:rFonts w:ascii="Times New Roman" w:eastAsia="Times New Roman" w:hAnsi="Times New Roman" w:cs="Times New Roman"/>
                <w:b w:val="0"/>
                <w:i w:val="0"/>
                <w:color w:val="000000"/>
                <w:sz w:val="20"/>
                <w:u w:val="none"/>
              </w:rPr>
              <w:tab/>
              <w:t>(343)</w:t>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Other comprehensive income</w:t>
            </w:r>
          </w:p>
        </w:tc>
        <w:tc>
          <w:tcPr>
            <w:tcW w:w="79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462"/>
                <w:tab w:val="left" w:pos="7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6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67"/>
                <w:tab w:val="left" w:pos="8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09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4,454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84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257"/>
                <w:tab w:val="left" w:pos="772"/>
              </w:tabs>
              <w:spacing w:before="65" w:after="20" w:line="240" w:lineRule="auto"/>
              <w:jc w:val="right"/>
            </w:pPr>
            <w:r>
              <w:rPr>
                <w:rFonts w:ascii="Times New Roman" w:eastAsia="Times New Roman" w:hAnsi="Times New Roman" w:cs="Times New Roman"/>
                <w:b w:val="0"/>
                <w:i w:val="0"/>
                <w:color w:val="000000"/>
                <w:sz w:val="20"/>
                <w:u w:val="none"/>
              </w:rPr>
              <w:tab/>
              <w:t>4,454</w:t>
              <w:tab/>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45" w:after="20" w:line="240" w:lineRule="auto"/>
              <w:jc w:val="left"/>
            </w:pPr>
            <w:r>
              <w:rPr>
                <w:rFonts w:ascii="Times New Roman" w:eastAsia="Times New Roman" w:hAnsi="Times New Roman" w:cs="Times New Roman"/>
                <w:b w:val="0"/>
                <w:i w:val="0"/>
                <w:color w:val="000000"/>
                <w:sz w:val="20"/>
                <w:u w:val="none"/>
              </w:rPr>
              <w:t>Balance as of June 30, 2025</w:t>
            </w:r>
          </w:p>
        </w:tc>
        <w:tc>
          <w:tcPr>
            <w:tcW w:w="79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12"/>
                <w:tab w:val="left" w:pos="727"/>
              </w:tabs>
              <w:spacing w:before="45" w:after="20" w:line="240" w:lineRule="auto"/>
              <w:jc w:val="right"/>
            </w:pPr>
            <w:r>
              <w:rPr>
                <w:rFonts w:ascii="Times New Roman" w:eastAsia="Times New Roman" w:hAnsi="Times New Roman" w:cs="Times New Roman"/>
                <w:b w:val="0"/>
                <w:i w:val="0"/>
                <w:color w:val="000000"/>
                <w:sz w:val="20"/>
                <w:u w:val="none"/>
              </w:rPr>
              <w:tab/>
              <w:t>50,287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6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67"/>
                <w:tab w:val="left" w:pos="532"/>
              </w:tabs>
              <w:spacing w:before="45" w:after="20" w:line="240" w:lineRule="auto"/>
              <w:jc w:val="right"/>
            </w:pPr>
            <w:r>
              <w:rPr>
                <w:rFonts w:ascii="Times New Roman" w:eastAsia="Times New Roman" w:hAnsi="Times New Roman" w:cs="Times New Roman"/>
                <w:b w:val="0"/>
                <w:i w:val="0"/>
                <w:color w:val="000000"/>
                <w:sz w:val="20"/>
                <w:u w:val="none"/>
              </w:rPr>
              <w:t>$</w:t>
              <w:tab/>
              <w:t>503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sz w:val="20"/>
              </w:rPr>
            </w:pP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17"/>
                <w:tab w:val="left" w:pos="832"/>
              </w:tabs>
              <w:spacing w:before="45" w:after="20" w:line="240" w:lineRule="auto"/>
              <w:jc w:val="right"/>
            </w:pPr>
            <w:r>
              <w:rPr>
                <w:rFonts w:ascii="Times New Roman" w:eastAsia="Times New Roman" w:hAnsi="Times New Roman" w:cs="Times New Roman"/>
                <w:b w:val="0"/>
                <w:i w:val="0"/>
                <w:color w:val="000000"/>
                <w:sz w:val="20"/>
                <w:u w:val="none"/>
              </w:rPr>
              <w:t>$</w:t>
              <w:tab/>
              <w:t>448,033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sz w:val="20"/>
              </w:rPr>
            </w:pPr>
          </w:p>
        </w:tc>
        <w:tc>
          <w:tcPr>
            <w:tcW w:w="109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226"/>
              </w:tabs>
              <w:spacing w:before="45" w:after="20" w:line="240" w:lineRule="auto"/>
              <w:jc w:val="right"/>
            </w:pPr>
            <w:r>
              <w:rPr>
                <w:rFonts w:ascii="Times New Roman" w:eastAsia="Times New Roman" w:hAnsi="Times New Roman" w:cs="Times New Roman"/>
                <w:b w:val="0"/>
                <w:i w:val="0"/>
                <w:color w:val="000000"/>
                <w:sz w:val="20"/>
                <w:u w:val="none"/>
              </w:rPr>
              <w:t>$</w:t>
              <w:tab/>
              <w:t>(348,408)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sz w:val="20"/>
              </w:rPr>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431"/>
              </w:tabs>
              <w:spacing w:before="45" w:after="20" w:line="240" w:lineRule="auto"/>
              <w:jc w:val="right"/>
            </w:pPr>
            <w:r>
              <w:rPr>
                <w:rFonts w:ascii="Times New Roman" w:eastAsia="Times New Roman" w:hAnsi="Times New Roman" w:cs="Times New Roman"/>
                <w:b w:val="0"/>
                <w:i w:val="0"/>
                <w:color w:val="000000"/>
                <w:sz w:val="20"/>
                <w:u w:val="none"/>
              </w:rPr>
              <w:t>$</w:t>
              <w:tab/>
              <w:t>(40,588)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sz w:val="20"/>
              </w:rPr>
            </w:pPr>
          </w:p>
        </w:tc>
        <w:tc>
          <w:tcPr>
            <w:tcW w:w="84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57"/>
                <w:tab w:val="left" w:pos="772"/>
              </w:tabs>
              <w:spacing w:before="45" w:after="20" w:line="240" w:lineRule="auto"/>
              <w:jc w:val="right"/>
            </w:pPr>
            <w:r>
              <w:rPr>
                <w:rFonts w:ascii="Times New Roman" w:eastAsia="Times New Roman" w:hAnsi="Times New Roman" w:cs="Times New Roman"/>
                <w:b w:val="0"/>
                <w:i w:val="0"/>
                <w:color w:val="000000"/>
                <w:sz w:val="20"/>
                <w:u w:val="none"/>
              </w:rPr>
              <w:t>$</w:t>
              <w:tab/>
              <w:t>59,540</w:t>
              <w:tab/>
            </w:r>
          </w:p>
        </w:tc>
      </w:tr>
    </w:tbl>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See notes to condensed consolidated financial statements (unaudited).</w:t>
      </w:r>
    </w:p>
    <w:p>
      <w:pPr>
        <w:keepNext w:val="0"/>
        <w:keepLines w:val="0"/>
        <w:pageBreakBefore w:val="0"/>
        <w:widowControl/>
        <w:numPr>
          <w:ilvl w:val="0"/>
          <w:numId w:val="0"/>
        </w:numPr>
        <w:spacing w:before="0" w:after="0" w:line="288" w:lineRule="auto"/>
        <w:ind w:left="0" w:right="0" w:firstLine="0"/>
        <w:jc w:val="center"/>
        <w:outlineLvl w:val="9"/>
        <w:rPr>
          <w:rFonts w:ascii="Times New Roman" w:eastAsia="Times New Roman" w:hAnsi="Times New Roman" w:cs="Times New Roman"/>
          <w:b/>
          <w:i w:val="0"/>
          <w:sz w:val="20"/>
        </w:rPr>
        <w:sectPr>
          <w:pgSz w:w="12240" w:h="15840"/>
          <w:pgMar w:top="810" w:right="990" w:bottom="810" w:left="990" w:header="270" w:footer="270"/>
          <w:cols w:space="708"/>
        </w:sectPr>
      </w:pPr>
    </w:p>
    <w:p>
      <w:pPr>
        <w:pStyle w:val="PARTheading"/>
        <w:keepNext w:val="0"/>
        <w:keepLines w:val="0"/>
        <w:pageBreakBefore w:val="0"/>
        <w:widowControl/>
        <w:numPr>
          <w:ilvl w:val="0"/>
          <w:numId w:val="0"/>
        </w:numPr>
        <w:spacing w:before="0" w:after="0" w:line="288" w:lineRule="auto"/>
        <w:ind w:left="0" w:right="0" w:firstLine="0"/>
        <w:jc w:val="center"/>
        <w:outlineLvl w:val="3"/>
        <w:rPr>
          <w:rFonts w:ascii="Times New Roman" w:eastAsia="Times New Roman" w:hAnsi="Times New Roman" w:cs="Times New Roman"/>
          <w:b/>
          <w:i w:val="0"/>
          <w:color w:val="000000"/>
          <w:sz w:val="20"/>
          <w:u w:val="none"/>
        </w:rPr>
      </w:pPr>
      <w:bookmarkStart w:id="7" w:name="Section9"/>
      <w:bookmarkEnd w:id="7"/>
      <w:r>
        <w:rPr>
          <w:rFonts w:ascii="Times New Roman" w:eastAsia="Times New Roman" w:hAnsi="Times New Roman" w:cs="Times New Roman"/>
          <w:b/>
          <w:i w:val="0"/>
          <w:color w:val="000000"/>
          <w:sz w:val="20"/>
          <w:u w:val="none"/>
        </w:rPr>
        <w:t>NN, Inc.</w:t>
      </w:r>
    </w:p>
    <w:p>
      <w:pPr>
        <w:pStyle w:val="PARTheading"/>
        <w:keepNext w:val="0"/>
        <w:keepLines w:val="0"/>
        <w:pageBreakBefore w:val="0"/>
        <w:widowControl/>
        <w:numPr>
          <w:ilvl w:val="0"/>
          <w:numId w:val="0"/>
        </w:numPr>
        <w:spacing w:before="0" w:after="6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 xml:space="preserve">Condensed Consolidated Statements of Changes in Stockholders’ Equity </w:t>
      </w:r>
    </w:p>
    <w:p>
      <w:pPr>
        <w:pStyle w:val="PARTheading"/>
        <w:keepNext w:val="0"/>
        <w:keepLines w:val="0"/>
        <w:pageBreakBefore w:val="0"/>
        <w:widowControl/>
        <w:numPr>
          <w:ilvl w:val="0"/>
          <w:numId w:val="0"/>
        </w:numPr>
        <w:spacing w:before="0" w:after="6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Six Months Ended June 30,</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2026</w:t>
      </w:r>
      <w:r>
        <w:rPr>
          <w:rFonts w:ascii="Times New Roman" w:eastAsia="Times New Roman" w:hAnsi="Times New Roman" w:cs="Times New Roman"/>
          <w:b/>
          <w:i w:val="0"/>
          <w:color w:val="000000"/>
          <w:sz w:val="20"/>
          <w:u w:val="none"/>
        </w:rPr>
        <w:t xml:space="preserve"> and </w:t>
      </w:r>
      <w:r>
        <w:rPr>
          <w:rFonts w:ascii="Times New Roman" w:eastAsia="Times New Roman" w:hAnsi="Times New Roman" w:cs="Times New Roman"/>
          <w:b/>
          <w:i w:val="0"/>
          <w:color w:val="000000"/>
          <w:sz w:val="20"/>
          <w:u w:val="none"/>
        </w:rPr>
        <w:t>2025</w:t>
      </w:r>
      <w:r>
        <w:rPr>
          <w:rFonts w:ascii="Times New Roman" w:eastAsia="Times New Roman" w:hAnsi="Times New Roman" w:cs="Times New Roman"/>
          <w:b/>
          <w:i w:val="0"/>
          <w:color w:val="000000"/>
          <w:sz w:val="20"/>
          <w:u w:val="none"/>
        </w:rPr>
        <w:t xml:space="preserve"> </w:t>
      </w:r>
    </w:p>
    <w:p>
      <w:pPr>
        <w:pStyle w:val="PARTheading"/>
        <w:keepNext w:val="0"/>
        <w:keepLines w:val="0"/>
        <w:pageBreakBefore w:val="0"/>
        <w:widowControl/>
        <w:numPr>
          <w:ilvl w:val="0"/>
          <w:numId w:val="0"/>
        </w:numPr>
        <w:spacing w:before="0" w:after="12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(Unaudited)</w:t>
      </w:r>
      <w:r>
        <w:rPr>
          <w:rFonts w:ascii="Times New Roman" w:eastAsia="Times New Roman" w:hAnsi="Times New Roman" w:cs="Times New Roman"/>
          <w:b w:val="0"/>
          <w:i w:val="0"/>
          <w:sz w:val="24"/>
        </w:rPr>
        <w:t> </w:t>
      </w:r>
    </w:p>
    <w:tbl>
      <w:tblPr>
        <w:tblStyle w:val="TableNormal0"/>
        <w:tblW w:w="10260" w:type="dxa"/>
        <w:jc w:val="left"/>
        <w:tblInd w:w="0" w:type="dxa"/>
        <w:tblLayout w:type="fixed"/>
      </w:tblPr>
      <w:tblGrid>
        <w:gridCol w:w="4455"/>
        <w:gridCol w:w="795"/>
        <w:gridCol w:w="75"/>
        <w:gridCol w:w="600"/>
        <w:gridCol w:w="75"/>
        <w:gridCol w:w="900"/>
        <w:gridCol w:w="75"/>
        <w:gridCol w:w="1095"/>
        <w:gridCol w:w="75"/>
        <w:gridCol w:w="1200"/>
        <w:gridCol w:w="75"/>
        <w:gridCol w:w="840"/>
      </w:tblGrid>
      <w:tr>
        <w:tblPrEx>
          <w:tblW w:w="10260" w:type="dxa"/>
          <w:tblInd w:w="0" w:type="dxa"/>
          <w:tblLayout w:type="fixed"/>
        </w:tblPrEx>
        <w:trPr>
          <w:trHeight w:hRule="auto" w:val="0"/>
        </w:trPr>
        <w:tc>
          <w:tcPr>
            <w:tcW w:w="44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70"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Common Stock</w:t>
            </w:r>
          </w:p>
        </w:tc>
        <w:tc>
          <w:tcPr>
            <w:tcW w:w="75" w:type="dxa"/>
            <w:vMerge w:val="restart"/>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00" w:type="dxa"/>
            <w:vMerge w:val="restart"/>
            <w:tcBorders>
              <w:top w:val="nil"/>
              <w:left w:val="nil"/>
              <w:bottom w:val="nil"/>
              <w:right w:val="nil"/>
            </w:tcBorders>
            <w:tcMar>
              <w:top w:w="0" w:type="dxa"/>
              <w:left w:w="53" w:type="dxa"/>
              <w:bottom w:w="0" w:type="dxa"/>
              <w:right w:w="53" w:type="dxa"/>
            </w:tcMar>
            <w:vAlign w:val="bottom"/>
          </w:tcPr>
          <w:p>
            <w:pPr>
              <w:keepNext/>
              <w:pageBreakBefore w:val="0"/>
              <w:spacing w:before="65" w:line="240" w:lineRule="auto"/>
              <w:jc w:val="center"/>
            </w:pPr>
            <w:r>
              <w:rPr>
                <w:rFonts w:ascii="Times New Roman" w:eastAsia="Times New Roman" w:hAnsi="Times New Roman" w:cs="Times New Roman"/>
                <w:b/>
                <w:i w:val="0"/>
                <w:color w:val="000000"/>
                <w:sz w:val="16"/>
                <w:u w:val="none"/>
              </w:rPr>
              <w:t>Additional</w:t>
            </w:r>
          </w:p>
          <w:p>
            <w:pPr>
              <w:spacing w:line="240" w:lineRule="auto"/>
              <w:jc w:val="center"/>
            </w:pPr>
            <w:r>
              <w:rPr>
                <w:rFonts w:ascii="Times New Roman" w:eastAsia="Times New Roman" w:hAnsi="Times New Roman" w:cs="Times New Roman"/>
                <w:b/>
                <w:i w:val="0"/>
                <w:color w:val="000000"/>
                <w:sz w:val="16"/>
                <w:u w:val="none"/>
              </w:rPr>
              <w:t>paid-in</w:t>
            </w:r>
          </w:p>
          <w:p>
            <w:pPr>
              <w:spacing w:after="20" w:line="240" w:lineRule="auto"/>
              <w:jc w:val="center"/>
            </w:pPr>
            <w:r>
              <w:rPr>
                <w:rFonts w:ascii="Times New Roman" w:eastAsia="Times New Roman" w:hAnsi="Times New Roman" w:cs="Times New Roman"/>
                <w:b/>
                <w:i w:val="0"/>
                <w:color w:val="000000"/>
                <w:sz w:val="16"/>
                <w:u w:val="none"/>
              </w:rPr>
              <w:t>capital</w:t>
            </w:r>
          </w:p>
        </w:tc>
        <w:tc>
          <w:tcPr>
            <w:tcW w:w="75" w:type="dxa"/>
            <w:vMerge w:val="restart"/>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95" w:type="dxa"/>
            <w:vMerge w:val="restart"/>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Accumulated deficit</w:t>
            </w:r>
          </w:p>
        </w:tc>
        <w:tc>
          <w:tcPr>
            <w:tcW w:w="75" w:type="dxa"/>
            <w:vMerge w:val="restart"/>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vMerge w:val="restart"/>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Accumulated other comprehensive loss</w:t>
            </w:r>
          </w:p>
        </w:tc>
        <w:tc>
          <w:tcPr>
            <w:tcW w:w="75" w:type="dxa"/>
            <w:vMerge w:val="restart"/>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40" w:type="dxa"/>
            <w:vMerge w:val="restart"/>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Total</w:t>
            </w:r>
          </w:p>
        </w:tc>
      </w:tr>
      <w:tr>
        <w:tblPrEx>
          <w:tblW w:w="10260" w:type="dxa"/>
          <w:tblInd w:w="0" w:type="dxa"/>
          <w:tblLayout w:type="fixed"/>
        </w:tblPrEx>
        <w:trPr>
          <w:trHeight w:hRule="auto" w:val="0"/>
        </w:trPr>
        <w:tc>
          <w:tcPr>
            <w:tcW w:w="4455" w:type="dxa"/>
            <w:tcBorders>
              <w:top w:val="nil"/>
              <w:left w:val="nil"/>
              <w:bottom w:val="nil"/>
              <w:right w:val="nil"/>
            </w:tcBorders>
            <w:tcMar>
              <w:top w:w="0" w:type="dxa"/>
              <w:left w:w="53" w:type="dxa"/>
              <w:bottom w:w="0" w:type="dxa"/>
              <w:right w:w="53" w:type="dxa"/>
            </w:tcMar>
            <w:vAlign w:val="bottom"/>
          </w:tcPr>
          <w:p>
            <w:pPr>
              <w:keepNext/>
              <w:pageBreakBefore w:val="0"/>
              <w:spacing w:before="45" w:after="20" w:line="240" w:lineRule="auto"/>
              <w:jc w:val="left"/>
            </w:pPr>
            <w:r>
              <w:rPr>
                <w:rFonts w:ascii="Times New Roman" w:eastAsia="Times New Roman" w:hAnsi="Times New Roman" w:cs="Times New Roman"/>
                <w:b/>
                <w:i w:val="0"/>
                <w:color w:val="000000"/>
                <w:sz w:val="16"/>
                <w:u w:val="none"/>
              </w:rPr>
              <w:t>(in thousands)</w:t>
            </w:r>
          </w:p>
        </w:tc>
        <w:tc>
          <w:tcPr>
            <w:tcW w:w="7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Number of shares</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6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45" w:line="240" w:lineRule="auto"/>
              <w:jc w:val="center"/>
            </w:pPr>
            <w:r>
              <w:rPr>
                <w:rFonts w:ascii="Times New Roman" w:eastAsia="Times New Roman" w:hAnsi="Times New Roman" w:cs="Times New Roman"/>
                <w:b/>
                <w:i w:val="0"/>
                <w:color w:val="000000"/>
                <w:sz w:val="16"/>
                <w:u w:val="none"/>
              </w:rPr>
              <w:t>Par</w:t>
            </w:r>
          </w:p>
          <w:p>
            <w:pPr>
              <w:spacing w:after="20" w:line="240" w:lineRule="auto"/>
              <w:jc w:val="center"/>
            </w:pPr>
            <w:r>
              <w:rPr>
                <w:rFonts w:ascii="Times New Roman" w:eastAsia="Times New Roman" w:hAnsi="Times New Roman" w:cs="Times New Roman"/>
                <w:b/>
                <w:i w:val="0"/>
                <w:color w:val="000000"/>
                <w:sz w:val="16"/>
                <w:u w:val="none"/>
              </w:rPr>
              <w:t>value</w:t>
            </w:r>
          </w:p>
        </w:tc>
        <w:tc>
          <w:tcPr>
            <w:tcW w:w="75" w:type="dxa"/>
            <w:vMerge/>
            <w:tcBorders>
              <w:top w:val="nil"/>
              <w:left w:val="nil"/>
              <w:bottom w:val="nil"/>
              <w:right w:val="nil"/>
            </w:tcBorders>
          </w:tcPr>
          <w:p>
            <w:pPr>
              <w:keepNext/>
              <w:pageBreakBefore w:val="0"/>
            </w:pPr>
          </w:p>
        </w:tc>
        <w:tc>
          <w:tcPr>
            <w:tcW w:w="900" w:type="dxa"/>
            <w:vMerge/>
            <w:tcBorders>
              <w:top w:val="nil"/>
              <w:left w:val="nil"/>
              <w:bottom w:val="single" w:sz="8" w:space="0" w:color="000000"/>
              <w:right w:val="nil"/>
            </w:tcBorders>
          </w:tcPr>
          <w:p>
            <w:pPr>
              <w:keepNext/>
              <w:pageBreakBefore w:val="0"/>
            </w:pPr>
          </w:p>
        </w:tc>
        <w:tc>
          <w:tcPr>
            <w:tcW w:w="75" w:type="dxa"/>
            <w:vMerge/>
            <w:tcBorders>
              <w:top w:val="nil"/>
              <w:left w:val="nil"/>
              <w:bottom w:val="nil"/>
              <w:right w:val="nil"/>
            </w:tcBorders>
          </w:tcPr>
          <w:p>
            <w:pPr>
              <w:keepNext/>
              <w:pageBreakBefore w:val="0"/>
            </w:pPr>
          </w:p>
        </w:tc>
        <w:tc>
          <w:tcPr>
            <w:tcW w:w="1095" w:type="dxa"/>
            <w:vMerge/>
            <w:tcBorders>
              <w:top w:val="nil"/>
              <w:left w:val="nil"/>
              <w:bottom w:val="single" w:sz="8" w:space="0" w:color="000000"/>
              <w:right w:val="nil"/>
            </w:tcBorders>
          </w:tcPr>
          <w:p>
            <w:pPr>
              <w:keepNext/>
              <w:pageBreakBefore w:val="0"/>
            </w:pPr>
          </w:p>
        </w:tc>
        <w:tc>
          <w:tcPr>
            <w:tcW w:w="75" w:type="dxa"/>
            <w:vMerge/>
            <w:tcBorders>
              <w:top w:val="nil"/>
              <w:left w:val="nil"/>
              <w:bottom w:val="nil"/>
              <w:right w:val="nil"/>
            </w:tcBorders>
          </w:tcPr>
          <w:p>
            <w:pPr>
              <w:keepNext/>
              <w:pageBreakBefore w:val="0"/>
            </w:pPr>
          </w:p>
        </w:tc>
        <w:tc>
          <w:tcPr>
            <w:tcW w:w="1200" w:type="dxa"/>
            <w:vMerge/>
            <w:tcBorders>
              <w:top w:val="nil"/>
              <w:left w:val="nil"/>
              <w:bottom w:val="single" w:sz="8" w:space="0" w:color="000000"/>
              <w:right w:val="nil"/>
            </w:tcBorders>
          </w:tcPr>
          <w:p>
            <w:pPr>
              <w:keepNext/>
              <w:pageBreakBefore w:val="0"/>
            </w:pPr>
          </w:p>
        </w:tc>
        <w:tc>
          <w:tcPr>
            <w:tcW w:w="75" w:type="dxa"/>
            <w:vMerge/>
            <w:tcBorders>
              <w:top w:val="nil"/>
              <w:left w:val="nil"/>
              <w:bottom w:val="nil"/>
              <w:right w:val="nil"/>
            </w:tcBorders>
          </w:tcPr>
          <w:p>
            <w:pPr>
              <w:keepNext/>
              <w:pageBreakBefore w:val="0"/>
            </w:pPr>
          </w:p>
        </w:tc>
        <w:tc>
          <w:tcPr>
            <w:tcW w:w="840" w:type="dxa"/>
            <w:vMerge/>
            <w:tcBorders>
              <w:top w:val="nil"/>
              <w:left w:val="nil"/>
              <w:bottom w:val="single" w:sz="8" w:space="0" w:color="000000"/>
              <w:right w:val="nil"/>
            </w:tcBorders>
          </w:tcPr>
          <w:p>
            <w:pPr>
              <w:keepNext/>
              <w:pageBreakBefore w:val="0"/>
            </w:pP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45" w:after="20" w:line="240" w:lineRule="auto"/>
              <w:jc w:val="left"/>
            </w:pPr>
            <w:r>
              <w:rPr>
                <w:rFonts w:ascii="Times New Roman" w:eastAsia="Times New Roman" w:hAnsi="Times New Roman" w:cs="Times New Roman"/>
                <w:b w:val="0"/>
                <w:i w:val="0"/>
                <w:color w:val="000000"/>
                <w:sz w:val="20"/>
                <w:u w:val="none"/>
              </w:rPr>
              <w:t>Balance as of December 31, 2025</w:t>
            </w:r>
          </w:p>
        </w:tc>
        <w:tc>
          <w:tcPr>
            <w:tcW w:w="7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2"/>
                <w:tab w:val="left" w:pos="727"/>
              </w:tabs>
              <w:spacing w:before="45" w:after="20" w:line="240" w:lineRule="auto"/>
              <w:jc w:val="right"/>
            </w:pPr>
            <w:r>
              <w:rPr>
                <w:rFonts w:ascii="Times New Roman" w:eastAsia="Times New Roman" w:hAnsi="Times New Roman" w:cs="Times New Roman"/>
                <w:b w:val="0"/>
                <w:i w:val="0"/>
                <w:color w:val="000000"/>
                <w:sz w:val="20"/>
                <w:u w:val="none"/>
              </w:rPr>
              <w:tab/>
              <w:t>50,196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6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67"/>
                <w:tab w:val="left" w:pos="532"/>
              </w:tabs>
              <w:spacing w:before="45" w:after="20" w:line="240" w:lineRule="auto"/>
              <w:jc w:val="right"/>
            </w:pPr>
            <w:r>
              <w:rPr>
                <w:rFonts w:ascii="Times New Roman" w:eastAsia="Times New Roman" w:hAnsi="Times New Roman" w:cs="Times New Roman"/>
                <w:b w:val="0"/>
                <w:i w:val="0"/>
                <w:color w:val="000000"/>
                <w:sz w:val="20"/>
                <w:u w:val="none"/>
              </w:rPr>
              <w:t>$</w:t>
              <w:tab/>
              <w:t>502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7"/>
                <w:tab w:val="left" w:pos="832"/>
              </w:tabs>
              <w:spacing w:before="45" w:after="20" w:line="240" w:lineRule="auto"/>
              <w:jc w:val="right"/>
            </w:pPr>
            <w:r>
              <w:rPr>
                <w:rFonts w:ascii="Times New Roman" w:eastAsia="Times New Roman" w:hAnsi="Times New Roman" w:cs="Times New Roman"/>
                <w:b w:val="0"/>
                <w:i w:val="0"/>
                <w:color w:val="000000"/>
                <w:sz w:val="20"/>
                <w:u w:val="none"/>
              </w:rPr>
              <w:t>$</w:t>
              <w:tab/>
              <w:t>439,700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0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226"/>
              </w:tabs>
              <w:spacing w:before="45" w:after="20" w:line="240" w:lineRule="auto"/>
              <w:jc w:val="right"/>
            </w:pPr>
            <w:r>
              <w:rPr>
                <w:rFonts w:ascii="Times New Roman" w:eastAsia="Times New Roman" w:hAnsi="Times New Roman" w:cs="Times New Roman"/>
                <w:b w:val="0"/>
                <w:i w:val="0"/>
                <w:color w:val="000000"/>
                <w:sz w:val="20"/>
                <w:u w:val="none"/>
              </w:rPr>
              <w:t>$</w:t>
              <w:tab/>
              <w:t>(367,625)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31"/>
              </w:tabs>
              <w:spacing w:before="45" w:after="20" w:line="240" w:lineRule="auto"/>
              <w:jc w:val="right"/>
            </w:pPr>
            <w:r>
              <w:rPr>
                <w:rFonts w:ascii="Times New Roman" w:eastAsia="Times New Roman" w:hAnsi="Times New Roman" w:cs="Times New Roman"/>
                <w:b w:val="0"/>
                <w:i w:val="0"/>
                <w:color w:val="000000"/>
                <w:sz w:val="20"/>
                <w:u w:val="none"/>
              </w:rPr>
              <w:t>$</w:t>
              <w:tab/>
              <w:t>(38,579)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84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57"/>
                <w:tab w:val="left" w:pos="772"/>
              </w:tabs>
              <w:spacing w:before="45" w:after="20" w:line="240" w:lineRule="auto"/>
              <w:jc w:val="right"/>
            </w:pPr>
            <w:r>
              <w:rPr>
                <w:rFonts w:ascii="Times New Roman" w:eastAsia="Times New Roman" w:hAnsi="Times New Roman" w:cs="Times New Roman"/>
                <w:b w:val="0"/>
                <w:i w:val="0"/>
                <w:color w:val="000000"/>
                <w:sz w:val="20"/>
                <w:u w:val="none"/>
              </w:rPr>
              <w:t>$</w:t>
              <w:tab/>
              <w:t>33,998</w:t>
              <w:tab/>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Net loss</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62"/>
                <w:tab w:val="left" w:pos="7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spacing w:before="65" w:after="20" w:line="240" w:lineRule="auto"/>
              <w:jc w:val="right"/>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26"/>
              </w:tabs>
              <w:spacing w:before="65" w:after="20" w:line="240" w:lineRule="auto"/>
              <w:jc w:val="right"/>
            </w:pPr>
            <w:r>
              <w:rPr>
                <w:rFonts w:ascii="Times New Roman" w:eastAsia="Times New Roman" w:hAnsi="Times New Roman" w:cs="Times New Roman"/>
                <w:b w:val="0"/>
                <w:i w:val="0"/>
                <w:color w:val="000000"/>
                <w:sz w:val="20"/>
                <w:u w:val="none"/>
              </w:rPr>
              <w:tab/>
              <w:t>(9,095)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71"/>
              </w:tabs>
              <w:spacing w:before="65" w:after="20" w:line="240" w:lineRule="auto"/>
              <w:jc w:val="right"/>
            </w:pPr>
            <w:r>
              <w:rPr>
                <w:rFonts w:ascii="Times New Roman" w:eastAsia="Times New Roman" w:hAnsi="Times New Roman" w:cs="Times New Roman"/>
                <w:b w:val="0"/>
                <w:i w:val="0"/>
                <w:color w:val="000000"/>
                <w:sz w:val="20"/>
                <w:u w:val="none"/>
              </w:rPr>
              <w:tab/>
              <w:t>(9,095)</w:t>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Dividends accrued for preferred stock</w:t>
            </w:r>
          </w:p>
        </w:tc>
        <w:tc>
          <w:tcPr>
            <w:tcW w:w="7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62"/>
                <w:tab w:val="left" w:pos="7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6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231"/>
              </w:tabs>
              <w:spacing w:before="65" w:after="20" w:line="240" w:lineRule="auto"/>
              <w:jc w:val="right"/>
            </w:pPr>
            <w:r>
              <w:rPr>
                <w:rFonts w:ascii="Times New Roman" w:eastAsia="Times New Roman" w:hAnsi="Times New Roman" w:cs="Times New Roman"/>
                <w:b w:val="0"/>
                <w:i w:val="0"/>
                <w:color w:val="000000"/>
                <w:sz w:val="20"/>
                <w:u w:val="none"/>
              </w:rPr>
              <w:tab/>
              <w:t>(9,719)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0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8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71"/>
              </w:tabs>
              <w:spacing w:before="65" w:after="20" w:line="240" w:lineRule="auto"/>
              <w:jc w:val="right"/>
            </w:pPr>
            <w:r>
              <w:rPr>
                <w:rFonts w:ascii="Times New Roman" w:eastAsia="Times New Roman" w:hAnsi="Times New Roman" w:cs="Times New Roman"/>
                <w:b w:val="0"/>
                <w:i w:val="0"/>
                <w:color w:val="000000"/>
                <w:sz w:val="20"/>
                <w:u w:val="none"/>
              </w:rPr>
              <w:tab/>
              <w:t>(9,719)</w:t>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Shares issued for warrants exercised</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12"/>
                <w:tab w:val="left" w:pos="727"/>
              </w:tabs>
              <w:spacing w:before="65" w:after="20" w:line="240" w:lineRule="auto"/>
              <w:jc w:val="right"/>
            </w:pPr>
            <w:r>
              <w:rPr>
                <w:rFonts w:ascii="Times New Roman" w:eastAsia="Times New Roman" w:hAnsi="Times New Roman" w:cs="Times New Roman"/>
                <w:b w:val="0"/>
                <w:i w:val="0"/>
                <w:color w:val="000000"/>
                <w:sz w:val="20"/>
                <w:u w:val="none"/>
              </w:rPr>
              <w:tab/>
              <w:t>1,455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14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317"/>
                <w:tab w:val="left" w:pos="832"/>
              </w:tabs>
              <w:spacing w:before="65" w:after="20" w:line="240" w:lineRule="auto"/>
              <w:jc w:val="right"/>
            </w:pPr>
            <w:r>
              <w:rPr>
                <w:rFonts w:ascii="Times New Roman" w:eastAsia="Times New Roman" w:hAnsi="Times New Roman" w:cs="Times New Roman"/>
                <w:b w:val="0"/>
                <w:i w:val="0"/>
                <w:color w:val="000000"/>
                <w:sz w:val="20"/>
                <w:u w:val="none"/>
              </w:rPr>
              <w:tab/>
              <w:t>2,095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09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57"/>
                <w:tab w:val="left" w:pos="772"/>
              </w:tabs>
              <w:spacing w:before="65" w:after="20" w:line="240" w:lineRule="auto"/>
              <w:jc w:val="right"/>
            </w:pPr>
            <w:r>
              <w:rPr>
                <w:rFonts w:ascii="Times New Roman" w:eastAsia="Times New Roman" w:hAnsi="Times New Roman" w:cs="Times New Roman"/>
                <w:b w:val="0"/>
                <w:i w:val="0"/>
                <w:color w:val="000000"/>
                <w:sz w:val="20"/>
                <w:u w:val="none"/>
              </w:rPr>
              <w:tab/>
              <w:t>2,109</w:t>
              <w:tab/>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Shares issued under stock incentive plans, net of forfeitures</w:t>
            </w:r>
          </w:p>
        </w:tc>
        <w:tc>
          <w:tcPr>
            <w:tcW w:w="7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212"/>
                <w:tab w:val="left" w:pos="727"/>
              </w:tabs>
              <w:spacing w:before="65" w:after="20" w:line="240" w:lineRule="auto"/>
              <w:jc w:val="right"/>
            </w:pPr>
            <w:r>
              <w:rPr>
                <w:rFonts w:ascii="Times New Roman" w:eastAsia="Times New Roman" w:hAnsi="Times New Roman" w:cs="Times New Roman"/>
                <w:b w:val="0"/>
                <w:i w:val="0"/>
                <w:color w:val="000000"/>
                <w:sz w:val="20"/>
                <w:u w:val="none"/>
              </w:rPr>
              <w:tab/>
              <w:t>1,150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6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11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81"/>
              </w:tabs>
              <w:spacing w:before="65" w:after="20" w:line="240" w:lineRule="auto"/>
              <w:jc w:val="right"/>
            </w:pPr>
            <w:r>
              <w:rPr>
                <w:rFonts w:ascii="Times New Roman" w:eastAsia="Times New Roman" w:hAnsi="Times New Roman" w:cs="Times New Roman"/>
                <w:b w:val="0"/>
                <w:i w:val="0"/>
                <w:color w:val="000000"/>
                <w:sz w:val="20"/>
                <w:u w:val="none"/>
              </w:rPr>
              <w:tab/>
              <w:t>(11)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0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8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07"/>
                <w:tab w:val="left" w:pos="772"/>
              </w:tabs>
              <w:spacing w:before="65" w:after="2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Share-based compensation expense</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62"/>
                <w:tab w:val="left" w:pos="7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317"/>
                <w:tab w:val="left" w:pos="832"/>
              </w:tabs>
              <w:spacing w:before="65" w:after="20" w:line="240" w:lineRule="auto"/>
              <w:jc w:val="right"/>
            </w:pPr>
            <w:r>
              <w:rPr>
                <w:rFonts w:ascii="Times New Roman" w:eastAsia="Times New Roman" w:hAnsi="Times New Roman" w:cs="Times New Roman"/>
                <w:b w:val="0"/>
                <w:i w:val="0"/>
                <w:color w:val="000000"/>
                <w:sz w:val="20"/>
                <w:u w:val="none"/>
              </w:rPr>
              <w:tab/>
              <w:t>1,609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57"/>
                <w:tab w:val="left" w:pos="772"/>
              </w:tabs>
              <w:spacing w:before="65" w:after="20" w:line="240" w:lineRule="auto"/>
              <w:jc w:val="right"/>
            </w:pPr>
            <w:r>
              <w:rPr>
                <w:rFonts w:ascii="Times New Roman" w:eastAsia="Times New Roman" w:hAnsi="Times New Roman" w:cs="Times New Roman"/>
                <w:b w:val="0"/>
                <w:i w:val="0"/>
                <w:color w:val="000000"/>
                <w:sz w:val="20"/>
                <w:u w:val="none"/>
              </w:rPr>
              <w:tab/>
              <w:t>1,609</w:t>
              <w:tab/>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Restricted shares surrendered for tax withholdings under stock incentive plans</w:t>
            </w:r>
          </w:p>
        </w:tc>
        <w:tc>
          <w:tcPr>
            <w:tcW w:w="7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276"/>
              </w:tabs>
              <w:spacing w:before="65" w:after="20" w:line="240" w:lineRule="auto"/>
              <w:jc w:val="right"/>
            </w:pPr>
            <w:r>
              <w:rPr>
                <w:rFonts w:ascii="Times New Roman" w:eastAsia="Times New Roman" w:hAnsi="Times New Roman" w:cs="Times New Roman"/>
                <w:b w:val="0"/>
                <w:i w:val="0"/>
                <w:color w:val="000000"/>
                <w:sz w:val="20"/>
                <w:u w:val="none"/>
              </w:rPr>
              <w:tab/>
              <w:t>(227)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6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281"/>
              </w:tabs>
              <w:spacing w:before="65" w:after="20" w:line="240" w:lineRule="auto"/>
              <w:jc w:val="right"/>
            </w:pPr>
            <w:r>
              <w:rPr>
                <w:rFonts w:ascii="Times New Roman" w:eastAsia="Times New Roman" w:hAnsi="Times New Roman" w:cs="Times New Roman"/>
                <w:b w:val="0"/>
                <w:i w:val="0"/>
                <w:color w:val="000000"/>
                <w:sz w:val="20"/>
                <w:u w:val="none"/>
              </w:rPr>
              <w:tab/>
              <w:t>(2)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381"/>
              </w:tabs>
              <w:spacing w:before="65" w:after="20" w:line="240" w:lineRule="auto"/>
              <w:jc w:val="right"/>
            </w:pPr>
            <w:r>
              <w:rPr>
                <w:rFonts w:ascii="Times New Roman" w:eastAsia="Times New Roman" w:hAnsi="Times New Roman" w:cs="Times New Roman"/>
                <w:b w:val="0"/>
                <w:i w:val="0"/>
                <w:color w:val="000000"/>
                <w:sz w:val="20"/>
                <w:u w:val="none"/>
              </w:rPr>
              <w:tab/>
              <w:t>(449)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0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8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321"/>
              </w:tabs>
              <w:spacing w:before="65" w:after="20" w:line="240" w:lineRule="auto"/>
              <w:jc w:val="right"/>
            </w:pPr>
            <w:r>
              <w:rPr>
                <w:rFonts w:ascii="Times New Roman" w:eastAsia="Times New Roman" w:hAnsi="Times New Roman" w:cs="Times New Roman"/>
                <w:b w:val="0"/>
                <w:i w:val="0"/>
                <w:color w:val="000000"/>
                <w:sz w:val="20"/>
                <w:u w:val="none"/>
              </w:rPr>
              <w:tab/>
              <w:t>(451)</w:t>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Other comprehensive income</w:t>
            </w:r>
          </w:p>
        </w:tc>
        <w:tc>
          <w:tcPr>
            <w:tcW w:w="79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462"/>
                <w:tab w:val="left" w:pos="7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6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9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567"/>
                <w:tab w:val="left" w:pos="8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09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2,760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84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257"/>
                <w:tab w:val="left" w:pos="772"/>
              </w:tabs>
              <w:spacing w:before="65" w:after="20" w:line="240" w:lineRule="auto"/>
              <w:jc w:val="right"/>
            </w:pPr>
            <w:r>
              <w:rPr>
                <w:rFonts w:ascii="Times New Roman" w:eastAsia="Times New Roman" w:hAnsi="Times New Roman" w:cs="Times New Roman"/>
                <w:b w:val="0"/>
                <w:i w:val="0"/>
                <w:color w:val="000000"/>
                <w:sz w:val="20"/>
                <w:u w:val="none"/>
              </w:rPr>
              <w:tab/>
              <w:t>2,760</w:t>
              <w:tab/>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45" w:after="20" w:line="240" w:lineRule="auto"/>
              <w:jc w:val="left"/>
            </w:pPr>
            <w:r>
              <w:rPr>
                <w:rFonts w:ascii="Times New Roman" w:eastAsia="Times New Roman" w:hAnsi="Times New Roman" w:cs="Times New Roman"/>
                <w:b w:val="0"/>
                <w:i w:val="0"/>
                <w:color w:val="000000"/>
                <w:sz w:val="20"/>
                <w:u w:val="none"/>
              </w:rPr>
              <w:t>Balance as of June 30, 2026</w:t>
            </w:r>
          </w:p>
        </w:tc>
        <w:tc>
          <w:tcPr>
            <w:tcW w:w="7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12"/>
                <w:tab w:val="left" w:pos="727"/>
              </w:tabs>
              <w:spacing w:before="45" w:after="20" w:line="240" w:lineRule="auto"/>
              <w:jc w:val="right"/>
            </w:pPr>
            <w:r>
              <w:rPr>
                <w:rFonts w:ascii="Times New Roman" w:eastAsia="Times New Roman" w:hAnsi="Times New Roman" w:cs="Times New Roman"/>
                <w:b w:val="0"/>
                <w:i w:val="0"/>
                <w:color w:val="000000"/>
                <w:sz w:val="20"/>
                <w:u w:val="none"/>
              </w:rPr>
              <w:tab/>
              <w:t>52,574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rPr>
                <w:sz w:val="20"/>
              </w:rPr>
            </w:pPr>
          </w:p>
        </w:tc>
        <w:tc>
          <w:tcPr>
            <w:tcW w:w="6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67"/>
                <w:tab w:val="left" w:pos="532"/>
              </w:tabs>
              <w:spacing w:before="45" w:after="20" w:line="240" w:lineRule="auto"/>
              <w:jc w:val="right"/>
            </w:pPr>
            <w:r>
              <w:rPr>
                <w:rFonts w:ascii="Times New Roman" w:eastAsia="Times New Roman" w:hAnsi="Times New Roman" w:cs="Times New Roman"/>
                <w:b w:val="0"/>
                <w:i w:val="0"/>
                <w:color w:val="000000"/>
                <w:sz w:val="20"/>
                <w:u w:val="none"/>
              </w:rPr>
              <w:t>$</w:t>
              <w:tab/>
              <w:t>525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rPr>
                <w:sz w:val="20"/>
              </w:rPr>
            </w:pPr>
          </w:p>
        </w:tc>
        <w:tc>
          <w:tcPr>
            <w:tcW w:w="9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17"/>
                <w:tab w:val="left" w:pos="832"/>
              </w:tabs>
              <w:spacing w:before="45" w:after="20" w:line="240" w:lineRule="auto"/>
              <w:jc w:val="right"/>
            </w:pPr>
            <w:r>
              <w:rPr>
                <w:rFonts w:ascii="Times New Roman" w:eastAsia="Times New Roman" w:hAnsi="Times New Roman" w:cs="Times New Roman"/>
                <w:b w:val="0"/>
                <w:i w:val="0"/>
                <w:color w:val="000000"/>
                <w:sz w:val="20"/>
                <w:u w:val="none"/>
              </w:rPr>
              <w:t>$</w:t>
              <w:tab/>
              <w:t>433,225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rPr>
                <w:sz w:val="20"/>
              </w:rPr>
            </w:pPr>
          </w:p>
        </w:tc>
        <w:tc>
          <w:tcPr>
            <w:tcW w:w="10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226"/>
              </w:tabs>
              <w:spacing w:before="45" w:after="20" w:line="240" w:lineRule="auto"/>
              <w:jc w:val="right"/>
            </w:pPr>
            <w:r>
              <w:rPr>
                <w:rFonts w:ascii="Times New Roman" w:eastAsia="Times New Roman" w:hAnsi="Times New Roman" w:cs="Times New Roman"/>
                <w:b w:val="0"/>
                <w:i w:val="0"/>
                <w:color w:val="000000"/>
                <w:sz w:val="20"/>
                <w:u w:val="none"/>
              </w:rPr>
              <w:t>$</w:t>
              <w:tab/>
              <w:t>(376,720)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rPr>
                <w:sz w:val="20"/>
              </w:rPr>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431"/>
              </w:tabs>
              <w:spacing w:before="45" w:after="20" w:line="240" w:lineRule="auto"/>
              <w:jc w:val="right"/>
            </w:pPr>
            <w:r>
              <w:rPr>
                <w:rFonts w:ascii="Times New Roman" w:eastAsia="Times New Roman" w:hAnsi="Times New Roman" w:cs="Times New Roman"/>
                <w:b w:val="0"/>
                <w:i w:val="0"/>
                <w:color w:val="000000"/>
                <w:sz w:val="20"/>
                <w:u w:val="none"/>
              </w:rPr>
              <w:t>$</w:t>
              <w:tab/>
              <w:t>(35,819)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rPr>
                <w:sz w:val="20"/>
              </w:rPr>
            </w:pPr>
          </w:p>
        </w:tc>
        <w:tc>
          <w:tcPr>
            <w:tcW w:w="84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57"/>
                <w:tab w:val="left" w:pos="772"/>
              </w:tabs>
              <w:spacing w:before="45" w:after="20" w:line="240" w:lineRule="auto"/>
              <w:jc w:val="right"/>
            </w:pPr>
            <w:r>
              <w:rPr>
                <w:rFonts w:ascii="Times New Roman" w:eastAsia="Times New Roman" w:hAnsi="Times New Roman" w:cs="Times New Roman"/>
                <w:b w:val="0"/>
                <w:i w:val="0"/>
                <w:color w:val="000000"/>
                <w:sz w:val="20"/>
                <w:u w:val="none"/>
              </w:rPr>
              <w:t>$</w:t>
              <w:tab/>
              <w:t>21,211</w:t>
              <w:tab/>
            </w:r>
          </w:p>
        </w:tc>
      </w:tr>
    </w:tbl>
    <w:p>
      <w:pPr>
        <w:keepNext w:val="0"/>
        <w:keepLines w:val="0"/>
        <w:pageBreakBefore w:val="0"/>
        <w:widowControl/>
        <w:numPr>
          <w:ilvl w:val="0"/>
          <w:numId w:val="0"/>
        </w:numPr>
        <w:spacing w:before="120" w:after="240" w:line="288" w:lineRule="auto"/>
        <w:ind w:left="0" w:right="0" w:firstLine="0"/>
        <w:jc w:val="left"/>
        <w:outlineLvl w:val="9"/>
        <w:rPr>
          <w:rFonts w:ascii="Times New Roman" w:eastAsia="Times New Roman" w:hAnsi="Times New Roman" w:cs="Times New Roman"/>
          <w:b w:val="0"/>
          <w:i w:val="0"/>
          <w:sz w:val="20"/>
        </w:rPr>
      </w:pPr>
    </w:p>
    <w:tbl>
      <w:tblPr>
        <w:tblStyle w:val="TableNormal0"/>
        <w:tblW w:w="10260" w:type="dxa"/>
        <w:jc w:val="left"/>
        <w:tblInd w:w="0" w:type="dxa"/>
        <w:tblLayout w:type="fixed"/>
      </w:tblPr>
      <w:tblGrid>
        <w:gridCol w:w="4455"/>
        <w:gridCol w:w="795"/>
        <w:gridCol w:w="75"/>
        <w:gridCol w:w="600"/>
        <w:gridCol w:w="75"/>
        <w:gridCol w:w="900"/>
        <w:gridCol w:w="75"/>
        <w:gridCol w:w="1095"/>
        <w:gridCol w:w="75"/>
        <w:gridCol w:w="1200"/>
        <w:gridCol w:w="75"/>
        <w:gridCol w:w="840"/>
      </w:tblGrid>
      <w:tr>
        <w:tblPrEx>
          <w:tblW w:w="10260" w:type="dxa"/>
          <w:tblInd w:w="0" w:type="dxa"/>
          <w:tblLayout w:type="fixed"/>
        </w:tblPrEx>
        <w:trPr>
          <w:trHeight w:hRule="auto" w:val="0"/>
        </w:trPr>
        <w:tc>
          <w:tcPr>
            <w:tcW w:w="445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70"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Common Stock</w:t>
            </w:r>
          </w:p>
        </w:tc>
        <w:tc>
          <w:tcPr>
            <w:tcW w:w="75" w:type="dxa"/>
            <w:vMerge w:val="restart"/>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00" w:type="dxa"/>
            <w:vMerge w:val="restart"/>
            <w:tcBorders>
              <w:top w:val="nil"/>
              <w:left w:val="nil"/>
              <w:bottom w:val="nil"/>
              <w:right w:val="nil"/>
            </w:tcBorders>
            <w:tcMar>
              <w:top w:w="0" w:type="dxa"/>
              <w:left w:w="53" w:type="dxa"/>
              <w:bottom w:w="0" w:type="dxa"/>
              <w:right w:w="53" w:type="dxa"/>
            </w:tcMar>
            <w:vAlign w:val="bottom"/>
          </w:tcPr>
          <w:p>
            <w:pPr>
              <w:keepNext/>
              <w:pageBreakBefore w:val="0"/>
              <w:spacing w:before="65" w:line="240" w:lineRule="auto"/>
              <w:jc w:val="center"/>
            </w:pPr>
            <w:r>
              <w:rPr>
                <w:rFonts w:ascii="Times New Roman" w:eastAsia="Times New Roman" w:hAnsi="Times New Roman" w:cs="Times New Roman"/>
                <w:b/>
                <w:i w:val="0"/>
                <w:color w:val="000000"/>
                <w:sz w:val="16"/>
                <w:u w:val="none"/>
              </w:rPr>
              <w:t>Additional</w:t>
            </w:r>
          </w:p>
          <w:p>
            <w:pPr>
              <w:spacing w:line="240" w:lineRule="auto"/>
              <w:jc w:val="center"/>
            </w:pPr>
            <w:r>
              <w:rPr>
                <w:rFonts w:ascii="Times New Roman" w:eastAsia="Times New Roman" w:hAnsi="Times New Roman" w:cs="Times New Roman"/>
                <w:b/>
                <w:i w:val="0"/>
                <w:color w:val="000000"/>
                <w:sz w:val="16"/>
                <w:u w:val="none"/>
              </w:rPr>
              <w:t>paid-in</w:t>
            </w:r>
          </w:p>
          <w:p>
            <w:pPr>
              <w:spacing w:after="20" w:line="240" w:lineRule="auto"/>
              <w:jc w:val="center"/>
            </w:pPr>
            <w:r>
              <w:rPr>
                <w:rFonts w:ascii="Times New Roman" w:eastAsia="Times New Roman" w:hAnsi="Times New Roman" w:cs="Times New Roman"/>
                <w:b/>
                <w:i w:val="0"/>
                <w:color w:val="000000"/>
                <w:sz w:val="16"/>
                <w:u w:val="none"/>
              </w:rPr>
              <w:t>capital</w:t>
            </w:r>
          </w:p>
        </w:tc>
        <w:tc>
          <w:tcPr>
            <w:tcW w:w="75" w:type="dxa"/>
            <w:vMerge w:val="restart"/>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095" w:type="dxa"/>
            <w:vMerge w:val="restart"/>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Accumulated deficit</w:t>
            </w:r>
          </w:p>
        </w:tc>
        <w:tc>
          <w:tcPr>
            <w:tcW w:w="75" w:type="dxa"/>
            <w:vMerge w:val="restart"/>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vMerge w:val="restart"/>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Accumulated other comprehensive loss</w:t>
            </w:r>
          </w:p>
        </w:tc>
        <w:tc>
          <w:tcPr>
            <w:tcW w:w="75" w:type="dxa"/>
            <w:vMerge w:val="restart"/>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840" w:type="dxa"/>
            <w:vMerge w:val="restart"/>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Total</w:t>
            </w:r>
          </w:p>
        </w:tc>
      </w:tr>
      <w:tr>
        <w:tblPrEx>
          <w:tblW w:w="10260" w:type="dxa"/>
          <w:tblInd w:w="0" w:type="dxa"/>
          <w:tblLayout w:type="fixed"/>
        </w:tblPrEx>
        <w:trPr>
          <w:trHeight w:hRule="auto" w:val="0"/>
        </w:trPr>
        <w:tc>
          <w:tcPr>
            <w:tcW w:w="4455" w:type="dxa"/>
            <w:tcBorders>
              <w:top w:val="nil"/>
              <w:left w:val="nil"/>
              <w:bottom w:val="nil"/>
              <w:right w:val="nil"/>
            </w:tcBorders>
            <w:tcMar>
              <w:top w:w="0" w:type="dxa"/>
              <w:left w:w="53" w:type="dxa"/>
              <w:bottom w:w="0" w:type="dxa"/>
              <w:right w:w="53" w:type="dxa"/>
            </w:tcMar>
            <w:vAlign w:val="bottom"/>
          </w:tcPr>
          <w:p>
            <w:pPr>
              <w:keepNext/>
              <w:pageBreakBefore w:val="0"/>
              <w:spacing w:before="45" w:after="20" w:line="240" w:lineRule="auto"/>
              <w:jc w:val="left"/>
            </w:pPr>
            <w:r>
              <w:rPr>
                <w:rFonts w:ascii="Times New Roman" w:eastAsia="Times New Roman" w:hAnsi="Times New Roman" w:cs="Times New Roman"/>
                <w:b/>
                <w:i w:val="0"/>
                <w:color w:val="000000"/>
                <w:sz w:val="16"/>
                <w:u w:val="none"/>
              </w:rPr>
              <w:t>(in thousands)</w:t>
            </w:r>
          </w:p>
        </w:tc>
        <w:tc>
          <w:tcPr>
            <w:tcW w:w="7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Number of shares</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6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45" w:line="240" w:lineRule="auto"/>
              <w:jc w:val="center"/>
            </w:pPr>
            <w:r>
              <w:rPr>
                <w:rFonts w:ascii="Times New Roman" w:eastAsia="Times New Roman" w:hAnsi="Times New Roman" w:cs="Times New Roman"/>
                <w:b/>
                <w:i w:val="0"/>
                <w:color w:val="000000"/>
                <w:sz w:val="16"/>
                <w:u w:val="none"/>
              </w:rPr>
              <w:t>Par</w:t>
            </w:r>
          </w:p>
          <w:p>
            <w:pPr>
              <w:spacing w:after="20" w:line="240" w:lineRule="auto"/>
              <w:jc w:val="center"/>
            </w:pPr>
            <w:r>
              <w:rPr>
                <w:rFonts w:ascii="Times New Roman" w:eastAsia="Times New Roman" w:hAnsi="Times New Roman" w:cs="Times New Roman"/>
                <w:b/>
                <w:i w:val="0"/>
                <w:color w:val="000000"/>
                <w:sz w:val="16"/>
                <w:u w:val="none"/>
              </w:rPr>
              <w:t>value</w:t>
            </w:r>
          </w:p>
        </w:tc>
        <w:tc>
          <w:tcPr>
            <w:tcW w:w="75" w:type="dxa"/>
            <w:vMerge/>
            <w:tcBorders>
              <w:top w:val="nil"/>
              <w:left w:val="nil"/>
              <w:bottom w:val="nil"/>
              <w:right w:val="nil"/>
            </w:tcBorders>
          </w:tcPr>
          <w:p>
            <w:pPr>
              <w:keepNext/>
              <w:pageBreakBefore w:val="0"/>
            </w:pPr>
          </w:p>
        </w:tc>
        <w:tc>
          <w:tcPr>
            <w:tcW w:w="900" w:type="dxa"/>
            <w:vMerge/>
            <w:tcBorders>
              <w:top w:val="nil"/>
              <w:left w:val="nil"/>
              <w:bottom w:val="single" w:sz="8" w:space="0" w:color="000000"/>
              <w:right w:val="nil"/>
            </w:tcBorders>
          </w:tcPr>
          <w:p>
            <w:pPr>
              <w:keepNext/>
              <w:pageBreakBefore w:val="0"/>
            </w:pPr>
          </w:p>
        </w:tc>
        <w:tc>
          <w:tcPr>
            <w:tcW w:w="75" w:type="dxa"/>
            <w:vMerge/>
            <w:tcBorders>
              <w:top w:val="nil"/>
              <w:left w:val="nil"/>
              <w:bottom w:val="nil"/>
              <w:right w:val="nil"/>
            </w:tcBorders>
          </w:tcPr>
          <w:p>
            <w:pPr>
              <w:keepNext/>
              <w:pageBreakBefore w:val="0"/>
            </w:pPr>
          </w:p>
        </w:tc>
        <w:tc>
          <w:tcPr>
            <w:tcW w:w="1095" w:type="dxa"/>
            <w:vMerge/>
            <w:tcBorders>
              <w:top w:val="nil"/>
              <w:left w:val="nil"/>
              <w:bottom w:val="single" w:sz="8" w:space="0" w:color="000000"/>
              <w:right w:val="nil"/>
            </w:tcBorders>
          </w:tcPr>
          <w:p>
            <w:pPr>
              <w:keepNext/>
              <w:pageBreakBefore w:val="0"/>
            </w:pPr>
          </w:p>
        </w:tc>
        <w:tc>
          <w:tcPr>
            <w:tcW w:w="75" w:type="dxa"/>
            <w:vMerge/>
            <w:tcBorders>
              <w:top w:val="nil"/>
              <w:left w:val="nil"/>
              <w:bottom w:val="nil"/>
              <w:right w:val="nil"/>
            </w:tcBorders>
          </w:tcPr>
          <w:p>
            <w:pPr>
              <w:keepNext/>
              <w:pageBreakBefore w:val="0"/>
            </w:pPr>
          </w:p>
        </w:tc>
        <w:tc>
          <w:tcPr>
            <w:tcW w:w="1200" w:type="dxa"/>
            <w:vMerge/>
            <w:tcBorders>
              <w:top w:val="nil"/>
              <w:left w:val="nil"/>
              <w:bottom w:val="single" w:sz="8" w:space="0" w:color="000000"/>
              <w:right w:val="nil"/>
            </w:tcBorders>
          </w:tcPr>
          <w:p>
            <w:pPr>
              <w:keepNext/>
              <w:pageBreakBefore w:val="0"/>
            </w:pPr>
          </w:p>
        </w:tc>
        <w:tc>
          <w:tcPr>
            <w:tcW w:w="75" w:type="dxa"/>
            <w:vMerge/>
            <w:tcBorders>
              <w:top w:val="nil"/>
              <w:left w:val="nil"/>
              <w:bottom w:val="nil"/>
              <w:right w:val="nil"/>
            </w:tcBorders>
          </w:tcPr>
          <w:p>
            <w:pPr>
              <w:keepNext/>
              <w:pageBreakBefore w:val="0"/>
            </w:pPr>
          </w:p>
        </w:tc>
        <w:tc>
          <w:tcPr>
            <w:tcW w:w="840" w:type="dxa"/>
            <w:vMerge/>
            <w:tcBorders>
              <w:top w:val="nil"/>
              <w:left w:val="nil"/>
              <w:bottom w:val="single" w:sz="8" w:space="0" w:color="000000"/>
              <w:right w:val="nil"/>
            </w:tcBorders>
          </w:tcPr>
          <w:p>
            <w:pPr>
              <w:keepNext/>
              <w:pageBreakBefore w:val="0"/>
            </w:pP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45" w:after="20" w:line="240" w:lineRule="auto"/>
              <w:jc w:val="left"/>
            </w:pPr>
            <w:r>
              <w:rPr>
                <w:rFonts w:ascii="Times New Roman" w:eastAsia="Times New Roman" w:hAnsi="Times New Roman" w:cs="Times New Roman"/>
                <w:b w:val="0"/>
                <w:i w:val="0"/>
                <w:color w:val="000000"/>
                <w:sz w:val="20"/>
                <w:u w:val="none"/>
              </w:rPr>
              <w:t>Balance as of December 31, 2024</w:t>
            </w:r>
          </w:p>
        </w:tc>
        <w:tc>
          <w:tcPr>
            <w:tcW w:w="7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2"/>
                <w:tab w:val="left" w:pos="727"/>
              </w:tabs>
              <w:spacing w:before="45" w:after="20" w:line="240" w:lineRule="auto"/>
              <w:jc w:val="right"/>
            </w:pPr>
            <w:r>
              <w:rPr>
                <w:rFonts w:ascii="Times New Roman" w:eastAsia="Times New Roman" w:hAnsi="Times New Roman" w:cs="Times New Roman"/>
                <w:b w:val="0"/>
                <w:i w:val="0"/>
                <w:color w:val="000000"/>
                <w:sz w:val="20"/>
                <w:u w:val="none"/>
              </w:rPr>
              <w:tab/>
              <w:t>49,908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67"/>
                <w:tab w:val="left" w:pos="532"/>
              </w:tabs>
              <w:spacing w:before="45" w:after="20" w:line="240" w:lineRule="auto"/>
              <w:jc w:val="right"/>
            </w:pPr>
            <w:r>
              <w:rPr>
                <w:rFonts w:ascii="Times New Roman" w:eastAsia="Times New Roman" w:hAnsi="Times New Roman" w:cs="Times New Roman"/>
                <w:b w:val="0"/>
                <w:i w:val="0"/>
                <w:color w:val="000000"/>
                <w:sz w:val="20"/>
                <w:u w:val="none"/>
              </w:rPr>
              <w:t>$</w:t>
              <w:tab/>
              <w:t>499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9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17"/>
                <w:tab w:val="left" w:pos="832"/>
              </w:tabs>
              <w:spacing w:before="45" w:after="20" w:line="240" w:lineRule="auto"/>
              <w:jc w:val="right"/>
            </w:pPr>
            <w:r>
              <w:rPr>
                <w:rFonts w:ascii="Times New Roman" w:eastAsia="Times New Roman" w:hAnsi="Times New Roman" w:cs="Times New Roman"/>
                <w:b w:val="0"/>
                <w:i w:val="0"/>
                <w:color w:val="000000"/>
                <w:sz w:val="20"/>
                <w:u w:val="none"/>
              </w:rPr>
              <w:t>$</w:t>
              <w:tab/>
              <w:t>455,811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226"/>
              </w:tabs>
              <w:spacing w:before="45" w:after="20" w:line="240" w:lineRule="auto"/>
              <w:jc w:val="right"/>
            </w:pPr>
            <w:r>
              <w:rPr>
                <w:rFonts w:ascii="Times New Roman" w:eastAsia="Times New Roman" w:hAnsi="Times New Roman" w:cs="Times New Roman"/>
                <w:b w:val="0"/>
                <w:i w:val="0"/>
                <w:color w:val="000000"/>
                <w:sz w:val="20"/>
                <w:u w:val="none"/>
              </w:rPr>
              <w:t>$</w:t>
              <w:tab/>
              <w:t>(333,621)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31"/>
              </w:tabs>
              <w:spacing w:before="45" w:after="20" w:line="240" w:lineRule="auto"/>
              <w:jc w:val="right"/>
            </w:pPr>
            <w:r>
              <w:rPr>
                <w:rFonts w:ascii="Times New Roman" w:eastAsia="Times New Roman" w:hAnsi="Times New Roman" w:cs="Times New Roman"/>
                <w:b w:val="0"/>
                <w:i w:val="0"/>
                <w:color w:val="000000"/>
                <w:sz w:val="20"/>
                <w:u w:val="none"/>
              </w:rPr>
              <w:t>$</w:t>
              <w:tab/>
              <w:t>(48,167)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84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57"/>
                <w:tab w:val="left" w:pos="772"/>
              </w:tabs>
              <w:spacing w:before="45" w:after="20" w:line="240" w:lineRule="auto"/>
              <w:jc w:val="right"/>
            </w:pPr>
            <w:r>
              <w:rPr>
                <w:rFonts w:ascii="Times New Roman" w:eastAsia="Times New Roman" w:hAnsi="Times New Roman" w:cs="Times New Roman"/>
                <w:b w:val="0"/>
                <w:i w:val="0"/>
                <w:color w:val="000000"/>
                <w:sz w:val="20"/>
                <w:u w:val="none"/>
              </w:rPr>
              <w:t>$</w:t>
              <w:tab/>
              <w:t>74,522</w:t>
              <w:tab/>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Net loss</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62"/>
                <w:tab w:val="left" w:pos="7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67"/>
                <w:tab w:val="left" w:pos="8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326"/>
              </w:tabs>
              <w:spacing w:before="65" w:after="20" w:line="240" w:lineRule="auto"/>
              <w:jc w:val="right"/>
            </w:pPr>
            <w:r>
              <w:rPr>
                <w:rFonts w:ascii="Times New Roman" w:eastAsia="Times New Roman" w:hAnsi="Times New Roman" w:cs="Times New Roman"/>
                <w:b w:val="0"/>
                <w:i w:val="0"/>
                <w:color w:val="000000"/>
                <w:sz w:val="20"/>
                <w:u w:val="none"/>
              </w:rPr>
              <w:tab/>
              <w:t>(14,787)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1"/>
              </w:tabs>
              <w:spacing w:before="65" w:after="20" w:line="240" w:lineRule="auto"/>
              <w:jc w:val="right"/>
            </w:pPr>
            <w:r>
              <w:rPr>
                <w:rFonts w:ascii="Times New Roman" w:eastAsia="Times New Roman" w:hAnsi="Times New Roman" w:cs="Times New Roman"/>
                <w:b w:val="0"/>
                <w:i w:val="0"/>
                <w:color w:val="000000"/>
                <w:sz w:val="20"/>
                <w:u w:val="none"/>
              </w:rPr>
              <w:tab/>
              <w:t>(14,787)</w:t>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Dividends accrued for preferred stock</w:t>
            </w:r>
          </w:p>
        </w:tc>
        <w:tc>
          <w:tcPr>
            <w:tcW w:w="7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62"/>
                <w:tab w:val="left" w:pos="7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231"/>
              </w:tabs>
              <w:spacing w:before="65" w:after="20" w:line="240" w:lineRule="auto"/>
              <w:jc w:val="right"/>
            </w:pPr>
            <w:r>
              <w:rPr>
                <w:rFonts w:ascii="Times New Roman" w:eastAsia="Times New Roman" w:hAnsi="Times New Roman" w:cs="Times New Roman"/>
                <w:b w:val="0"/>
                <w:i w:val="0"/>
                <w:color w:val="000000"/>
                <w:sz w:val="20"/>
                <w:u w:val="none"/>
              </w:rPr>
              <w:tab/>
              <w:t>(9,021)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8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71"/>
              </w:tabs>
              <w:spacing w:before="65" w:after="20" w:line="240" w:lineRule="auto"/>
              <w:jc w:val="right"/>
            </w:pPr>
            <w:r>
              <w:rPr>
                <w:rFonts w:ascii="Times New Roman" w:eastAsia="Times New Roman" w:hAnsi="Times New Roman" w:cs="Times New Roman"/>
                <w:b w:val="0"/>
                <w:i w:val="0"/>
                <w:color w:val="000000"/>
                <w:sz w:val="20"/>
                <w:u w:val="none"/>
              </w:rPr>
              <w:tab/>
              <w:t>(9,021)</w:t>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Shares issued under stock incentive plans, net of forfeitures and tax withholdings</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362"/>
                <w:tab w:val="left" w:pos="727"/>
              </w:tabs>
              <w:spacing w:before="65" w:after="20" w:line="240" w:lineRule="auto"/>
              <w:jc w:val="right"/>
            </w:pPr>
            <w:r>
              <w:rPr>
                <w:rFonts w:ascii="Times New Roman" w:eastAsia="Times New Roman" w:hAnsi="Times New Roman" w:cs="Times New Roman"/>
                <w:b w:val="0"/>
                <w:i w:val="0"/>
                <w:color w:val="000000"/>
                <w:sz w:val="20"/>
                <w:u w:val="none"/>
              </w:rPr>
              <w:tab/>
              <w:t>573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367"/>
                <w:tab w:val="left" w:pos="532"/>
              </w:tabs>
              <w:spacing w:before="65" w:after="20" w:line="240" w:lineRule="auto"/>
              <w:jc w:val="right"/>
            </w:pPr>
            <w:r>
              <w:rPr>
                <w:rFonts w:ascii="Times New Roman" w:eastAsia="Times New Roman" w:hAnsi="Times New Roman" w:cs="Times New Roman"/>
                <w:b w:val="0"/>
                <w:i w:val="0"/>
                <w:color w:val="000000"/>
                <w:sz w:val="20"/>
                <w:u w:val="none"/>
              </w:rPr>
              <w:tab/>
              <w:t>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81"/>
              </w:tabs>
              <w:spacing w:before="65" w:after="20" w:line="240" w:lineRule="auto"/>
              <w:jc w:val="right"/>
            </w:pPr>
            <w:r>
              <w:rPr>
                <w:rFonts w:ascii="Times New Roman" w:eastAsia="Times New Roman" w:hAnsi="Times New Roman" w:cs="Times New Roman"/>
                <w:b w:val="0"/>
                <w:i w:val="0"/>
                <w:color w:val="000000"/>
                <w:sz w:val="20"/>
                <w:u w:val="none"/>
              </w:rPr>
              <w:tab/>
              <w:t>(7)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1"/>
              </w:tabs>
              <w:spacing w:before="65" w:after="20" w:line="240" w:lineRule="auto"/>
              <w:jc w:val="right"/>
            </w:pPr>
            <w:r>
              <w:rPr>
                <w:rFonts w:ascii="Times New Roman" w:eastAsia="Times New Roman" w:hAnsi="Times New Roman" w:cs="Times New Roman"/>
                <w:b w:val="0"/>
                <w:i w:val="0"/>
                <w:color w:val="000000"/>
                <w:sz w:val="20"/>
                <w:u w:val="none"/>
              </w:rPr>
              <w:tab/>
              <w:t>(1)</w:t>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Share-based compensation expense</w:t>
            </w:r>
          </w:p>
        </w:tc>
        <w:tc>
          <w:tcPr>
            <w:tcW w:w="7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62"/>
                <w:tab w:val="left" w:pos="7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9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317"/>
                <w:tab w:val="left" w:pos="832"/>
              </w:tabs>
              <w:spacing w:before="65" w:after="20" w:line="240" w:lineRule="auto"/>
              <w:jc w:val="right"/>
            </w:pPr>
            <w:r>
              <w:rPr>
                <w:rFonts w:ascii="Times New Roman" w:eastAsia="Times New Roman" w:hAnsi="Times New Roman" w:cs="Times New Roman"/>
                <w:b w:val="0"/>
                <w:i w:val="0"/>
                <w:color w:val="000000"/>
                <w:sz w:val="20"/>
                <w:u w:val="none"/>
              </w:rPr>
              <w:tab/>
              <w:t>1,640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84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257"/>
                <w:tab w:val="left" w:pos="772"/>
              </w:tabs>
              <w:spacing w:before="65" w:after="20" w:line="240" w:lineRule="auto"/>
              <w:jc w:val="right"/>
            </w:pPr>
            <w:r>
              <w:rPr>
                <w:rFonts w:ascii="Times New Roman" w:eastAsia="Times New Roman" w:hAnsi="Times New Roman" w:cs="Times New Roman"/>
                <w:b w:val="0"/>
                <w:i w:val="0"/>
                <w:color w:val="000000"/>
                <w:sz w:val="20"/>
                <w:u w:val="none"/>
              </w:rPr>
              <w:tab/>
              <w:t>1,640</w:t>
              <w:tab/>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Restricted shares surrendered for tax withholdings under stock incentive plans</w:t>
            </w:r>
          </w:p>
        </w:tc>
        <w:tc>
          <w:tcPr>
            <w:tcW w:w="7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76"/>
              </w:tabs>
              <w:spacing w:before="65" w:after="20" w:line="240" w:lineRule="auto"/>
              <w:jc w:val="right"/>
            </w:pPr>
            <w:r>
              <w:rPr>
                <w:rFonts w:ascii="Times New Roman" w:eastAsia="Times New Roman" w:hAnsi="Times New Roman" w:cs="Times New Roman"/>
                <w:b w:val="0"/>
                <w:i w:val="0"/>
                <w:color w:val="000000"/>
                <w:sz w:val="20"/>
                <w:u w:val="none"/>
              </w:rPr>
              <w:tab/>
              <w:t>(194)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6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281"/>
              </w:tabs>
              <w:spacing w:before="65" w:after="20" w:line="240" w:lineRule="auto"/>
              <w:jc w:val="right"/>
            </w:pPr>
            <w:r>
              <w:rPr>
                <w:rFonts w:ascii="Times New Roman" w:eastAsia="Times New Roman" w:hAnsi="Times New Roman" w:cs="Times New Roman"/>
                <w:b w:val="0"/>
                <w:i w:val="0"/>
                <w:color w:val="000000"/>
                <w:sz w:val="20"/>
                <w:u w:val="none"/>
              </w:rPr>
              <w:tab/>
              <w:t>(2)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9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381"/>
              </w:tabs>
              <w:spacing w:before="65" w:after="20" w:line="240" w:lineRule="auto"/>
              <w:jc w:val="right"/>
            </w:pPr>
            <w:r>
              <w:rPr>
                <w:rFonts w:ascii="Times New Roman" w:eastAsia="Times New Roman" w:hAnsi="Times New Roman" w:cs="Times New Roman"/>
                <w:b w:val="0"/>
                <w:i w:val="0"/>
                <w:color w:val="000000"/>
                <w:sz w:val="20"/>
                <w:u w:val="none"/>
              </w:rPr>
              <w:tab/>
              <w:t>(390)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0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20"/>
              </w:rPr>
            </w:pPr>
          </w:p>
        </w:tc>
        <w:tc>
          <w:tcPr>
            <w:tcW w:w="84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321"/>
              </w:tabs>
              <w:spacing w:before="65" w:after="20" w:line="240" w:lineRule="auto"/>
              <w:jc w:val="right"/>
            </w:pPr>
            <w:r>
              <w:rPr>
                <w:rFonts w:ascii="Times New Roman" w:eastAsia="Times New Roman" w:hAnsi="Times New Roman" w:cs="Times New Roman"/>
                <w:b w:val="0"/>
                <w:i w:val="0"/>
                <w:color w:val="000000"/>
                <w:sz w:val="20"/>
                <w:u w:val="none"/>
              </w:rPr>
              <w:tab/>
              <w:t>(392)</w:t>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Other comprehensive income</w:t>
            </w:r>
          </w:p>
        </w:tc>
        <w:tc>
          <w:tcPr>
            <w:tcW w:w="79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462"/>
                <w:tab w:val="left" w:pos="7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6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267"/>
                <w:tab w:val="left" w:pos="5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rPr>
                <w:sz w:val="20"/>
              </w:rPr>
            </w:pPr>
          </w:p>
        </w:tc>
        <w:tc>
          <w:tcPr>
            <w:tcW w:w="9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67"/>
                <w:tab w:val="left" w:pos="8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9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62"/>
                <w:tab w:val="left" w:pos="1027"/>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7,579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84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257"/>
                <w:tab w:val="left" w:pos="772"/>
              </w:tabs>
              <w:spacing w:before="65" w:after="20" w:line="240" w:lineRule="auto"/>
              <w:jc w:val="right"/>
            </w:pPr>
            <w:r>
              <w:rPr>
                <w:rFonts w:ascii="Times New Roman" w:eastAsia="Times New Roman" w:hAnsi="Times New Roman" w:cs="Times New Roman"/>
                <w:b w:val="0"/>
                <w:i w:val="0"/>
                <w:color w:val="000000"/>
                <w:sz w:val="20"/>
                <w:u w:val="none"/>
              </w:rPr>
              <w:tab/>
              <w:t>7,579</w:t>
              <w:tab/>
            </w:r>
          </w:p>
        </w:tc>
      </w:tr>
      <w:tr>
        <w:tblPrEx>
          <w:tblW w:w="10260" w:type="dxa"/>
          <w:tblInd w:w="0" w:type="dxa"/>
          <w:tblLayout w:type="fixed"/>
        </w:tblPrEx>
        <w:trPr>
          <w:trHeight w:hRule="auto" w:val="0"/>
        </w:trPr>
        <w:tc>
          <w:tcPr>
            <w:tcW w:w="445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45" w:after="20" w:line="240" w:lineRule="auto"/>
              <w:jc w:val="left"/>
            </w:pPr>
            <w:r>
              <w:rPr>
                <w:rFonts w:ascii="Times New Roman" w:eastAsia="Times New Roman" w:hAnsi="Times New Roman" w:cs="Times New Roman"/>
                <w:b w:val="0"/>
                <w:i w:val="0"/>
                <w:color w:val="000000"/>
                <w:sz w:val="20"/>
                <w:u w:val="none"/>
              </w:rPr>
              <w:t>Balance as of June 30, 2025</w:t>
            </w:r>
          </w:p>
        </w:tc>
        <w:tc>
          <w:tcPr>
            <w:tcW w:w="79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12"/>
                <w:tab w:val="left" w:pos="727"/>
              </w:tabs>
              <w:spacing w:before="45" w:after="20" w:line="240" w:lineRule="auto"/>
              <w:jc w:val="right"/>
            </w:pPr>
            <w:r>
              <w:rPr>
                <w:rFonts w:ascii="Times New Roman" w:eastAsia="Times New Roman" w:hAnsi="Times New Roman" w:cs="Times New Roman"/>
                <w:b w:val="0"/>
                <w:i w:val="0"/>
                <w:color w:val="000000"/>
                <w:sz w:val="20"/>
                <w:u w:val="none"/>
              </w:rPr>
              <w:tab/>
              <w:t>50,287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6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67"/>
                <w:tab w:val="left" w:pos="532"/>
              </w:tabs>
              <w:spacing w:before="45" w:after="20" w:line="240" w:lineRule="auto"/>
              <w:jc w:val="right"/>
            </w:pPr>
            <w:r>
              <w:rPr>
                <w:rFonts w:ascii="Times New Roman" w:eastAsia="Times New Roman" w:hAnsi="Times New Roman" w:cs="Times New Roman"/>
                <w:b w:val="0"/>
                <w:i w:val="0"/>
                <w:color w:val="000000"/>
                <w:sz w:val="20"/>
                <w:u w:val="none"/>
              </w:rPr>
              <w:t>$</w:t>
              <w:tab/>
              <w:t>503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sz w:val="20"/>
              </w:rPr>
            </w:pPr>
          </w:p>
        </w:tc>
        <w:tc>
          <w:tcPr>
            <w:tcW w:w="9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17"/>
                <w:tab w:val="left" w:pos="832"/>
              </w:tabs>
              <w:spacing w:before="45" w:after="20" w:line="240" w:lineRule="auto"/>
              <w:jc w:val="right"/>
            </w:pPr>
            <w:r>
              <w:rPr>
                <w:rFonts w:ascii="Times New Roman" w:eastAsia="Times New Roman" w:hAnsi="Times New Roman" w:cs="Times New Roman"/>
                <w:b w:val="0"/>
                <w:i w:val="0"/>
                <w:color w:val="000000"/>
                <w:sz w:val="20"/>
                <w:u w:val="none"/>
              </w:rPr>
              <w:t>$</w:t>
              <w:tab/>
              <w:t>448,033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sz w:val="20"/>
              </w:rPr>
            </w:pPr>
          </w:p>
        </w:tc>
        <w:tc>
          <w:tcPr>
            <w:tcW w:w="109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226"/>
              </w:tabs>
              <w:spacing w:before="45" w:after="20" w:line="240" w:lineRule="auto"/>
              <w:jc w:val="right"/>
            </w:pPr>
            <w:r>
              <w:rPr>
                <w:rFonts w:ascii="Times New Roman" w:eastAsia="Times New Roman" w:hAnsi="Times New Roman" w:cs="Times New Roman"/>
                <w:b w:val="0"/>
                <w:i w:val="0"/>
                <w:color w:val="000000"/>
                <w:sz w:val="20"/>
                <w:u w:val="none"/>
              </w:rPr>
              <w:t>$</w:t>
              <w:tab/>
              <w:t>(348,408)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sz w:val="20"/>
              </w:rPr>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431"/>
              </w:tabs>
              <w:spacing w:before="45" w:after="20" w:line="240" w:lineRule="auto"/>
              <w:jc w:val="right"/>
            </w:pPr>
            <w:r>
              <w:rPr>
                <w:rFonts w:ascii="Times New Roman" w:eastAsia="Times New Roman" w:hAnsi="Times New Roman" w:cs="Times New Roman"/>
                <w:b w:val="0"/>
                <w:i w:val="0"/>
                <w:color w:val="000000"/>
                <w:sz w:val="20"/>
                <w:u w:val="none"/>
              </w:rPr>
              <w:t>$</w:t>
              <w:tab/>
              <w:t>(40,588)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sz w:val="20"/>
              </w:rPr>
            </w:pPr>
          </w:p>
        </w:tc>
        <w:tc>
          <w:tcPr>
            <w:tcW w:w="84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57"/>
                <w:tab w:val="left" w:pos="772"/>
              </w:tabs>
              <w:spacing w:before="45" w:after="20" w:line="240" w:lineRule="auto"/>
              <w:jc w:val="right"/>
            </w:pPr>
            <w:r>
              <w:rPr>
                <w:rFonts w:ascii="Times New Roman" w:eastAsia="Times New Roman" w:hAnsi="Times New Roman" w:cs="Times New Roman"/>
                <w:b w:val="0"/>
                <w:i w:val="0"/>
                <w:color w:val="000000"/>
                <w:sz w:val="20"/>
                <w:u w:val="none"/>
              </w:rPr>
              <w:t>$</w:t>
              <w:tab/>
              <w:t>59,540</w:t>
              <w:tab/>
            </w:r>
          </w:p>
        </w:tc>
      </w:tr>
    </w:tbl>
    <w:p>
      <w:pPr>
        <w:keepNext w:val="0"/>
        <w:keepLines w:val="0"/>
        <w:pageBreakBefore w:val="0"/>
        <w:widowControl/>
        <w:numPr>
          <w:ilvl w:val="0"/>
          <w:numId w:val="0"/>
        </w:numPr>
        <w:spacing w:before="140" w:after="0" w:line="288" w:lineRule="auto"/>
        <w:ind w:left="0" w:right="0" w:firstLine="0"/>
        <w:jc w:val="center"/>
        <w:outlineLvl w:val="9"/>
        <w:rPr>
          <w:rFonts w:ascii="Times New Roman" w:eastAsia="Times New Roman" w:hAnsi="Times New Roman" w:cs="Times New Roman"/>
          <w:b/>
          <w:i w:val="0"/>
          <w:sz w:val="20"/>
        </w:rPr>
      </w:pPr>
      <w:r>
        <w:rPr>
          <w:rFonts w:ascii="Times New Roman" w:eastAsia="Times New Roman" w:hAnsi="Times New Roman" w:cs="Times New Roman"/>
          <w:b/>
          <w:i w:val="0"/>
          <w:sz w:val="20"/>
        </w:rPr>
        <w:t>See notes to condensed consolidated financial statements (unaudited).</w:t>
      </w:r>
    </w:p>
    <w:p>
      <w:pPr>
        <w:keepNext w:val="0"/>
        <w:keepLines w:val="0"/>
        <w:pageBreakBefore w:val="0"/>
        <w:widowControl/>
        <w:numPr>
          <w:ilvl w:val="0"/>
          <w:numId w:val="0"/>
        </w:numPr>
        <w:spacing w:before="140" w:after="0" w:line="288" w:lineRule="auto"/>
        <w:ind w:left="0" w:right="0" w:firstLine="0"/>
        <w:jc w:val="center"/>
        <w:outlineLvl w:val="9"/>
        <w:rPr>
          <w:rFonts w:ascii="Times New Roman" w:eastAsia="Times New Roman" w:hAnsi="Times New Roman" w:cs="Times New Roman"/>
          <w:b/>
          <w:i w:val="0"/>
          <w:sz w:val="20"/>
        </w:rPr>
      </w:pPr>
    </w:p>
    <w:p>
      <w:pPr>
        <w:keepNext w:val="0"/>
        <w:keepLines w:val="0"/>
        <w:pageBreakBefore w:val="0"/>
        <w:widowControl/>
        <w:numPr>
          <w:ilvl w:val="0"/>
          <w:numId w:val="0"/>
        </w:numPr>
        <w:spacing w:before="140" w:after="0" w:line="288" w:lineRule="auto"/>
        <w:ind w:left="0" w:right="0" w:firstLine="0"/>
        <w:jc w:val="center"/>
        <w:outlineLvl w:val="9"/>
        <w:rPr>
          <w:rFonts w:ascii="Times New Roman" w:eastAsia="Times New Roman" w:hAnsi="Times New Roman" w:cs="Times New Roman"/>
          <w:b/>
          <w:i w:val="0"/>
          <w:sz w:val="20"/>
        </w:rPr>
        <w:sectPr>
          <w:pgSz w:w="12240" w:h="15840"/>
          <w:pgMar w:top="810" w:right="990" w:bottom="810" w:left="990" w:header="270" w:footer="270"/>
          <w:cols w:space="708"/>
        </w:sectPr>
      </w:pPr>
    </w:p>
    <w:p>
      <w:pPr>
        <w:pStyle w:val="PARTheading"/>
        <w:keepNext/>
        <w:keepLines w:val="0"/>
        <w:pageBreakBefore w:val="0"/>
        <w:widowControl/>
        <w:numPr>
          <w:ilvl w:val="0"/>
          <w:numId w:val="0"/>
        </w:numPr>
        <w:spacing w:before="0" w:after="60" w:line="288" w:lineRule="auto"/>
        <w:ind w:left="0" w:right="0" w:firstLine="0"/>
        <w:jc w:val="center"/>
        <w:outlineLvl w:val="2"/>
        <w:rPr>
          <w:rFonts w:ascii="Times New Roman" w:eastAsia="Times New Roman" w:hAnsi="Times New Roman" w:cs="Times New Roman"/>
          <w:b/>
          <w:i w:val="0"/>
          <w:color w:val="000000"/>
          <w:sz w:val="20"/>
          <w:u w:val="none"/>
        </w:rPr>
      </w:pPr>
      <w:bookmarkStart w:id="8" w:name="Section10"/>
      <w:bookmarkEnd w:id="8"/>
      <w:r>
        <w:rPr>
          <w:rFonts w:ascii="Times New Roman" w:eastAsia="Times New Roman" w:hAnsi="Times New Roman" w:cs="Times New Roman"/>
          <w:b/>
          <w:i w:val="0"/>
          <w:color w:val="000000"/>
          <w:sz w:val="20"/>
          <w:u w:val="none"/>
        </w:rPr>
        <w:t>NN, Inc.</w:t>
      </w:r>
    </w:p>
    <w:p>
      <w:pPr>
        <w:pStyle w:val="PARTheading"/>
        <w:keepNext/>
        <w:keepLines w:val="0"/>
        <w:pageBreakBefore w:val="0"/>
        <w:widowControl/>
        <w:numPr>
          <w:ilvl w:val="0"/>
          <w:numId w:val="0"/>
        </w:numPr>
        <w:spacing w:before="0" w:after="6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 xml:space="preserve">Notes to Condensed Consolidated Financial Statements </w:t>
      </w:r>
    </w:p>
    <w:p>
      <w:pPr>
        <w:pStyle w:val="PARTheading"/>
        <w:keepNext/>
        <w:keepLines w:val="0"/>
        <w:pageBreakBefore w:val="0"/>
        <w:widowControl/>
        <w:numPr>
          <w:ilvl w:val="0"/>
          <w:numId w:val="0"/>
        </w:numPr>
        <w:spacing w:before="0" w:after="6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June 30, 2026</w:t>
      </w:r>
    </w:p>
    <w:p>
      <w:pPr>
        <w:pStyle w:val="PARTheading"/>
        <w:keepNext/>
        <w:keepLines w:val="0"/>
        <w:pageBreakBefore w:val="0"/>
        <w:widowControl/>
        <w:numPr>
          <w:ilvl w:val="0"/>
          <w:numId w:val="0"/>
        </w:numPr>
        <w:spacing w:before="0" w:after="60" w:line="288" w:lineRule="auto"/>
        <w:ind w:left="0" w:right="0" w:firstLine="0"/>
        <w:jc w:val="center"/>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(Unaudited)</w:t>
      </w:r>
    </w:p>
    <w:p>
      <w:pPr>
        <w:pStyle w:val="PARTheading"/>
        <w:keepNext/>
        <w:keepLines w:val="0"/>
        <w:pageBreakBefore w:val="0"/>
        <w:widowControl/>
        <w:numPr>
          <w:ilvl w:val="0"/>
          <w:numId w:val="0"/>
        </w:numPr>
        <w:spacing w:before="0" w:after="60" w:line="288" w:lineRule="auto"/>
        <w:ind w:left="0" w:right="0" w:firstLine="0"/>
        <w:jc w:val="center"/>
        <w:outlineLvl w:val="9"/>
        <w:sectPr>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0" w:right="0" w:firstLine="0"/>
        <w:jc w:val="left"/>
        <w:outlineLvl w:val="3"/>
        <w:rPr>
          <w:rFonts w:ascii="Times New Roman" w:eastAsia="Times New Roman" w:hAnsi="Times New Roman" w:cs="Times New Roman"/>
          <w:b/>
          <w:i w:val="0"/>
          <w:color w:val="000000"/>
          <w:sz w:val="20"/>
          <w:u w:val="none"/>
        </w:rPr>
      </w:pPr>
      <w:bookmarkStart w:id="9" w:name="Section11"/>
      <w:bookmarkEnd w:id="9"/>
      <w:r>
        <w:rPr>
          <w:rFonts w:ascii="Times New Roman" w:eastAsia="Times New Roman" w:hAnsi="Times New Roman" w:cs="Times New Roman"/>
          <w:b/>
          <w:i w:val="0"/>
          <w:color w:val="000000"/>
          <w:sz w:val="20"/>
          <w:u w:val="none"/>
        </w:rPr>
        <w:t xml:space="preserve">Note 1. </w:t>
      </w:r>
      <w:r>
        <w:rPr>
          <w:rFonts w:ascii="Times New Roman" w:eastAsia="Times New Roman" w:hAnsi="Times New Roman" w:cs="Times New Roman"/>
          <w:b/>
          <w:i w:val="0"/>
          <w:color w:val="000000"/>
          <w:sz w:val="20"/>
          <w:u w:val="none"/>
        </w:rPr>
        <w:t xml:space="preserve">Interim Financial Statements </w:t>
      </w:r>
    </w:p>
    <w:p>
      <w:pPr>
        <w:pStyle w:val="Subheading"/>
        <w:keepNext/>
        <w:keepLines w:val="0"/>
        <w:pageBreakBefore w:val="0"/>
        <w:widowControl/>
        <w:numPr>
          <w:ilvl w:val="0"/>
          <w:numId w:val="0"/>
        </w:numPr>
        <w:spacing w:before="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Nature of Business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val="0"/>
          <w:color w:val="000000"/>
          <w:sz w:val="20"/>
          <w:u w:val="none"/>
        </w:rPr>
        <w:t xml:space="preserve">NN, Inc., a Delaware corporation, is a diversified industrial company that combines advanced engineering and production capabilities with in-depth materials science expertise to design and manufacture high-precision components and assemblies for a variety of end markets on a global basis.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we had </w:t>
      </w:r>
      <w:r>
        <w:rPr>
          <w:rFonts w:ascii="Times New Roman" w:eastAsia="Times New Roman" w:hAnsi="Times New Roman" w:cs="Times New Roman"/>
          <w:b w:val="0"/>
          <w:i w:val="0"/>
          <w:color w:val="000000"/>
          <w:sz w:val="20"/>
          <w:u w:val="none"/>
        </w:rPr>
        <w:t>27</w:t>
      </w:r>
      <w:r>
        <w:rPr>
          <w:rFonts w:ascii="Times New Roman" w:eastAsia="Times New Roman" w:hAnsi="Times New Roman" w:cs="Times New Roman"/>
          <w:b w:val="0"/>
          <w:i w:val="0"/>
          <w:color w:val="000000"/>
          <w:sz w:val="20"/>
          <w:u w:val="none"/>
        </w:rPr>
        <w:t xml:space="preserve"> facilities in North America, South America, Europe and China.  As used in this Quarterly Report on Form 10-Q (this “Quarterly Report”), the terms “NN,” the “Company,” “we,” “our,” or “us” refer to NN, Inc. and its subsidiaries.  </w:t>
      </w:r>
    </w:p>
    <w:p>
      <w:pPr>
        <w:pStyle w:val="Subheading"/>
        <w:keepNext/>
        <w:keepLines w:val="0"/>
        <w:pageBreakBefore w:val="0"/>
        <w:widowControl/>
        <w:numPr>
          <w:ilvl w:val="0"/>
          <w:numId w:val="0"/>
        </w:numPr>
        <w:spacing w:before="18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Basis of Presentation</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val="0"/>
          <w:color w:val="000000"/>
          <w:sz w:val="20"/>
          <w:u w:val="none"/>
        </w:rPr>
        <w:t xml:space="preserve">The accompanying condensed consolidated financial statements have not been audited.  The Condensed Consolidated Balance Sheet as of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color w:val="000000"/>
          <w:sz w:val="20"/>
          <w:u w:val="none"/>
        </w:rPr>
        <w:t xml:space="preserve">, was derived from the audited consolidated financial statements included in our Annual Report on Form 10-K for the year ended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color w:val="000000"/>
          <w:sz w:val="20"/>
          <w:u w:val="none"/>
        </w:rPr>
        <w:t xml:space="preserve"> (the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xml:space="preserve"> Annual Report”), which we filed with the U.S. Securities and Exchange Commission (the “SEC”) on March </w:t>
      </w:r>
      <w:r>
        <w:rPr>
          <w:rFonts w:ascii="Times New Roman" w:eastAsia="Times New Roman" w:hAnsi="Times New Roman" w:cs="Times New Roman"/>
          <w:b w:val="0"/>
          <w:i w:val="0"/>
          <w:color w:val="000000"/>
          <w:sz w:val="20"/>
          <w:u w:val="none"/>
        </w:rPr>
        <w:t>4</w:t>
      </w:r>
      <w:r>
        <w:rPr>
          <w:rFonts w:ascii="Times New Roman" w:eastAsia="Times New Roman" w:hAnsi="Times New Roman" w:cs="Times New Roman"/>
          <w:b w:val="0"/>
          <w:i w:val="0"/>
          <w:color w:val="000000"/>
          <w:sz w:val="20"/>
          <w:u w:val="none"/>
        </w:rPr>
        <w:t>, 202</w:t>
      </w:r>
      <w:r>
        <w:rPr>
          <w:rFonts w:ascii="Times New Roman" w:eastAsia="Times New Roman" w:hAnsi="Times New Roman" w:cs="Times New Roman"/>
          <w:b w:val="0"/>
          <w:i w:val="0"/>
          <w:color w:val="000000"/>
          <w:sz w:val="20"/>
          <w:u w:val="none"/>
        </w:rPr>
        <w:t>6</w:t>
      </w:r>
      <w:r>
        <w:rPr>
          <w:rFonts w:ascii="Times New Roman" w:eastAsia="Times New Roman" w:hAnsi="Times New Roman" w:cs="Times New Roman"/>
          <w:b w:val="0"/>
          <w:i w:val="0"/>
          <w:color w:val="000000"/>
          <w:sz w:val="20"/>
          <w:u w:val="none"/>
        </w:rPr>
        <w:t xml:space="preserve">.  In management’s opinion, the accompanying unaudited condensed consolidated financial statements reflect all adjustments necessary to fairly state our results of operations for the </w:t>
      </w:r>
      <w:r>
        <w:rPr>
          <w:rFonts w:ascii="Times New Roman" w:eastAsia="Times New Roman" w:hAnsi="Times New Roman" w:cs="Times New Roman"/>
          <w:b w:val="0"/>
          <w:i w:val="0"/>
          <w:color w:val="000000"/>
          <w:sz w:val="20"/>
          <w:u w:val="none"/>
        </w:rPr>
        <w:t>three and 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xml:space="preserve">; financial position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color w:val="000000"/>
          <w:sz w:val="20"/>
          <w:u w:val="none"/>
        </w:rPr>
        <w:t xml:space="preserve">; and cash flows for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on a basis consistent with our audited consolidated financial statements.  These adjustments are of a normal recurring nature and are, in the opinion of management, necessary to state fairly our financial position and operating results for the interim periods.  Certain prior period amounts have been reclassified to conform to the current year’s presentation.</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val="0"/>
          <w:color w:val="000000"/>
          <w:sz w:val="20"/>
          <w:u w:val="none"/>
        </w:rPr>
        <w:t xml:space="preserve">Certain information and footnote disclosures normally included in the consolidated financial statements prepared in accordance with accounting principles generally accepted in the United States (“U.S. GAAP”) have been condensed or omitted from the unaudited condensed consolidated financial statements presented in this Quarterly Report.  These unaudited condensed consolidated financial statements should be read in conjunction with our audited consolidated financial statements and accompanying notes included in the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xml:space="preserve"> Annual Report.  The results for the </w:t>
      </w:r>
      <w:r>
        <w:rPr>
          <w:rFonts w:ascii="Times New Roman" w:eastAsia="Times New Roman" w:hAnsi="Times New Roman" w:cs="Times New Roman"/>
          <w:b w:val="0"/>
          <w:i w:val="0"/>
          <w:color w:val="000000"/>
          <w:sz w:val="20"/>
          <w:u w:val="none"/>
        </w:rPr>
        <w:t>three and 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are not necessarily indicative of results for the year ending December 31, </w:t>
      </w:r>
      <w:r>
        <w:rPr>
          <w:rFonts w:ascii="Times New Roman" w:eastAsia="Times New Roman" w:hAnsi="Times New Roman" w:cs="Times New Roman"/>
          <w:b w:val="0"/>
          <w:i w:val="0"/>
          <w:color w:val="000000"/>
          <w:sz w:val="20"/>
          <w:u w:val="none"/>
        </w:rPr>
        <w:t>2026</w:t>
      </w:r>
      <w:r>
        <w:rPr>
          <w:rFonts w:ascii="Times New Roman" w:eastAsia="Times New Roman" w:hAnsi="Times New Roman" w:cs="Times New Roman"/>
          <w:b w:val="0"/>
          <w:i w:val="0"/>
          <w:color w:val="000000"/>
          <w:sz w:val="20"/>
          <w:u w:val="none"/>
        </w:rPr>
        <w:t>, or any other future periods.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Except for per share data or as otherwise indicated, all U.S. dollar amounts and share counts presented in the tables in these Notes to </w:t>
      </w:r>
      <w:r>
        <w:rPr>
          <w:rFonts w:ascii="Times New Roman" w:eastAsia="Times New Roman" w:hAnsi="Times New Roman" w:cs="Times New Roman"/>
          <w:b w:val="0"/>
          <w:i w:val="0"/>
          <w:color w:val="000000"/>
          <w:sz w:val="20"/>
          <w:u w:val="none"/>
        </w:rPr>
        <w:t>Condensed Consolidated</w:t>
      </w:r>
      <w:r>
        <w:rPr>
          <w:rFonts w:ascii="Times New Roman" w:eastAsia="Times New Roman" w:hAnsi="Times New Roman" w:cs="Times New Roman"/>
          <w:b w:val="0"/>
          <w:i w:val="0"/>
          <w:color w:val="000000"/>
          <w:sz w:val="20"/>
          <w:u w:val="none"/>
        </w:rPr>
        <w:t xml:space="preserve"> Financial Statements are in thousands.</w:t>
      </w:r>
    </w:p>
    <w:p>
      <w:pPr>
        <w:pStyle w:val="Subheading"/>
        <w:keepNext/>
        <w:keepLines w:val="0"/>
        <w:pageBreakBefore w:val="0"/>
        <w:widowControl/>
        <w:numPr>
          <w:ilvl w:val="0"/>
          <w:numId w:val="0"/>
        </w:numPr>
        <w:spacing w:before="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Accounting</w:t>
      </w:r>
      <w:r>
        <w:rPr>
          <w:rFonts w:ascii="Times New Roman" w:eastAsia="Times New Roman" w:hAnsi="Times New Roman" w:cs="Times New Roman"/>
          <w:b w:val="0"/>
          <w:i/>
          <w:color w:val="000000"/>
          <w:sz w:val="20"/>
          <w:u w:val="none"/>
        </w:rPr>
        <w:t xml:space="preserve"> Standards Recently Adopted</w:t>
      </w:r>
    </w:p>
    <w:p>
      <w:pPr>
        <w:keepNext/>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In December 2023, the </w:t>
      </w:r>
      <w:r>
        <w:rPr>
          <w:rFonts w:ascii="Times New Roman" w:eastAsia="Times New Roman" w:hAnsi="Times New Roman" w:cs="Times New Roman"/>
          <w:b w:val="0"/>
          <w:i w:val="0"/>
          <w:color w:val="000000"/>
          <w:sz w:val="20"/>
          <w:u w:val="none"/>
        </w:rPr>
        <w:t xml:space="preserve">Financial Accounting Standards Board </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FASB</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 xml:space="preserve"> issued</w:t>
      </w:r>
      <w:r>
        <w:rPr>
          <w:rFonts w:ascii="Times New Roman" w:eastAsia="Times New Roman" w:hAnsi="Times New Roman" w:cs="Times New Roman"/>
          <w:b w:val="0"/>
          <w:i w:val="0"/>
          <w:color w:val="000000"/>
          <w:sz w:val="20"/>
          <w:u w:val="none"/>
        </w:rPr>
        <w:t xml:space="preserve"> Accounting Standards Update</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ASU</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 ASU</w:t>
      </w:r>
      <w:r>
        <w:rPr>
          <w:rFonts w:ascii="Times New Roman" w:eastAsia="Times New Roman" w:hAnsi="Times New Roman" w:cs="Times New Roman"/>
          <w:b w:val="0"/>
          <w:i w:val="0"/>
          <w:color w:val="000000"/>
          <w:sz w:val="20"/>
          <w:u w:val="none"/>
        </w:rPr>
        <w:t xml:space="preserve"> 2023-09, “</w:t>
      </w:r>
      <w:r>
        <w:rPr>
          <w:rFonts w:ascii="Times New Roman" w:eastAsia="Times New Roman" w:hAnsi="Times New Roman" w:cs="Times New Roman"/>
          <w:b w:val="0"/>
          <w:i/>
          <w:color w:val="000000"/>
          <w:sz w:val="20"/>
          <w:u w:val="none"/>
        </w:rPr>
        <w:t>Income Taxes (Topic 740): Improvements to Income Tax Disclosures</w:t>
      </w:r>
      <w:r>
        <w:rPr>
          <w:rFonts w:ascii="Times New Roman" w:eastAsia="Times New Roman" w:hAnsi="Times New Roman" w:cs="Times New Roman"/>
          <w:b w:val="0"/>
          <w:i w:val="0"/>
          <w:color w:val="000000"/>
          <w:sz w:val="20"/>
          <w:u w:val="none"/>
        </w:rPr>
        <w:t>” (“ASU 2023-09”), which requires additional annual income tax disclosures.</w:t>
      </w:r>
      <w:r>
        <w:rPr>
          <w:rFonts w:ascii="Times New Roman" w:eastAsia="Times New Roman" w:hAnsi="Times New Roman" w:cs="Times New Roman"/>
          <w:b w:val="0"/>
          <w:i w:val="0"/>
          <w:color w:val="000000"/>
          <w:sz w:val="24"/>
          <w:u w:val="none"/>
        </w:rPr>
        <w:t xml:space="preserve">  </w:t>
      </w:r>
      <w:r>
        <w:rPr>
          <w:rFonts w:ascii="Times New Roman" w:eastAsia="Times New Roman" w:hAnsi="Times New Roman" w:cs="Times New Roman"/>
          <w:b w:val="0"/>
          <w:i w:val="0"/>
          <w:color w:val="000000"/>
          <w:sz w:val="20"/>
          <w:u w:val="none"/>
        </w:rPr>
        <w:t>These include a tabular rate reconciliation comprised of eight specific categories, the disaggregation of income taxes paid between federal, state, and foreign jurisdictions, and to disaggregate income from continuing operations before income tax expense and income tax expense from continuing operations between domestic and foreign.</w:t>
      </w:r>
      <w:r>
        <w:rPr>
          <w:rFonts w:ascii="Times New Roman" w:eastAsia="Times New Roman" w:hAnsi="Times New Roman" w:cs="Times New Roman"/>
          <w:b w:val="0"/>
          <w:i w:val="0"/>
          <w:color w:val="000000"/>
          <w:sz w:val="24"/>
          <w:u w:val="none"/>
        </w:rPr>
        <w:t xml:space="preserve">  </w:t>
      </w:r>
      <w:r>
        <w:rPr>
          <w:rFonts w:ascii="Times New Roman" w:eastAsia="Times New Roman" w:hAnsi="Times New Roman" w:cs="Times New Roman"/>
          <w:b w:val="0"/>
          <w:i w:val="0"/>
          <w:color w:val="000000"/>
          <w:sz w:val="20"/>
          <w:u w:val="none"/>
        </w:rPr>
        <w:t>ASU 2023-09 eliminates the disclosure of the nature and estimate of reasonably possible changes to unrecognized tax benefits in the next 12 months or that an estimated range cannot be made. We adopted ASU 2023-09 for the year ended December 31, 2025</w:t>
      </w:r>
      <w:r>
        <w:rPr>
          <w:rFonts w:ascii="Times New Roman" w:eastAsia="Times New Roman" w:hAnsi="Times New Roman" w:cs="Times New Roman"/>
          <w:b w:val="0"/>
          <w:i w:val="0"/>
          <w:color w:val="000000"/>
          <w:sz w:val="20"/>
          <w:u w:val="none"/>
        </w:rPr>
        <w:t>.</w:t>
      </w:r>
    </w:p>
    <w:p>
      <w:pPr>
        <w:keepNext/>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u w:val="none"/>
        </w:rPr>
      </w:pPr>
    </w:p>
    <w:p>
      <w:pPr>
        <w:keepNext/>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In July 2025, the FASB issued ASU 2025-05, </w:t>
      </w:r>
      <w:r>
        <w:rPr>
          <w:rFonts w:ascii="Times New Roman" w:eastAsia="Times New Roman" w:hAnsi="Times New Roman" w:cs="Times New Roman"/>
          <w:b w:val="0"/>
          <w:i/>
          <w:color w:val="000000"/>
          <w:sz w:val="20"/>
          <w:u w:val="none"/>
        </w:rPr>
        <w:t xml:space="preserve">“Financial Instruments - Credit Losses (Topic 326): Measurement of Credit Losses for Accounts Receivable and Contract Assets” </w:t>
      </w:r>
      <w:r>
        <w:rPr>
          <w:rFonts w:ascii="Times New Roman" w:eastAsia="Times New Roman" w:hAnsi="Times New Roman" w:cs="Times New Roman"/>
          <w:b w:val="0"/>
          <w:i w:val="0"/>
          <w:color w:val="000000"/>
          <w:sz w:val="20"/>
          <w:u w:val="none"/>
        </w:rPr>
        <w:t xml:space="preserve">(“ASU 2025-05”), which simplifies how entities measure expected credit losses on current accounts receivable and current contract assets arising from transactions accounted for under ASC 606. This update provides a practical expedient that allows entities to assume that current conditions as of the balance sheet date will remain unchanged for the remaining life of the asset when estimating credit losses. ASU 2025-05 became effective for fiscal years beginning on or after December 15, 2025. We have adopted the practical expedient effective for the current fiscal year noting that it does not have a material impact on the Company’s financial statements.  </w:t>
      </w:r>
    </w:p>
    <w:p>
      <w:pPr>
        <w:pStyle w:val="Subheading"/>
        <w:keepNext/>
        <w:keepLines w:val="0"/>
        <w:pageBreakBefore w:val="0"/>
        <w:widowControl/>
        <w:numPr>
          <w:ilvl w:val="0"/>
          <w:numId w:val="0"/>
        </w:numPr>
        <w:spacing w:before="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 xml:space="preserve">Accounting </w:t>
      </w:r>
      <w:r>
        <w:rPr>
          <w:rFonts w:ascii="Times New Roman" w:eastAsia="Times New Roman" w:hAnsi="Times New Roman" w:cs="Times New Roman"/>
          <w:b w:val="0"/>
          <w:i/>
          <w:color w:val="000000"/>
          <w:sz w:val="20"/>
          <w:u w:val="none"/>
        </w:rPr>
        <w:t>Standards</w:t>
      </w:r>
      <w:r>
        <w:rPr>
          <w:rFonts w:ascii="Times New Roman" w:eastAsia="Times New Roman" w:hAnsi="Times New Roman" w:cs="Times New Roman"/>
          <w:b w:val="0"/>
          <w:i/>
          <w:color w:val="000000"/>
          <w:sz w:val="20"/>
          <w:u w:val="none"/>
        </w:rPr>
        <w:t xml:space="preserve"> Not Yet Adopted</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In November 2024, the FASB issued ASU 2024-03, “</w:t>
      </w:r>
      <w:r>
        <w:rPr>
          <w:rFonts w:ascii="Times New Roman" w:eastAsia="Times New Roman" w:hAnsi="Times New Roman" w:cs="Times New Roman"/>
          <w:b w:val="0"/>
          <w:i/>
          <w:color w:val="000000"/>
          <w:sz w:val="20"/>
          <w:u w:val="none"/>
        </w:rPr>
        <w:t>Expense Disaggregation Disclosures (Subtopic 220-40): Disaggregation of Income Statement Expenses</w:t>
      </w:r>
      <w:r>
        <w:rPr>
          <w:rFonts w:ascii="Times New Roman" w:eastAsia="Times New Roman" w:hAnsi="Times New Roman" w:cs="Times New Roman"/>
          <w:b w:val="0"/>
          <w:i w:val="0"/>
          <w:color w:val="000000"/>
          <w:sz w:val="20"/>
          <w:u w:val="none"/>
        </w:rPr>
        <w:t>” (“ASU 2024-03”), which requires disaggregated disclosures of certain categories of expenses that are included in income statement line items.  ASU 2024-03 is effective for fiscal years beginning on or after December 15, 2026, and interim periods within fiscal years beginning after December 15, 2027.  Companies may early adopt and can apply the guidance prospectively or retrospectively.  We have not yet determined the potential impact of adopting this standard.</w:t>
      </w:r>
    </w:p>
    <w:p>
      <w:pPr>
        <w:pStyle w:val="Subheading"/>
        <w:keepNext/>
        <w:keepLines w:val="0"/>
        <w:pageBreakBefore w:val="0"/>
        <w:widowControl/>
        <w:numPr>
          <w:ilvl w:val="0"/>
          <w:numId w:val="0"/>
        </w:numPr>
        <w:spacing w:before="18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Assets Held for Sale</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During the </w:t>
      </w:r>
      <w:r>
        <w:rPr>
          <w:rFonts w:ascii="Times New Roman" w:eastAsia="Times New Roman" w:hAnsi="Times New Roman" w:cs="Times New Roman"/>
          <w:b w:val="0"/>
          <w:i w:val="0"/>
          <w:color w:val="000000"/>
          <w:sz w:val="20"/>
          <w:u w:val="none"/>
        </w:rPr>
        <w:t>year</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December</w:t>
      </w:r>
      <w:r>
        <w:rPr>
          <w:rFonts w:ascii="Times New Roman" w:eastAsia="Times New Roman" w:hAnsi="Times New Roman" w:cs="Times New Roman"/>
          <w:b w:val="0"/>
          <w:i w:val="0"/>
          <w:color w:val="000000"/>
          <w:sz w:val="20"/>
          <w:u w:val="none"/>
        </w:rPr>
        <w:t xml:space="preserve"> 31, 2025, we ceased production activity at our Mobile Solutions plant in Dowagiac, Michigan.</w:t>
      </w:r>
      <w:r>
        <w:rPr>
          <w:rFonts w:ascii="Times New Roman" w:eastAsia="Times New Roman" w:hAnsi="Times New Roman" w:cs="Times New Roman"/>
          <w:b w:val="0"/>
          <w:i w:val="0"/>
          <w:color w:val="000000"/>
          <w:sz w:val="20"/>
          <w:u w:val="none"/>
        </w:rPr>
        <w:t xml:space="preserve">  The assets</w:t>
      </w:r>
      <w:r>
        <w:rPr>
          <w:rFonts w:ascii="Times New Roman" w:eastAsia="Times New Roman" w:hAnsi="Times New Roman" w:cs="Times New Roman"/>
          <w:b w:val="0"/>
          <w:i w:val="0"/>
          <w:color w:val="000000"/>
          <w:sz w:val="20"/>
          <w:u w:val="none"/>
        </w:rPr>
        <w:t xml:space="preserve"> that</w:t>
      </w:r>
      <w:r>
        <w:rPr>
          <w:rFonts w:ascii="Times New Roman" w:eastAsia="Times New Roman" w:hAnsi="Times New Roman" w:cs="Times New Roman"/>
          <w:b w:val="0"/>
          <w:i w:val="0"/>
          <w:color w:val="000000"/>
          <w:sz w:val="20"/>
          <w:u w:val="none"/>
        </w:rPr>
        <w:t xml:space="preserve"> we ow</w:t>
      </w:r>
      <w:r>
        <w:rPr>
          <w:rFonts w:ascii="Times New Roman" w:eastAsia="Times New Roman" w:hAnsi="Times New Roman" w:cs="Times New Roman"/>
          <w:b w:val="0"/>
          <w:i w:val="0"/>
          <w:color w:val="000000"/>
          <w:sz w:val="20"/>
          <w:u w:val="none"/>
        </w:rPr>
        <w:t xml:space="preserve">n </w:t>
      </w:r>
      <w:r>
        <w:rPr>
          <w:rFonts w:ascii="Times New Roman" w:eastAsia="Times New Roman" w:hAnsi="Times New Roman" w:cs="Times New Roman"/>
          <w:b w:val="0"/>
          <w:i w:val="0"/>
          <w:color w:val="000000"/>
          <w:sz w:val="20"/>
          <w:u w:val="none"/>
        </w:rPr>
        <w:t xml:space="preserve">have been classified as held for sale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as we are actively marketing the property and equipment for sale.</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The</w:t>
      </w:r>
      <w:r>
        <w:rPr>
          <w:rFonts w:ascii="Times New Roman" w:eastAsia="Times New Roman" w:hAnsi="Times New Roman" w:cs="Times New Roman"/>
          <w:b w:val="0"/>
          <w:i w:val="0"/>
          <w:color w:val="000000"/>
          <w:sz w:val="20"/>
          <w:u w:val="none"/>
        </w:rPr>
        <w:t xml:space="preserve"> net book value of remaining assets held for sale of $</w:t>
      </w:r>
      <w:r>
        <w:rPr>
          <w:rFonts w:ascii="Times New Roman" w:eastAsia="Times New Roman" w:hAnsi="Times New Roman" w:cs="Times New Roman"/>
          <w:b w:val="0"/>
          <w:i w:val="0"/>
          <w:color w:val="000000"/>
          <w:sz w:val="20"/>
          <w:u w:val="none"/>
        </w:rPr>
        <w:t>1.0 million</w:t>
      </w:r>
      <w:r>
        <w:rPr>
          <w:rFonts w:ascii="Times New Roman" w:eastAsia="Times New Roman" w:hAnsi="Times New Roman" w:cs="Times New Roman"/>
          <w:b w:val="0"/>
          <w:i w:val="0"/>
          <w:color w:val="000000"/>
          <w:sz w:val="20"/>
          <w:u w:val="none"/>
        </w:rPr>
        <w:t xml:space="preserve"> is included in “Other current assets” on the </w:t>
      </w:r>
      <w:r>
        <w:rPr>
          <w:rFonts w:ascii="Times New Roman" w:eastAsia="Times New Roman" w:hAnsi="Times New Roman" w:cs="Times New Roman"/>
          <w:b w:val="0"/>
          <w:i w:val="0"/>
          <w:color w:val="000000"/>
          <w:sz w:val="20"/>
          <w:u w:val="none"/>
        </w:rPr>
        <w:t>Condensed Consolidated</w:t>
      </w:r>
      <w:r>
        <w:rPr>
          <w:rFonts w:ascii="Times New Roman" w:eastAsia="Times New Roman" w:hAnsi="Times New Roman" w:cs="Times New Roman"/>
          <w:b w:val="0"/>
          <w:i w:val="0"/>
          <w:color w:val="000000"/>
          <w:sz w:val="20"/>
          <w:u w:val="none"/>
        </w:rPr>
        <w:t xml:space="preserve"> Balance Sheets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w:t>
      </w:r>
    </w:p>
    <w:p>
      <w:pPr>
        <w:keepNext w:val="0"/>
        <w:keepLines w:val="0"/>
        <w:pageBreakBefore w:val="0"/>
        <w:widowControl/>
        <w:numPr>
          <w:ilvl w:val="0"/>
          <w:numId w:val="0"/>
        </w:numPr>
        <w:spacing w:before="0" w:after="120" w:line="288" w:lineRule="auto"/>
        <w:ind w:left="0" w:right="0" w:firstLine="0"/>
        <w:jc w:val="left"/>
        <w:outlineLvl w:val="9"/>
        <w:sectPr>
          <w:type w:val="continuous"/>
          <w:pgSz w:w="12240" w:h="15840"/>
          <w:pgMar w:top="810" w:right="990" w:bottom="810" w:left="990" w:header="270" w:footer="270"/>
          <w:cols w:space="708"/>
        </w:sectPr>
      </w:pPr>
    </w:p>
    <w:p>
      <w:pPr>
        <w:pStyle w:val="ItemandNotesheading"/>
        <w:keepNext w:val="0"/>
        <w:keepLines w:val="0"/>
        <w:pageBreakBefore w:val="0"/>
        <w:widowControl/>
        <w:numPr>
          <w:ilvl w:val="0"/>
          <w:numId w:val="0"/>
        </w:numPr>
        <w:spacing w:before="240" w:after="60" w:line="288" w:lineRule="auto"/>
        <w:ind w:left="0" w:right="0" w:firstLine="0"/>
        <w:jc w:val="left"/>
        <w:outlineLvl w:val="3"/>
        <w:rPr>
          <w:rFonts w:ascii="Times New Roman" w:eastAsia="Times New Roman" w:hAnsi="Times New Roman" w:cs="Times New Roman"/>
          <w:b/>
          <w:i w:val="0"/>
          <w:color w:val="000000"/>
          <w:sz w:val="20"/>
          <w:u w:val="none"/>
        </w:rPr>
      </w:pPr>
      <w:bookmarkStart w:id="10" w:name="Section12"/>
      <w:bookmarkEnd w:id="10"/>
      <w:r>
        <w:rPr>
          <w:rFonts w:ascii="Times New Roman" w:eastAsia="Times New Roman" w:hAnsi="Times New Roman" w:cs="Times New Roman"/>
          <w:b/>
          <w:i w:val="0"/>
          <w:color w:val="000000"/>
          <w:sz w:val="20"/>
          <w:u w:val="none"/>
        </w:rPr>
        <w:t>Note 2</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Segment Information</w:t>
      </w:r>
      <w:r>
        <w:rPr>
          <w:rFonts w:ascii="Times New Roman" w:eastAsia="Times New Roman" w:hAnsi="Times New Roman" w:cs="Times New Roman"/>
          <w:b/>
          <w:i w:val="0"/>
          <w:color w:val="000000"/>
          <w:sz w:val="20"/>
          <w:u w:val="none"/>
        </w:rPr>
        <w:t xml:space="preserve"> </w:t>
      </w:r>
    </w:p>
    <w:p>
      <w:pPr>
        <w:keepNext/>
        <w:keepLines w:val="0"/>
        <w:pageBreakBefore w:val="0"/>
        <w:widowControl/>
        <w:numPr>
          <w:ilvl w:val="0"/>
          <w:numId w:val="0"/>
        </w:numPr>
        <w:spacing w:before="0" w:after="6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Our business is </w:t>
      </w:r>
      <w:r>
        <w:rPr>
          <w:rFonts w:ascii="Times New Roman" w:eastAsia="Times New Roman" w:hAnsi="Times New Roman" w:cs="Times New Roman"/>
          <w:b w:val="0"/>
          <w:i w:val="0"/>
          <w:color w:val="000000"/>
          <w:sz w:val="20"/>
          <w:u w:val="none"/>
        </w:rPr>
        <w:t>organized</w:t>
      </w:r>
      <w:r>
        <w:rPr>
          <w:rFonts w:ascii="Times New Roman" w:eastAsia="Times New Roman" w:hAnsi="Times New Roman" w:cs="Times New Roman"/>
          <w:b w:val="0"/>
          <w:i w:val="0"/>
          <w:color w:val="000000"/>
          <w:sz w:val="20"/>
          <w:u w:val="none"/>
        </w:rPr>
        <w:t xml:space="preserve"> into</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two</w:t>
      </w:r>
      <w:r>
        <w:rPr>
          <w:rFonts w:ascii="Times New Roman" w:eastAsia="Times New Roman" w:hAnsi="Times New Roman" w:cs="Times New Roman"/>
          <w:b w:val="0"/>
          <w:i w:val="0"/>
          <w:color w:val="000000"/>
          <w:sz w:val="20"/>
          <w:u w:val="none"/>
        </w:rPr>
        <w:t xml:space="preserve"> reportable segments</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Mobile Solutions and Power Solutions, based on the nature of the products</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manufactured. There have been no changes in the</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composition of our reportable segments from those described in our Annual Report on Form 10-K</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for the year ended 2025.</w:t>
      </w:r>
    </w:p>
    <w:p>
      <w:pPr>
        <w:keepNext/>
        <w:keepLines w:val="0"/>
        <w:pageBreakBefore w:val="0"/>
        <w:widowControl/>
        <w:numPr>
          <w:ilvl w:val="0"/>
          <w:numId w:val="0"/>
        </w:numPr>
        <w:spacing w:before="0" w:after="6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keepLines w:val="0"/>
        <w:pageBreakBefore w:val="0"/>
        <w:widowControl/>
        <w:numPr>
          <w:ilvl w:val="0"/>
          <w:numId w:val="0"/>
        </w:numPr>
        <w:spacing w:before="0" w:after="6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These reportable segments are considered our two operating segments as each has engaged in business activities for which it earns revenues and incurs expenses, discrete financial information is available for each, and this is the level at which the chief operating decision maker (“CODM”) reviews discrete financial information for purposes of allocating resources and assessing performance.</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The CODM, who is our President and Chief Executive Officer, uses segment operating income (loss)</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to</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evaluate the performance of our segments each quarter and for annual forecasting purposes.</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Segment operating income (loss) is used to make key operating decisions, such as the amount and timing of capital expenditures, plant optimization actions, and allocation of management resources.</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In addition to our </w:t>
      </w:r>
      <w:r>
        <w:rPr>
          <w:rFonts w:ascii="Times New Roman" w:eastAsia="Times New Roman" w:hAnsi="Times New Roman" w:cs="Times New Roman"/>
          <w:b w:val="0"/>
          <w:i w:val="0"/>
          <w:color w:val="000000"/>
          <w:sz w:val="20"/>
          <w:u w:val="none"/>
        </w:rPr>
        <w:t>two</w:t>
      </w:r>
      <w:r>
        <w:rPr>
          <w:rFonts w:ascii="Times New Roman" w:eastAsia="Times New Roman" w:hAnsi="Times New Roman" w:cs="Times New Roman"/>
          <w:b w:val="0"/>
          <w:i w:val="0"/>
          <w:color w:val="000000"/>
          <w:sz w:val="20"/>
          <w:u w:val="none"/>
        </w:rPr>
        <w:t xml:space="preserve"> reportable segments, we report a Corporate category, which includes corporate costs and unallocated expenses.</w:t>
      </w:r>
      <w:r>
        <w:rPr>
          <w:rFonts w:ascii="Times New Roman" w:eastAsia="Times New Roman" w:hAnsi="Times New Roman" w:cs="Times New Roman"/>
          <w:b w:val="0"/>
          <w:i w:val="0"/>
          <w:color w:val="000000"/>
          <w:sz w:val="20"/>
          <w:u w:val="none"/>
        </w:rPr>
        <w:t xml:space="preserve"> Account</w:t>
      </w:r>
      <w:r>
        <w:rPr>
          <w:rFonts w:ascii="Times New Roman" w:eastAsia="Times New Roman" w:hAnsi="Times New Roman" w:cs="Times New Roman"/>
          <w:b w:val="0"/>
          <w:i w:val="0"/>
          <w:color w:val="000000"/>
          <w:sz w:val="20"/>
          <w:u w:val="none"/>
        </w:rPr>
        <w:t xml:space="preserve">ing for transactions between segments </w:t>
      </w:r>
      <w:r>
        <w:rPr>
          <w:rFonts w:ascii="Times New Roman" w:eastAsia="Times New Roman" w:hAnsi="Times New Roman" w:cs="Times New Roman"/>
          <w:b w:val="0"/>
          <w:i w:val="0"/>
          <w:color w:val="000000"/>
          <w:sz w:val="20"/>
          <w:u w:val="none"/>
        </w:rPr>
        <w:t>are recorded at cost.</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following tables reconcile </w:t>
      </w:r>
      <w:r>
        <w:rPr>
          <w:rFonts w:ascii="Times New Roman" w:eastAsia="Times New Roman" w:hAnsi="Times New Roman" w:cs="Times New Roman"/>
          <w:b w:val="0"/>
          <w:i w:val="0"/>
          <w:color w:val="000000"/>
          <w:sz w:val="20"/>
          <w:u w:val="none"/>
        </w:rPr>
        <w:t>segment</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net sales</w:t>
      </w:r>
      <w:r>
        <w:rPr>
          <w:rFonts w:ascii="Times New Roman" w:eastAsia="Times New Roman" w:hAnsi="Times New Roman" w:cs="Times New Roman"/>
          <w:b w:val="0"/>
          <w:i w:val="0"/>
          <w:color w:val="000000"/>
          <w:sz w:val="20"/>
          <w:u w:val="none"/>
        </w:rPr>
        <w:t xml:space="preserve"> to consolidated </w:t>
      </w:r>
      <w:r>
        <w:rPr>
          <w:rFonts w:ascii="Times New Roman" w:eastAsia="Times New Roman" w:hAnsi="Times New Roman" w:cs="Times New Roman"/>
          <w:b w:val="0"/>
          <w:i w:val="0"/>
          <w:color w:val="000000"/>
          <w:sz w:val="20"/>
          <w:u w:val="none"/>
        </w:rPr>
        <w:t>loss before provision for income taxes and share of net income from joint venture</w:t>
      </w:r>
      <w:r>
        <w:rPr>
          <w:rFonts w:ascii="Times New Roman" w:eastAsia="Times New Roman" w:hAnsi="Times New Roman" w:cs="Times New Roman"/>
          <w:b w:val="0"/>
          <w:i w:val="0"/>
          <w:color w:val="000000"/>
          <w:sz w:val="20"/>
          <w:u w:val="none"/>
        </w:rPr>
        <w:t>.</w:t>
      </w:r>
    </w:p>
    <w:tbl>
      <w:tblPr>
        <w:tblStyle w:val="TableNormal0"/>
        <w:tblW w:w="10260" w:type="dxa"/>
        <w:jc w:val="left"/>
        <w:tblInd w:w="0" w:type="dxa"/>
        <w:tblLayout w:type="fixed"/>
      </w:tblPr>
      <w:tblGrid>
        <w:gridCol w:w="4815"/>
        <w:gridCol w:w="1305"/>
        <w:gridCol w:w="75"/>
        <w:gridCol w:w="1305"/>
        <w:gridCol w:w="75"/>
        <w:gridCol w:w="1305"/>
        <w:gridCol w:w="75"/>
        <w:gridCol w:w="1305"/>
      </w:tblGrid>
      <w:tr>
        <w:tblPrEx>
          <w:tblW w:w="10260" w:type="dxa"/>
          <w:tblInd w:w="0" w:type="dxa"/>
          <w:tblLayout w:type="fixed"/>
        </w:tblPrEx>
        <w:trPr>
          <w:trHeight w:hRule="exact" w:val="420"/>
        </w:trPr>
        <w:tc>
          <w:tcPr>
            <w:tcW w:w="481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i w:val="0"/>
                <w:color w:val="000000"/>
                <w:sz w:val="16"/>
                <w:u w:val="single"/>
              </w:rPr>
              <w:t>Three Months Ended June 30, 2026</w:t>
            </w: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Mobile</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Power</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Corporate and Eliminations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Total</w:t>
            </w:r>
          </w:p>
        </w:tc>
      </w:tr>
      <w:tr>
        <w:tblPrEx>
          <w:tblW w:w="10260" w:type="dxa"/>
          <w:tblInd w:w="0" w:type="dxa"/>
          <w:tblLayout w:type="fixed"/>
        </w:tblPrEx>
        <w:trPr>
          <w:trHeight w:hRule="exact" w:val="285"/>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Net sales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66,590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62,293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6"/>
              </w:tabs>
              <w:spacing w:before="55" w:after="30" w:line="240" w:lineRule="auto"/>
              <w:jc w:val="right"/>
            </w:pPr>
            <w:r>
              <w:rPr>
                <w:rFonts w:ascii="Times New Roman" w:eastAsia="Times New Roman" w:hAnsi="Times New Roman" w:cs="Times New Roman"/>
                <w:b w:val="0"/>
                <w:i w:val="0"/>
                <w:color w:val="000000"/>
                <w:sz w:val="20"/>
                <w:u w:val="none"/>
              </w:rPr>
              <w:t>$</w:t>
              <w:tab/>
              <w:t>(142)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128,741</w:t>
              <w:tab/>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540" w:hanging="270"/>
              <w:jc w:val="left"/>
            </w:pPr>
            <w:r>
              <w:rPr>
                <w:rFonts w:ascii="Times New Roman" w:eastAsia="Times New Roman" w:hAnsi="Times New Roman" w:cs="Times New Roman"/>
                <w:b w:val="0"/>
                <w:i w:val="0"/>
                <w:color w:val="000000"/>
                <w:sz w:val="20"/>
                <w:u w:val="none"/>
              </w:rPr>
              <w:t>Cost of sales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59,066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47,949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86"/>
              </w:tabs>
              <w:spacing w:before="75" w:after="30" w:line="240" w:lineRule="auto"/>
              <w:jc w:val="right"/>
            </w:pPr>
            <w:r>
              <w:rPr>
                <w:rFonts w:ascii="Times New Roman" w:eastAsia="Times New Roman" w:hAnsi="Times New Roman" w:cs="Times New Roman"/>
                <w:b w:val="0"/>
                <w:i w:val="0"/>
                <w:color w:val="000000"/>
                <w:sz w:val="20"/>
                <w:u w:val="none"/>
              </w:rPr>
              <w:tab/>
              <w:t>(152)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75" w:after="30" w:line="240" w:lineRule="auto"/>
              <w:jc w:val="right"/>
            </w:pPr>
            <w:r>
              <w:rPr>
                <w:rFonts w:ascii="Times New Roman" w:eastAsia="Times New Roman" w:hAnsi="Times New Roman" w:cs="Times New Roman"/>
                <w:b w:val="0"/>
                <w:i w:val="0"/>
                <w:color w:val="000000"/>
                <w:sz w:val="20"/>
                <w:u w:val="none"/>
              </w:rPr>
              <w:tab/>
              <w:t>106,863</w:t>
              <w:tab/>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ind w:left="540" w:hanging="270"/>
              <w:jc w:val="left"/>
            </w:pPr>
            <w:r>
              <w:rPr>
                <w:rFonts w:ascii="Times New Roman" w:eastAsia="Times New Roman" w:hAnsi="Times New Roman" w:cs="Times New Roman"/>
                <w:b w:val="0"/>
                <w:i w:val="0"/>
                <w:color w:val="000000"/>
                <w:sz w:val="20"/>
                <w:u w:val="none"/>
              </w:rPr>
              <w:t>Selling, general, and administrative expense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3,914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2,722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5,934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12,570</w:t>
              <w:tab/>
            </w:r>
          </w:p>
        </w:tc>
      </w:tr>
      <w:tr>
        <w:tblPrEx>
          <w:tblW w:w="10260" w:type="dxa"/>
          <w:tblInd w:w="0" w:type="dxa"/>
          <w:tblLayout w:type="fixed"/>
        </w:tblPrEx>
        <w:trPr>
          <w:trHeight w:hRule="exact" w:val="285"/>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540" w:hanging="270"/>
              <w:jc w:val="left"/>
            </w:pPr>
            <w:r>
              <w:rPr>
                <w:rFonts w:ascii="Times New Roman" w:eastAsia="Times New Roman" w:hAnsi="Times New Roman" w:cs="Times New Roman"/>
                <w:b w:val="0"/>
                <w:i w:val="0"/>
                <w:color w:val="000000"/>
                <w:sz w:val="20"/>
                <w:u w:val="none"/>
              </w:rPr>
              <w:t>Depreciation expense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4,788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781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369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5,938</w:t>
              <w:tab/>
            </w:r>
          </w:p>
        </w:tc>
      </w:tr>
      <w:tr>
        <w:tblPrEx>
          <w:tblW w:w="10260" w:type="dxa"/>
          <w:tblInd w:w="0" w:type="dxa"/>
          <w:tblLayout w:type="fixed"/>
        </w:tblPrEx>
        <w:trPr>
          <w:trHeight w:hRule="exact" w:val="285"/>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ind w:left="540" w:hanging="270"/>
              <w:jc w:val="left"/>
            </w:pPr>
            <w:r>
              <w:rPr>
                <w:rFonts w:ascii="Times New Roman" w:eastAsia="Times New Roman" w:hAnsi="Times New Roman" w:cs="Times New Roman"/>
                <w:b w:val="0"/>
                <w:i w:val="0"/>
                <w:color w:val="000000"/>
                <w:sz w:val="20"/>
                <w:u w:val="none"/>
              </w:rPr>
              <w:t>Other segment items (1)</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769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1,792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86"/>
              </w:tabs>
              <w:spacing w:before="75" w:after="30" w:line="240" w:lineRule="auto"/>
              <w:jc w:val="right"/>
            </w:pPr>
            <w:r>
              <w:rPr>
                <w:rFonts w:ascii="Times New Roman" w:eastAsia="Times New Roman" w:hAnsi="Times New Roman" w:cs="Times New Roman"/>
                <w:b w:val="0"/>
                <w:i w:val="0"/>
                <w:color w:val="000000"/>
                <w:sz w:val="20"/>
                <w:u w:val="none"/>
              </w:rPr>
              <w:tab/>
              <w:t>(196)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2,365</w:t>
              <w:tab/>
            </w:r>
          </w:p>
        </w:tc>
      </w:tr>
      <w:tr>
        <w:tblPrEx>
          <w:tblW w:w="10260" w:type="dxa"/>
          <w:tblInd w:w="0" w:type="dxa"/>
          <w:tblLayout w:type="fixed"/>
        </w:tblPrEx>
        <w:trPr>
          <w:trHeight w:hRule="exact" w:val="285"/>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Segment operating (loss) income</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w:t>
              <w:tab/>
              <w:t>(1,947)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9,049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w:t>
              <w:tab/>
              <w:t>(6,097)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1,005</w:t>
              <w:tab/>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ind w:left="270"/>
              <w:jc w:val="left"/>
            </w:pPr>
            <w:r>
              <w:rPr>
                <w:rFonts w:ascii="Times New Roman" w:eastAsia="Times New Roman" w:hAnsi="Times New Roman" w:cs="Times New Roman"/>
                <w:b w:val="0"/>
                <w:i w:val="0"/>
                <w:color w:val="000000"/>
                <w:sz w:val="20"/>
                <w:u w:val="none"/>
              </w:rPr>
              <w:t>Interest expense</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55" w:after="30" w:line="240" w:lineRule="auto"/>
              <w:jc w:val="right"/>
            </w:pPr>
            <w:r>
              <w:rPr>
                <w:rFonts w:ascii="Times New Roman" w:eastAsia="Times New Roman" w:hAnsi="Times New Roman" w:cs="Times New Roman"/>
                <w:b w:val="0"/>
                <w:i w:val="0"/>
                <w:color w:val="000000"/>
                <w:sz w:val="20"/>
                <w:u w:val="none"/>
              </w:rPr>
              <w:tab/>
              <w:t>5,720</w:t>
              <w:tab/>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270"/>
              <w:jc w:val="left"/>
            </w:pPr>
            <w:r>
              <w:rPr>
                <w:rFonts w:ascii="Times New Roman" w:eastAsia="Times New Roman" w:hAnsi="Times New Roman" w:cs="Times New Roman"/>
                <w:b w:val="0"/>
                <w:i w:val="0"/>
                <w:color w:val="000000"/>
                <w:sz w:val="20"/>
                <w:u w:val="none"/>
              </w:rPr>
              <w:t>Other income, net</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86"/>
              </w:tabs>
              <w:spacing w:before="75" w:after="30" w:line="240" w:lineRule="auto"/>
              <w:jc w:val="right"/>
            </w:pPr>
            <w:r>
              <w:rPr>
                <w:rFonts w:ascii="Times New Roman" w:eastAsia="Times New Roman" w:hAnsi="Times New Roman" w:cs="Times New Roman"/>
                <w:b w:val="0"/>
                <w:i w:val="0"/>
                <w:color w:val="000000"/>
                <w:sz w:val="20"/>
                <w:u w:val="none"/>
              </w:rPr>
              <w:tab/>
              <w:t>(217)</w:t>
            </w:r>
          </w:p>
        </w:tc>
      </w:tr>
      <w:tr>
        <w:tblPrEx>
          <w:tblW w:w="10260" w:type="dxa"/>
          <w:tblInd w:w="0" w:type="dxa"/>
          <w:tblLayout w:type="fixed"/>
        </w:tblPrEx>
        <w:trPr>
          <w:trHeight w:hRule="exact" w:val="495"/>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55" w:after="30" w:line="240" w:lineRule="auto"/>
              <w:ind w:left="270" w:hanging="270"/>
              <w:jc w:val="left"/>
            </w:pPr>
            <w:r>
              <w:rPr>
                <w:rFonts w:ascii="Times New Roman" w:eastAsia="Times New Roman" w:hAnsi="Times New Roman" w:cs="Times New Roman"/>
                <w:b w:val="0"/>
                <w:i w:val="0"/>
                <w:color w:val="000000"/>
                <w:sz w:val="20"/>
                <w:u w:val="none"/>
              </w:rPr>
              <w:t>Loss before provision for income taxes and share of net income from joint venture</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w:t>
              <w:tab/>
              <w:t>(4,498)</w:t>
            </w:r>
          </w:p>
        </w:tc>
      </w:tr>
    </w:tbl>
    <w:p>
      <w:pPr>
        <w:keepNext w:val="0"/>
        <w:keepLines w:val="0"/>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tbl>
      <w:tblPr>
        <w:tblStyle w:val="TableNormal0"/>
        <w:tblW w:w="10260" w:type="dxa"/>
        <w:jc w:val="left"/>
        <w:tblInd w:w="0" w:type="dxa"/>
        <w:tblLayout w:type="fixed"/>
      </w:tblPr>
      <w:tblGrid>
        <w:gridCol w:w="4815"/>
        <w:gridCol w:w="1305"/>
        <w:gridCol w:w="75"/>
        <w:gridCol w:w="1305"/>
        <w:gridCol w:w="75"/>
        <w:gridCol w:w="1305"/>
        <w:gridCol w:w="75"/>
        <w:gridCol w:w="1305"/>
      </w:tblGrid>
      <w:tr>
        <w:tblPrEx>
          <w:tblW w:w="10260" w:type="dxa"/>
          <w:tblInd w:w="0" w:type="dxa"/>
          <w:tblLayout w:type="fixed"/>
        </w:tblPrEx>
        <w:trPr>
          <w:trHeight w:hRule="exact" w:val="420"/>
        </w:trPr>
        <w:tc>
          <w:tcPr>
            <w:tcW w:w="481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i w:val="0"/>
                <w:color w:val="000000"/>
                <w:sz w:val="16"/>
                <w:u w:val="single"/>
              </w:rPr>
              <w:t>Three Months Ended June 30, 2025</w:t>
            </w: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Mobile</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Power</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Corporate and Eliminations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Total</w:t>
            </w:r>
          </w:p>
        </w:tc>
      </w:tr>
      <w:tr>
        <w:tblPrEx>
          <w:tblW w:w="10260" w:type="dxa"/>
          <w:tblInd w:w="0" w:type="dxa"/>
          <w:tblLayout w:type="fixed"/>
        </w:tblPrEx>
        <w:trPr>
          <w:trHeight w:hRule="exact" w:val="285"/>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Net sales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63,391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44,641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6"/>
              </w:tabs>
              <w:spacing w:before="55" w:after="30" w:line="240" w:lineRule="auto"/>
              <w:jc w:val="right"/>
            </w:pPr>
            <w:r>
              <w:rPr>
                <w:rFonts w:ascii="Times New Roman" w:eastAsia="Times New Roman" w:hAnsi="Times New Roman" w:cs="Times New Roman"/>
                <w:b w:val="0"/>
                <w:i w:val="0"/>
                <w:color w:val="000000"/>
                <w:sz w:val="20"/>
                <w:u w:val="none"/>
              </w:rPr>
              <w:t>$</w:t>
              <w:tab/>
              <w:t>(111)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107,921</w:t>
              <w:tab/>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540" w:hanging="270"/>
              <w:jc w:val="left"/>
            </w:pPr>
            <w:r>
              <w:rPr>
                <w:rFonts w:ascii="Times New Roman" w:eastAsia="Times New Roman" w:hAnsi="Times New Roman" w:cs="Times New Roman"/>
                <w:b w:val="0"/>
                <w:i w:val="0"/>
                <w:color w:val="000000"/>
                <w:sz w:val="20"/>
                <w:u w:val="none"/>
              </w:rPr>
              <w:t>Cost of sales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55,817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33,997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86"/>
              </w:tabs>
              <w:spacing w:before="75" w:after="30" w:line="240" w:lineRule="auto"/>
              <w:jc w:val="right"/>
            </w:pPr>
            <w:r>
              <w:rPr>
                <w:rFonts w:ascii="Times New Roman" w:eastAsia="Times New Roman" w:hAnsi="Times New Roman" w:cs="Times New Roman"/>
                <w:b w:val="0"/>
                <w:i w:val="0"/>
                <w:color w:val="000000"/>
                <w:sz w:val="20"/>
                <w:u w:val="none"/>
              </w:rPr>
              <w:tab/>
              <w:t>(115)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89,699</w:t>
              <w:tab/>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ind w:left="540" w:hanging="270"/>
              <w:jc w:val="left"/>
            </w:pPr>
            <w:r>
              <w:rPr>
                <w:rFonts w:ascii="Times New Roman" w:eastAsia="Times New Roman" w:hAnsi="Times New Roman" w:cs="Times New Roman"/>
                <w:b w:val="0"/>
                <w:i w:val="0"/>
                <w:color w:val="000000"/>
                <w:sz w:val="20"/>
                <w:u w:val="none"/>
              </w:rPr>
              <w:t>Selling, general, and administrative expense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3,785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2,387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5,923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12,095</w:t>
              <w:tab/>
            </w:r>
          </w:p>
        </w:tc>
      </w:tr>
      <w:tr>
        <w:tblPrEx>
          <w:tblW w:w="10260" w:type="dxa"/>
          <w:tblInd w:w="0" w:type="dxa"/>
          <w:tblLayout w:type="fixed"/>
        </w:tblPrEx>
        <w:trPr>
          <w:trHeight w:hRule="exact" w:val="285"/>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540" w:hanging="270"/>
              <w:jc w:val="left"/>
            </w:pPr>
            <w:r>
              <w:rPr>
                <w:rFonts w:ascii="Times New Roman" w:eastAsia="Times New Roman" w:hAnsi="Times New Roman" w:cs="Times New Roman"/>
                <w:b w:val="0"/>
                <w:i w:val="0"/>
                <w:color w:val="000000"/>
                <w:sz w:val="20"/>
                <w:u w:val="none"/>
              </w:rPr>
              <w:t>Depreciation expense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4,294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804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414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5,512</w:t>
              <w:tab/>
            </w:r>
          </w:p>
        </w:tc>
      </w:tr>
      <w:tr>
        <w:tblPrEx>
          <w:tblW w:w="10260" w:type="dxa"/>
          <w:tblInd w:w="0" w:type="dxa"/>
          <w:tblLayout w:type="fixed"/>
        </w:tblPrEx>
        <w:trPr>
          <w:trHeight w:hRule="exact" w:val="285"/>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ind w:left="540" w:hanging="270"/>
              <w:jc w:val="left"/>
            </w:pPr>
            <w:r>
              <w:rPr>
                <w:rFonts w:ascii="Times New Roman" w:eastAsia="Times New Roman" w:hAnsi="Times New Roman" w:cs="Times New Roman"/>
                <w:b w:val="0"/>
                <w:i w:val="0"/>
                <w:color w:val="000000"/>
                <w:sz w:val="20"/>
                <w:u w:val="none"/>
              </w:rPr>
              <w:t>Other segment items (1)</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605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1,671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86"/>
              </w:tabs>
              <w:spacing w:before="75" w:after="30" w:line="240" w:lineRule="auto"/>
              <w:jc w:val="right"/>
            </w:pPr>
            <w:r>
              <w:rPr>
                <w:rFonts w:ascii="Times New Roman" w:eastAsia="Times New Roman" w:hAnsi="Times New Roman" w:cs="Times New Roman"/>
                <w:b w:val="0"/>
                <w:i w:val="0"/>
                <w:color w:val="000000"/>
                <w:sz w:val="20"/>
                <w:u w:val="none"/>
              </w:rPr>
              <w:tab/>
              <w:t>(197)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2,079</w:t>
              <w:tab/>
            </w:r>
          </w:p>
        </w:tc>
      </w:tr>
      <w:tr>
        <w:tblPrEx>
          <w:tblW w:w="10260" w:type="dxa"/>
          <w:tblInd w:w="0" w:type="dxa"/>
          <w:tblLayout w:type="fixed"/>
        </w:tblPrEx>
        <w:trPr>
          <w:trHeight w:hRule="exact" w:val="285"/>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Segment operating (loss) income</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w:t>
              <w:tab/>
              <w:t>(1,110)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5,782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w:t>
              <w:tab/>
              <w:t>(6,136)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w:t>
              <w:tab/>
              <w:t>(1,464)</w:t>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ind w:left="270"/>
              <w:jc w:val="left"/>
            </w:pPr>
            <w:r>
              <w:rPr>
                <w:rFonts w:ascii="Times New Roman" w:eastAsia="Times New Roman" w:hAnsi="Times New Roman" w:cs="Times New Roman"/>
                <w:b w:val="0"/>
                <w:i w:val="0"/>
                <w:color w:val="000000"/>
                <w:sz w:val="20"/>
                <w:u w:val="none"/>
              </w:rPr>
              <w:t>Interest expense</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55" w:after="30" w:line="240" w:lineRule="auto"/>
              <w:jc w:val="right"/>
            </w:pPr>
            <w:r>
              <w:rPr>
                <w:rFonts w:ascii="Times New Roman" w:eastAsia="Times New Roman" w:hAnsi="Times New Roman" w:cs="Times New Roman"/>
                <w:b w:val="0"/>
                <w:i w:val="0"/>
                <w:color w:val="000000"/>
                <w:sz w:val="20"/>
                <w:u w:val="none"/>
              </w:rPr>
              <w:tab/>
              <w:t>5,657</w:t>
              <w:tab/>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270"/>
              <w:jc w:val="left"/>
            </w:pPr>
            <w:r>
              <w:rPr>
                <w:rFonts w:ascii="Times New Roman" w:eastAsia="Times New Roman" w:hAnsi="Times New Roman" w:cs="Times New Roman"/>
                <w:b w:val="0"/>
                <w:i w:val="0"/>
                <w:color w:val="000000"/>
                <w:sz w:val="20"/>
                <w:u w:val="none"/>
              </w:rPr>
              <w:t>Loss on extinguishment of debt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spacing w:before="75" w:after="30" w:line="240" w:lineRule="auto"/>
              <w:jc w:val="right"/>
            </w:pPr>
          </w:p>
        </w:tc>
        <w:tc>
          <w:tcPr>
            <w:tcW w:w="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spacing w:before="75" w:after="30" w:line="240" w:lineRule="auto"/>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spacing w:before="75" w:after="30" w:line="240" w:lineRule="auto"/>
              <w:jc w:val="right"/>
            </w:pPr>
          </w:p>
        </w:tc>
        <w:tc>
          <w:tcPr>
            <w:tcW w:w="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spacing w:before="75" w:after="30" w:line="240" w:lineRule="auto"/>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spacing w:before="75" w:after="30" w:line="240" w:lineRule="auto"/>
              <w:jc w:val="right"/>
            </w:pPr>
          </w:p>
        </w:tc>
        <w:tc>
          <w:tcPr>
            <w:tcW w:w="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spacing w:before="75" w:after="30" w:line="240" w:lineRule="auto"/>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3,007</w:t>
              <w:tab/>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ind w:left="270"/>
              <w:jc w:val="left"/>
            </w:pPr>
            <w:r>
              <w:rPr>
                <w:rFonts w:ascii="Times New Roman" w:eastAsia="Times New Roman" w:hAnsi="Times New Roman" w:cs="Times New Roman"/>
                <w:b w:val="0"/>
                <w:i w:val="0"/>
                <w:color w:val="000000"/>
                <w:sz w:val="20"/>
                <w:u w:val="none"/>
              </w:rPr>
              <w:t>Other income, net</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86"/>
              </w:tabs>
              <w:spacing w:before="75" w:after="30" w:line="240" w:lineRule="auto"/>
              <w:jc w:val="right"/>
            </w:pPr>
            <w:r>
              <w:rPr>
                <w:rFonts w:ascii="Times New Roman" w:eastAsia="Times New Roman" w:hAnsi="Times New Roman" w:cs="Times New Roman"/>
                <w:b w:val="0"/>
                <w:i w:val="0"/>
                <w:color w:val="000000"/>
                <w:sz w:val="20"/>
                <w:u w:val="none"/>
              </w:rPr>
              <w:tab/>
              <w:t>(619)</w:t>
            </w:r>
          </w:p>
        </w:tc>
      </w:tr>
      <w:tr>
        <w:tblPrEx>
          <w:tblW w:w="10260" w:type="dxa"/>
          <w:tblInd w:w="0" w:type="dxa"/>
          <w:tblLayout w:type="fixed"/>
        </w:tblPrEx>
        <w:trPr>
          <w:trHeight w:hRule="exact" w:val="495"/>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5" w:after="30" w:line="240" w:lineRule="auto"/>
              <w:ind w:left="270" w:hanging="270"/>
              <w:jc w:val="left"/>
            </w:pPr>
            <w:r>
              <w:rPr>
                <w:rFonts w:ascii="Times New Roman" w:eastAsia="Times New Roman" w:hAnsi="Times New Roman" w:cs="Times New Roman"/>
                <w:b w:val="0"/>
                <w:i w:val="0"/>
                <w:color w:val="000000"/>
                <w:sz w:val="20"/>
                <w:u w:val="none"/>
              </w:rPr>
              <w:t>Loss before provision for income taxes and share of net income from joint venture</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w:t>
              <w:tab/>
              <w:t>(9,509)</w:t>
            </w:r>
          </w:p>
        </w:tc>
      </w:tr>
    </w:tbl>
    <w:p>
      <w:pPr>
        <w:keepNext/>
        <w:keepLines/>
        <w:pageBreakBefore w:val="0"/>
        <w:widowControl w:val="0"/>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16"/>
          <w:u w:val="none"/>
        </w:rPr>
      </w:pPr>
    </w:p>
    <w:tbl>
      <w:tblPr>
        <w:tblStyle w:val="TableNormal0"/>
        <w:tblW w:w="10260" w:type="dxa"/>
        <w:jc w:val="left"/>
        <w:tblInd w:w="0" w:type="dxa"/>
        <w:tblLayout w:type="fixed"/>
      </w:tblPr>
      <w:tblGrid>
        <w:gridCol w:w="4815"/>
        <w:gridCol w:w="1305"/>
        <w:gridCol w:w="75"/>
        <w:gridCol w:w="1305"/>
        <w:gridCol w:w="75"/>
        <w:gridCol w:w="1305"/>
        <w:gridCol w:w="75"/>
        <w:gridCol w:w="1305"/>
      </w:tblGrid>
      <w:tr>
        <w:tblPrEx>
          <w:tblW w:w="10260" w:type="dxa"/>
          <w:tblInd w:w="0" w:type="dxa"/>
          <w:tblLayout w:type="fixed"/>
        </w:tblPrEx>
        <w:trPr>
          <w:trHeight w:hRule="exact" w:val="420"/>
        </w:trPr>
        <w:tc>
          <w:tcPr>
            <w:tcW w:w="481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i w:val="0"/>
                <w:color w:val="000000"/>
                <w:sz w:val="16"/>
                <w:u w:val="single"/>
              </w:rPr>
              <w:t>Six Months Ended June 30, 2026</w:t>
            </w: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Mobile</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Power</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Corporate and Eliminations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Total</w:t>
            </w:r>
          </w:p>
        </w:tc>
      </w:tr>
      <w:tr>
        <w:tblPrEx>
          <w:tblW w:w="10260" w:type="dxa"/>
          <w:tblInd w:w="0" w:type="dxa"/>
          <w:tblLayout w:type="fixed"/>
        </w:tblPrEx>
        <w:trPr>
          <w:trHeight w:hRule="exact" w:val="285"/>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Net sales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129,703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117,693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6"/>
              </w:tabs>
              <w:spacing w:before="55" w:after="30" w:line="240" w:lineRule="auto"/>
              <w:jc w:val="right"/>
            </w:pPr>
            <w:r>
              <w:rPr>
                <w:rFonts w:ascii="Times New Roman" w:eastAsia="Times New Roman" w:hAnsi="Times New Roman" w:cs="Times New Roman"/>
                <w:b w:val="0"/>
                <w:i w:val="0"/>
                <w:color w:val="000000"/>
                <w:sz w:val="20"/>
                <w:u w:val="none"/>
              </w:rPr>
              <w:tab/>
              <w:t>(203)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247,193</w:t>
              <w:tab/>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540" w:hanging="270"/>
              <w:jc w:val="left"/>
            </w:pPr>
            <w:r>
              <w:rPr>
                <w:rFonts w:ascii="Times New Roman" w:eastAsia="Times New Roman" w:hAnsi="Times New Roman" w:cs="Times New Roman"/>
                <w:b w:val="0"/>
                <w:i w:val="0"/>
                <w:color w:val="000000"/>
                <w:sz w:val="20"/>
                <w:u w:val="none"/>
              </w:rPr>
              <w:t>Cost of sales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75" w:after="30" w:line="240" w:lineRule="auto"/>
              <w:jc w:val="right"/>
            </w:pPr>
            <w:r>
              <w:rPr>
                <w:rFonts w:ascii="Times New Roman" w:eastAsia="Times New Roman" w:hAnsi="Times New Roman" w:cs="Times New Roman"/>
                <w:b w:val="0"/>
                <w:i w:val="0"/>
                <w:color w:val="000000"/>
                <w:sz w:val="20"/>
                <w:u w:val="none"/>
              </w:rPr>
              <w:tab/>
              <w:t>114,699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91,418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86"/>
              </w:tabs>
              <w:spacing w:before="75" w:after="30" w:line="240" w:lineRule="auto"/>
              <w:jc w:val="right"/>
            </w:pPr>
            <w:r>
              <w:rPr>
                <w:rFonts w:ascii="Times New Roman" w:eastAsia="Times New Roman" w:hAnsi="Times New Roman" w:cs="Times New Roman"/>
                <w:b w:val="0"/>
                <w:i w:val="0"/>
                <w:color w:val="000000"/>
                <w:sz w:val="20"/>
                <w:u w:val="none"/>
              </w:rPr>
              <w:tab/>
              <w:t>(223)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75" w:after="30" w:line="240" w:lineRule="auto"/>
              <w:jc w:val="right"/>
            </w:pPr>
            <w:r>
              <w:rPr>
                <w:rFonts w:ascii="Times New Roman" w:eastAsia="Times New Roman" w:hAnsi="Times New Roman" w:cs="Times New Roman"/>
                <w:b w:val="0"/>
                <w:i w:val="0"/>
                <w:color w:val="000000"/>
                <w:sz w:val="20"/>
                <w:u w:val="none"/>
              </w:rPr>
              <w:tab/>
              <w:t>205,894</w:t>
              <w:tab/>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ind w:left="540" w:hanging="270"/>
              <w:jc w:val="left"/>
            </w:pPr>
            <w:r>
              <w:rPr>
                <w:rFonts w:ascii="Times New Roman" w:eastAsia="Times New Roman" w:hAnsi="Times New Roman" w:cs="Times New Roman"/>
                <w:b w:val="0"/>
                <w:i w:val="0"/>
                <w:color w:val="000000"/>
                <w:sz w:val="20"/>
                <w:u w:val="none"/>
              </w:rPr>
              <w:t>Selling, general, and administrative expense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8,050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5,765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12,049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25,864</w:t>
              <w:tab/>
            </w:r>
          </w:p>
        </w:tc>
      </w:tr>
      <w:tr>
        <w:tblPrEx>
          <w:tblW w:w="10260" w:type="dxa"/>
          <w:tblInd w:w="0" w:type="dxa"/>
          <w:tblLayout w:type="fixed"/>
        </w:tblPrEx>
        <w:trPr>
          <w:trHeight w:hRule="exact" w:val="285"/>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540" w:hanging="270"/>
              <w:jc w:val="left"/>
            </w:pPr>
            <w:r>
              <w:rPr>
                <w:rFonts w:ascii="Times New Roman" w:eastAsia="Times New Roman" w:hAnsi="Times New Roman" w:cs="Times New Roman"/>
                <w:b w:val="0"/>
                <w:i w:val="0"/>
                <w:color w:val="000000"/>
                <w:sz w:val="20"/>
                <w:u w:val="none"/>
              </w:rPr>
              <w:t>Depreciation expense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9,451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1,581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741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11,773</w:t>
              <w:tab/>
            </w:r>
          </w:p>
        </w:tc>
      </w:tr>
      <w:tr>
        <w:tblPrEx>
          <w:tblW w:w="10260" w:type="dxa"/>
          <w:tblInd w:w="0" w:type="dxa"/>
          <w:tblLayout w:type="fixed"/>
        </w:tblPrEx>
        <w:trPr>
          <w:trHeight w:hRule="exact" w:val="285"/>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ind w:left="540" w:hanging="270"/>
              <w:jc w:val="left"/>
            </w:pPr>
            <w:r>
              <w:rPr>
                <w:rFonts w:ascii="Times New Roman" w:eastAsia="Times New Roman" w:hAnsi="Times New Roman" w:cs="Times New Roman"/>
                <w:b w:val="0"/>
                <w:i w:val="0"/>
                <w:color w:val="000000"/>
                <w:sz w:val="20"/>
                <w:u w:val="none"/>
              </w:rPr>
              <w:t>Other segment items (1)</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1,525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3,583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86"/>
              </w:tabs>
              <w:spacing w:before="75" w:after="30" w:line="240" w:lineRule="auto"/>
              <w:jc w:val="right"/>
            </w:pPr>
            <w:r>
              <w:rPr>
                <w:rFonts w:ascii="Times New Roman" w:eastAsia="Times New Roman" w:hAnsi="Times New Roman" w:cs="Times New Roman"/>
                <w:b w:val="0"/>
                <w:i w:val="0"/>
                <w:color w:val="000000"/>
                <w:sz w:val="20"/>
                <w:u w:val="none"/>
              </w:rPr>
              <w:tab/>
              <w:t>(393)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4,715</w:t>
              <w:tab/>
            </w:r>
          </w:p>
        </w:tc>
      </w:tr>
      <w:tr>
        <w:tblPrEx>
          <w:tblW w:w="10260" w:type="dxa"/>
          <w:tblInd w:w="0" w:type="dxa"/>
          <w:tblLayout w:type="fixed"/>
        </w:tblPrEx>
        <w:trPr>
          <w:trHeight w:hRule="exact" w:val="285"/>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Segment operating (loss) income</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w:t>
              <w:tab/>
              <w:t>(4,022)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15,346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536"/>
              </w:tabs>
              <w:spacing w:before="55" w:after="30" w:line="240" w:lineRule="auto"/>
              <w:jc w:val="right"/>
            </w:pPr>
            <w:r>
              <w:rPr>
                <w:rFonts w:ascii="Times New Roman" w:eastAsia="Times New Roman" w:hAnsi="Times New Roman" w:cs="Times New Roman"/>
                <w:b w:val="0"/>
                <w:i w:val="0"/>
                <w:color w:val="000000"/>
                <w:sz w:val="20"/>
                <w:u w:val="none"/>
              </w:rPr>
              <w:t>$</w:t>
              <w:tab/>
              <w:t>(12,377)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w:t>
              <w:tab/>
              <w:t>(1,053)</w:t>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ind w:left="270"/>
              <w:jc w:val="left"/>
            </w:pPr>
            <w:r>
              <w:rPr>
                <w:rFonts w:ascii="Times New Roman" w:eastAsia="Times New Roman" w:hAnsi="Times New Roman" w:cs="Times New Roman"/>
                <w:b w:val="0"/>
                <w:i w:val="0"/>
                <w:color w:val="000000"/>
                <w:sz w:val="20"/>
                <w:u w:val="none"/>
              </w:rPr>
              <w:t>Interest expense</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5" w:after="30" w:line="240" w:lineRule="auto"/>
              <w:jc w:val="right"/>
            </w:pPr>
            <w:r>
              <w:rPr>
                <w:rFonts w:ascii="Times New Roman" w:eastAsia="Times New Roman" w:hAnsi="Times New Roman" w:cs="Times New Roman"/>
                <w:b w:val="0"/>
                <w:i w:val="0"/>
                <w:color w:val="000000"/>
                <w:sz w:val="20"/>
                <w:u w:val="none"/>
              </w:rPr>
              <w:tab/>
              <w:t>11,489</w:t>
              <w:tab/>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270"/>
              <w:jc w:val="left"/>
            </w:pPr>
            <w:r>
              <w:rPr>
                <w:rFonts w:ascii="Times New Roman" w:eastAsia="Times New Roman" w:hAnsi="Times New Roman" w:cs="Times New Roman"/>
                <w:b w:val="0"/>
                <w:i w:val="0"/>
                <w:color w:val="000000"/>
                <w:sz w:val="20"/>
                <w:u w:val="none"/>
              </w:rPr>
              <w:t>Other expense, net</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285</w:t>
              <w:tab/>
            </w:r>
          </w:p>
        </w:tc>
      </w:tr>
      <w:tr>
        <w:tblPrEx>
          <w:tblW w:w="10260" w:type="dxa"/>
          <w:tblInd w:w="0" w:type="dxa"/>
          <w:tblLayout w:type="fixed"/>
        </w:tblPrEx>
        <w:trPr>
          <w:trHeight w:hRule="exact" w:val="495"/>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55" w:after="30" w:line="240" w:lineRule="auto"/>
              <w:ind w:left="270" w:hanging="270"/>
              <w:jc w:val="left"/>
            </w:pPr>
            <w:r>
              <w:rPr>
                <w:rFonts w:ascii="Times New Roman" w:eastAsia="Times New Roman" w:hAnsi="Times New Roman" w:cs="Times New Roman"/>
                <w:b w:val="0"/>
                <w:i w:val="0"/>
                <w:color w:val="000000"/>
                <w:sz w:val="20"/>
                <w:u w:val="none"/>
              </w:rPr>
              <w:t>Loss before provision for income taxes and share of net income from joint venture</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536"/>
              </w:tabs>
              <w:spacing w:before="55" w:after="30" w:line="240" w:lineRule="auto"/>
              <w:jc w:val="right"/>
            </w:pPr>
            <w:r>
              <w:rPr>
                <w:rFonts w:ascii="Times New Roman" w:eastAsia="Times New Roman" w:hAnsi="Times New Roman" w:cs="Times New Roman"/>
                <w:b w:val="0"/>
                <w:i w:val="0"/>
                <w:color w:val="000000"/>
                <w:sz w:val="20"/>
                <w:u w:val="none"/>
              </w:rPr>
              <w:t>$</w:t>
              <w:tab/>
              <w:t>(12,827)</w:t>
            </w:r>
          </w:p>
        </w:tc>
      </w:tr>
    </w:tbl>
    <w:p>
      <w:pPr>
        <w:keepNext w:val="0"/>
        <w:keepLines w:val="0"/>
        <w:pageBreakBefore w:val="0"/>
        <w:widowControl w:val="0"/>
        <w:numPr>
          <w:ilvl w:val="0"/>
          <w:numId w:val="0"/>
        </w:numPr>
        <w:spacing w:before="120" w:after="0" w:line="288" w:lineRule="auto"/>
        <w:ind w:left="0" w:right="0" w:firstLine="0"/>
        <w:jc w:val="left"/>
        <w:outlineLvl w:val="9"/>
        <w:rPr>
          <w:rFonts w:ascii="Times New Roman" w:eastAsia="Times New Roman" w:hAnsi="Times New Roman" w:cs="Times New Roman"/>
          <w:b w:val="0"/>
          <w:i w:val="0"/>
          <w:color w:val="000000"/>
          <w:sz w:val="20"/>
          <w:u w:val="none"/>
        </w:rPr>
      </w:pPr>
    </w:p>
    <w:tbl>
      <w:tblPr>
        <w:tblStyle w:val="TableNormal0"/>
        <w:tblW w:w="10260" w:type="dxa"/>
        <w:jc w:val="left"/>
        <w:tblInd w:w="0" w:type="dxa"/>
        <w:tblLayout w:type="fixed"/>
      </w:tblPr>
      <w:tblGrid>
        <w:gridCol w:w="4815"/>
        <w:gridCol w:w="1305"/>
        <w:gridCol w:w="75"/>
        <w:gridCol w:w="1305"/>
        <w:gridCol w:w="75"/>
        <w:gridCol w:w="1305"/>
        <w:gridCol w:w="75"/>
        <w:gridCol w:w="1305"/>
      </w:tblGrid>
      <w:tr>
        <w:tblPrEx>
          <w:tblW w:w="10260" w:type="dxa"/>
          <w:tblInd w:w="0" w:type="dxa"/>
          <w:tblLayout w:type="fixed"/>
        </w:tblPrEx>
        <w:trPr>
          <w:trHeight w:hRule="exact" w:val="420"/>
        </w:trPr>
        <w:tc>
          <w:tcPr>
            <w:tcW w:w="481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i w:val="0"/>
                <w:color w:val="000000"/>
                <w:sz w:val="16"/>
                <w:u w:val="single"/>
              </w:rPr>
              <w:t>Six Months Ended June 30, 2025</w:t>
            </w: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Mobile</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Power</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Corporate and Eliminations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Total</w:t>
            </w:r>
          </w:p>
        </w:tc>
      </w:tr>
      <w:tr>
        <w:tblPrEx>
          <w:tblW w:w="10260" w:type="dxa"/>
          <w:tblInd w:w="0" w:type="dxa"/>
          <w:tblLayout w:type="fixed"/>
        </w:tblPrEx>
        <w:trPr>
          <w:trHeight w:hRule="exact" w:val="285"/>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Net sales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125,635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88,149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6"/>
              </w:tabs>
              <w:spacing w:before="55" w:after="30" w:line="240" w:lineRule="auto"/>
              <w:jc w:val="right"/>
            </w:pPr>
            <w:r>
              <w:rPr>
                <w:rFonts w:ascii="Times New Roman" w:eastAsia="Times New Roman" w:hAnsi="Times New Roman" w:cs="Times New Roman"/>
                <w:b w:val="0"/>
                <w:i w:val="0"/>
                <w:color w:val="000000"/>
                <w:sz w:val="20"/>
                <w:u w:val="none"/>
              </w:rPr>
              <w:tab/>
              <w:t>(175)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213,609</w:t>
              <w:tab/>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540" w:hanging="270"/>
              <w:jc w:val="left"/>
            </w:pPr>
            <w:r>
              <w:rPr>
                <w:rFonts w:ascii="Times New Roman" w:eastAsia="Times New Roman" w:hAnsi="Times New Roman" w:cs="Times New Roman"/>
                <w:b w:val="0"/>
                <w:i w:val="0"/>
                <w:color w:val="000000"/>
                <w:sz w:val="20"/>
                <w:u w:val="none"/>
              </w:rPr>
              <w:t>Cost of sales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75" w:after="30" w:line="240" w:lineRule="auto"/>
              <w:jc w:val="right"/>
            </w:pPr>
            <w:r>
              <w:rPr>
                <w:rFonts w:ascii="Times New Roman" w:eastAsia="Times New Roman" w:hAnsi="Times New Roman" w:cs="Times New Roman"/>
                <w:b w:val="0"/>
                <w:i w:val="0"/>
                <w:color w:val="000000"/>
                <w:sz w:val="20"/>
                <w:u w:val="none"/>
              </w:rPr>
              <w:tab/>
              <w:t>112,267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69,265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86"/>
              </w:tabs>
              <w:spacing w:before="75" w:after="30" w:line="240" w:lineRule="auto"/>
              <w:jc w:val="right"/>
            </w:pPr>
            <w:r>
              <w:rPr>
                <w:rFonts w:ascii="Times New Roman" w:eastAsia="Times New Roman" w:hAnsi="Times New Roman" w:cs="Times New Roman"/>
                <w:b w:val="0"/>
                <w:i w:val="0"/>
                <w:color w:val="000000"/>
                <w:sz w:val="20"/>
                <w:u w:val="none"/>
              </w:rPr>
              <w:tab/>
              <w:t>(187)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75" w:after="30" w:line="240" w:lineRule="auto"/>
              <w:jc w:val="right"/>
            </w:pPr>
            <w:r>
              <w:rPr>
                <w:rFonts w:ascii="Times New Roman" w:eastAsia="Times New Roman" w:hAnsi="Times New Roman" w:cs="Times New Roman"/>
                <w:b w:val="0"/>
                <w:i w:val="0"/>
                <w:color w:val="000000"/>
                <w:sz w:val="20"/>
                <w:u w:val="none"/>
              </w:rPr>
              <w:tab/>
              <w:t>181,345</w:t>
              <w:tab/>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ind w:left="540" w:hanging="270"/>
              <w:jc w:val="left"/>
            </w:pPr>
            <w:r>
              <w:rPr>
                <w:rFonts w:ascii="Times New Roman" w:eastAsia="Times New Roman" w:hAnsi="Times New Roman" w:cs="Times New Roman"/>
                <w:b w:val="0"/>
                <w:i w:val="0"/>
                <w:color w:val="000000"/>
                <w:sz w:val="20"/>
                <w:u w:val="none"/>
              </w:rPr>
              <w:t>Selling, general, and administrative expense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7,323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5,069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10,873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23,265</w:t>
              <w:tab/>
            </w:r>
          </w:p>
        </w:tc>
      </w:tr>
      <w:tr>
        <w:tblPrEx>
          <w:tblW w:w="10260" w:type="dxa"/>
          <w:tblInd w:w="0" w:type="dxa"/>
          <w:tblLayout w:type="fixed"/>
        </w:tblPrEx>
        <w:trPr>
          <w:trHeight w:hRule="exact" w:val="285"/>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540" w:hanging="270"/>
              <w:jc w:val="left"/>
            </w:pPr>
            <w:r>
              <w:rPr>
                <w:rFonts w:ascii="Times New Roman" w:eastAsia="Times New Roman" w:hAnsi="Times New Roman" w:cs="Times New Roman"/>
                <w:b w:val="0"/>
                <w:i w:val="0"/>
                <w:color w:val="000000"/>
                <w:sz w:val="20"/>
                <w:u w:val="none"/>
              </w:rPr>
              <w:t>Depreciation expense</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8,503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1,584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794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10,881</w:t>
              <w:tab/>
            </w:r>
          </w:p>
        </w:tc>
      </w:tr>
      <w:tr>
        <w:tblPrEx>
          <w:tblW w:w="10260" w:type="dxa"/>
          <w:tblInd w:w="0" w:type="dxa"/>
          <w:tblLayout w:type="fixed"/>
        </w:tblPrEx>
        <w:trPr>
          <w:trHeight w:hRule="exact" w:val="285"/>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ind w:left="540" w:hanging="270"/>
              <w:jc w:val="left"/>
            </w:pPr>
            <w:r>
              <w:rPr>
                <w:rFonts w:ascii="Times New Roman" w:eastAsia="Times New Roman" w:hAnsi="Times New Roman" w:cs="Times New Roman"/>
                <w:b w:val="0"/>
                <w:i w:val="0"/>
                <w:color w:val="000000"/>
                <w:sz w:val="20"/>
                <w:u w:val="none"/>
              </w:rPr>
              <w:t>Other segment items (1)</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1,339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3,426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86"/>
              </w:tabs>
              <w:spacing w:before="75" w:after="30" w:line="240" w:lineRule="auto"/>
              <w:jc w:val="right"/>
            </w:pPr>
            <w:r>
              <w:rPr>
                <w:rFonts w:ascii="Times New Roman" w:eastAsia="Times New Roman" w:hAnsi="Times New Roman" w:cs="Times New Roman"/>
                <w:b w:val="0"/>
                <w:i w:val="0"/>
                <w:color w:val="000000"/>
                <w:sz w:val="20"/>
                <w:u w:val="none"/>
              </w:rPr>
              <w:tab/>
              <w:t>(394)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4,371</w:t>
              <w:tab/>
            </w:r>
          </w:p>
        </w:tc>
      </w:tr>
      <w:tr>
        <w:tblPrEx>
          <w:tblW w:w="10260" w:type="dxa"/>
          <w:tblInd w:w="0" w:type="dxa"/>
          <w:tblLayout w:type="fixed"/>
        </w:tblPrEx>
        <w:trPr>
          <w:trHeight w:hRule="exact" w:val="285"/>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Segment operating (loss) income</w:t>
            </w: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w:t>
              <w:tab/>
              <w:t>(3,797)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8,805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536"/>
              </w:tabs>
              <w:spacing w:before="55" w:after="30" w:line="240" w:lineRule="auto"/>
              <w:jc w:val="right"/>
            </w:pPr>
            <w:r>
              <w:rPr>
                <w:rFonts w:ascii="Times New Roman" w:eastAsia="Times New Roman" w:hAnsi="Times New Roman" w:cs="Times New Roman"/>
                <w:b w:val="0"/>
                <w:i w:val="0"/>
                <w:color w:val="000000"/>
                <w:sz w:val="20"/>
                <w:u w:val="none"/>
              </w:rPr>
              <w:t>$</w:t>
              <w:tab/>
              <w:t>(11,261)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w:t>
              <w:tab/>
              <w:t>(6,253)</w:t>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ind w:left="270"/>
              <w:jc w:val="left"/>
            </w:pPr>
            <w:r>
              <w:rPr>
                <w:rFonts w:ascii="Times New Roman" w:eastAsia="Times New Roman" w:hAnsi="Times New Roman" w:cs="Times New Roman"/>
                <w:b w:val="0"/>
                <w:i w:val="0"/>
                <w:color w:val="000000"/>
                <w:sz w:val="20"/>
                <w:u w:val="none"/>
              </w:rPr>
              <w:t>Interest expense</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5" w:after="30" w:line="240" w:lineRule="auto"/>
              <w:jc w:val="right"/>
            </w:pPr>
            <w:r>
              <w:rPr>
                <w:rFonts w:ascii="Times New Roman" w:eastAsia="Times New Roman" w:hAnsi="Times New Roman" w:cs="Times New Roman"/>
                <w:b w:val="0"/>
                <w:i w:val="0"/>
                <w:color w:val="000000"/>
                <w:sz w:val="20"/>
                <w:u w:val="none"/>
              </w:rPr>
              <w:tab/>
              <w:t>10,851</w:t>
              <w:tab/>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270"/>
              <w:jc w:val="left"/>
            </w:pPr>
            <w:r>
              <w:rPr>
                <w:rFonts w:ascii="Times New Roman" w:eastAsia="Times New Roman" w:hAnsi="Times New Roman" w:cs="Times New Roman"/>
                <w:b w:val="0"/>
                <w:i w:val="0"/>
                <w:color w:val="000000"/>
                <w:sz w:val="20"/>
                <w:u w:val="none"/>
              </w:rPr>
              <w:t>Loss on extinguishment of debt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spacing w:before="75" w:after="30" w:line="240" w:lineRule="auto"/>
              <w:jc w:val="right"/>
            </w:pPr>
          </w:p>
        </w:tc>
        <w:tc>
          <w:tcPr>
            <w:tcW w:w="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spacing w:before="75" w:after="30" w:line="240" w:lineRule="auto"/>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spacing w:before="75" w:after="30" w:line="240" w:lineRule="auto"/>
              <w:jc w:val="right"/>
            </w:pPr>
          </w:p>
        </w:tc>
        <w:tc>
          <w:tcPr>
            <w:tcW w:w="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spacing w:before="75" w:after="30" w:line="240" w:lineRule="auto"/>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spacing w:before="75" w:after="30" w:line="240" w:lineRule="auto"/>
              <w:jc w:val="right"/>
            </w:pPr>
          </w:p>
        </w:tc>
        <w:tc>
          <w:tcPr>
            <w:tcW w:w="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spacing w:before="75" w:after="30" w:line="240" w:lineRule="auto"/>
              <w:jc w:val="right"/>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3,007</w:t>
              <w:tab/>
            </w:r>
          </w:p>
        </w:tc>
      </w:tr>
      <w:tr>
        <w:tblPrEx>
          <w:tblW w:w="10260" w:type="dxa"/>
          <w:tblInd w:w="0" w:type="dxa"/>
          <w:tblLayout w:type="fixed"/>
        </w:tblPrEx>
        <w:trPr>
          <w:trHeight w:hRule="exact" w:val="300"/>
        </w:trPr>
        <w:tc>
          <w:tcPr>
            <w:tcW w:w="481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ind w:left="270"/>
              <w:jc w:val="left"/>
            </w:pPr>
            <w:r>
              <w:rPr>
                <w:rFonts w:ascii="Times New Roman" w:eastAsia="Times New Roman" w:hAnsi="Times New Roman" w:cs="Times New Roman"/>
                <w:b w:val="0"/>
                <w:i w:val="0"/>
                <w:color w:val="000000"/>
                <w:sz w:val="20"/>
                <w:u w:val="none"/>
              </w:rPr>
              <w:t>Other income, net</w:t>
            </w: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36"/>
              </w:tabs>
              <w:spacing w:before="75" w:after="30" w:line="240" w:lineRule="auto"/>
              <w:jc w:val="right"/>
            </w:pPr>
            <w:r>
              <w:rPr>
                <w:rFonts w:ascii="Times New Roman" w:eastAsia="Times New Roman" w:hAnsi="Times New Roman" w:cs="Times New Roman"/>
                <w:b w:val="0"/>
                <w:i w:val="0"/>
                <w:color w:val="000000"/>
                <w:sz w:val="20"/>
                <w:u w:val="none"/>
              </w:rPr>
              <w:tab/>
              <w:t>(2,788)</w:t>
            </w:r>
          </w:p>
        </w:tc>
      </w:tr>
      <w:tr>
        <w:tblPrEx>
          <w:tblW w:w="10260" w:type="dxa"/>
          <w:tblInd w:w="0" w:type="dxa"/>
          <w:tblLayout w:type="fixed"/>
        </w:tblPrEx>
        <w:trPr>
          <w:trHeight w:hRule="exact" w:val="495"/>
        </w:trPr>
        <w:tc>
          <w:tcPr>
            <w:tcW w:w="481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5" w:after="30" w:line="240" w:lineRule="auto"/>
              <w:ind w:left="270" w:hanging="270"/>
              <w:jc w:val="left"/>
            </w:pPr>
            <w:r>
              <w:rPr>
                <w:rFonts w:ascii="Times New Roman" w:eastAsia="Times New Roman" w:hAnsi="Times New Roman" w:cs="Times New Roman"/>
                <w:b w:val="0"/>
                <w:i w:val="0"/>
                <w:color w:val="000000"/>
                <w:sz w:val="20"/>
                <w:u w:val="none"/>
              </w:rPr>
              <w:t>Loss before provision for income taxes and share of net income from joint venture</w:t>
            </w: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536"/>
              </w:tabs>
              <w:spacing w:before="55" w:after="30" w:line="240" w:lineRule="auto"/>
              <w:jc w:val="right"/>
            </w:pPr>
            <w:r>
              <w:rPr>
                <w:rFonts w:ascii="Times New Roman" w:eastAsia="Times New Roman" w:hAnsi="Times New Roman" w:cs="Times New Roman"/>
                <w:b w:val="0"/>
                <w:i w:val="0"/>
                <w:color w:val="000000"/>
                <w:sz w:val="20"/>
                <w:u w:val="none"/>
              </w:rPr>
              <w:t>$</w:t>
              <w:tab/>
              <w:t>(17,323)</w:t>
            </w:r>
          </w:p>
        </w:tc>
      </w:tr>
    </w:tbl>
    <w:p>
      <w:pPr>
        <w:keepNext/>
        <w:keepLines/>
        <w:pageBreakBefore w:val="0"/>
        <w:widowControl w:val="0"/>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16"/>
          <w:u w:val="none"/>
        </w:rPr>
      </w:pPr>
      <w:r>
        <w:rPr>
          <w:rFonts w:ascii="Times New Roman" w:eastAsia="Times New Roman" w:hAnsi="Times New Roman" w:cs="Times New Roman"/>
          <w:b w:val="0"/>
          <w:i w:val="0"/>
          <w:color w:val="000000"/>
          <w:sz w:val="16"/>
          <w:u w:val="none"/>
        </w:rPr>
        <w:t>_______________________________</w:t>
      </w:r>
    </w:p>
    <w:p>
      <w:pPr>
        <w:keepNext w:val="0"/>
        <w:keepLines w:val="0"/>
        <w:pageBreakBefore w:val="0"/>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60" w:after="60" w:line="288" w:lineRule="auto"/>
        <w:ind w:left="54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(1)</w:t>
      </w:r>
      <w:r>
        <w:rPr>
          <w:rFonts w:ascii="Times New Roman" w:eastAsia="Times New Roman" w:hAnsi="Times New Roman" w:cs="Times New Roman"/>
          <w:b w:val="0"/>
          <w:i w:val="0"/>
          <w:color w:val="000000"/>
          <w:sz w:val="20"/>
          <w:u w:val="none"/>
        </w:rPr>
        <w:tab/>
      </w:r>
      <w:r>
        <w:rPr>
          <w:rFonts w:ascii="Times New Roman" w:eastAsia="Times New Roman" w:hAnsi="Times New Roman" w:cs="Times New Roman"/>
          <w:b w:val="0"/>
          <w:i w:val="0"/>
          <w:color w:val="000000"/>
          <w:sz w:val="20"/>
          <w:u w:val="none"/>
        </w:rPr>
        <w:t>Other segment items includes amortization expense and other operating expenses and income.</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18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presents capital expenditures and depreciation and amortization by reportable segment.</w:t>
      </w:r>
    </w:p>
    <w:tbl>
      <w:tblPr>
        <w:tblStyle w:val="TableNormal0"/>
        <w:tblW w:w="10260" w:type="dxa"/>
        <w:jc w:val="left"/>
        <w:tblInd w:w="0" w:type="dxa"/>
        <w:tblLayout w:type="fixed"/>
      </w:tblPr>
      <w:tblGrid>
        <w:gridCol w:w="5235"/>
        <w:gridCol w:w="1200"/>
        <w:gridCol w:w="75"/>
        <w:gridCol w:w="1200"/>
        <w:gridCol w:w="75"/>
        <w:gridCol w:w="1200"/>
        <w:gridCol w:w="75"/>
        <w:gridCol w:w="1200"/>
      </w:tblGrid>
      <w:tr>
        <w:tblPrEx>
          <w:tblW w:w="10260" w:type="dxa"/>
          <w:tblInd w:w="0" w:type="dxa"/>
          <w:tblLayout w:type="fixed"/>
        </w:tblPrEx>
        <w:trPr>
          <w:trHeight w:hRule="exact" w:val="420"/>
        </w:trPr>
        <w:tc>
          <w:tcPr>
            <w:tcW w:w="523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16"/>
              </w:rPr>
            </w:pPr>
          </w:p>
        </w:tc>
        <w:tc>
          <w:tcPr>
            <w:tcW w:w="2475" w:type="dxa"/>
            <w:gridSpan w:val="3"/>
            <w:tcBorders>
              <w:top w:val="nil"/>
              <w:left w:val="nil"/>
              <w:bottom w:val="nil"/>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 xml:space="preserve">Three Months Ended </w:t>
            </w:r>
          </w:p>
          <w:p>
            <w:pPr>
              <w:spacing w:after="30" w:line="240" w:lineRule="auto"/>
              <w:jc w:val="center"/>
            </w:pPr>
            <w:r>
              <w:rPr>
                <w:rFonts w:ascii="Times New Roman" w:eastAsia="Times New Roman" w:hAnsi="Times New Roman" w:cs="Times New Roman"/>
                <w:b/>
                <w:i w:val="0"/>
                <w:color w:val="000000"/>
                <w:sz w:val="16"/>
                <w:u w:val="none"/>
              </w:rPr>
              <w:t>June 30,</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16"/>
              </w:rPr>
            </w:pPr>
          </w:p>
        </w:tc>
        <w:tc>
          <w:tcPr>
            <w:tcW w:w="2475" w:type="dxa"/>
            <w:gridSpan w:val="3"/>
            <w:tcBorders>
              <w:top w:val="nil"/>
              <w:left w:val="nil"/>
              <w:bottom w:val="nil"/>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 xml:space="preserve">Six Months Ended </w:t>
            </w:r>
          </w:p>
          <w:p>
            <w:pPr>
              <w:spacing w:after="30" w:line="240" w:lineRule="auto"/>
              <w:jc w:val="center"/>
            </w:pPr>
            <w:r>
              <w:rPr>
                <w:rFonts w:ascii="Times New Roman" w:eastAsia="Times New Roman" w:hAnsi="Times New Roman" w:cs="Times New Roman"/>
                <w:b/>
                <w:i w:val="0"/>
                <w:color w:val="000000"/>
                <w:sz w:val="16"/>
                <w:u w:val="none"/>
              </w:rPr>
              <w:t>June 30,</w:t>
            </w:r>
          </w:p>
        </w:tc>
      </w:tr>
      <w:tr>
        <w:tblPrEx>
          <w:tblW w:w="10260" w:type="dxa"/>
          <w:tblInd w:w="0" w:type="dxa"/>
          <w:tblLayout w:type="fixed"/>
        </w:tblPrEx>
        <w:trPr>
          <w:trHeight w:hRule="exact" w:val="255"/>
        </w:trPr>
        <w:tc>
          <w:tcPr>
            <w:tcW w:w="523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16"/>
              </w:rPr>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2025</w:t>
            </w:r>
          </w:p>
        </w:tc>
      </w:tr>
      <w:tr>
        <w:tblPrEx>
          <w:tblW w:w="10260" w:type="dxa"/>
          <w:tblInd w:w="0" w:type="dxa"/>
          <w:tblLayout w:type="fixed"/>
        </w:tblPrEx>
        <w:trPr>
          <w:trHeight w:hRule="exact" w:val="315"/>
        </w:trPr>
        <w:tc>
          <w:tcPr>
            <w:tcW w:w="52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Capital expenditures:</w:t>
            </w:r>
          </w:p>
        </w:tc>
        <w:tc>
          <w:tcPr>
            <w:tcW w:w="12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315"/>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240"/>
              <w:jc w:val="left"/>
            </w:pPr>
            <w:r>
              <w:rPr>
                <w:rFonts w:ascii="Times New Roman" w:eastAsia="Times New Roman" w:hAnsi="Times New Roman" w:cs="Times New Roman"/>
                <w:b w:val="0"/>
                <w:i w:val="0"/>
                <w:color w:val="000000"/>
                <w:sz w:val="20"/>
                <w:u w:val="none"/>
              </w:rPr>
              <w:t>Mobile Solutions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w:t>
              <w:tab/>
              <w:t>4,013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w:t>
              <w:tab/>
              <w:t>2,865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w:t>
              <w:tab/>
              <w:t>6,924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w:t>
              <w:tab/>
              <w:t>5,531</w:t>
              <w:tab/>
            </w:r>
          </w:p>
        </w:tc>
      </w:tr>
      <w:tr>
        <w:tblPrEx>
          <w:tblW w:w="10260" w:type="dxa"/>
          <w:tblInd w:w="0" w:type="dxa"/>
          <w:tblLayout w:type="fixed"/>
        </w:tblPrEx>
        <w:trPr>
          <w:trHeight w:hRule="exact" w:val="315"/>
        </w:trPr>
        <w:tc>
          <w:tcPr>
            <w:tcW w:w="52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ind w:left="240"/>
              <w:jc w:val="left"/>
            </w:pPr>
            <w:r>
              <w:rPr>
                <w:rFonts w:ascii="Times New Roman" w:eastAsia="Times New Roman" w:hAnsi="Times New Roman" w:cs="Times New Roman"/>
                <w:b w:val="0"/>
                <w:i w:val="0"/>
                <w:color w:val="000000"/>
                <w:sz w:val="20"/>
                <w:u w:val="none"/>
              </w:rPr>
              <w:t>Power Solutions</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75" w:after="30" w:line="240" w:lineRule="auto"/>
              <w:jc w:val="right"/>
            </w:pPr>
            <w:r>
              <w:rPr>
                <w:rFonts w:ascii="Times New Roman" w:eastAsia="Times New Roman" w:hAnsi="Times New Roman" w:cs="Times New Roman"/>
                <w:b w:val="0"/>
                <w:i w:val="0"/>
                <w:color w:val="000000"/>
                <w:sz w:val="20"/>
                <w:u w:val="none"/>
              </w:rPr>
              <w:tab/>
              <w:t>848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75" w:after="30" w:line="240" w:lineRule="auto"/>
              <w:jc w:val="right"/>
            </w:pPr>
            <w:r>
              <w:rPr>
                <w:rFonts w:ascii="Times New Roman" w:eastAsia="Times New Roman" w:hAnsi="Times New Roman" w:cs="Times New Roman"/>
                <w:b w:val="0"/>
                <w:i w:val="0"/>
                <w:color w:val="000000"/>
                <w:sz w:val="20"/>
                <w:u w:val="none"/>
              </w:rPr>
              <w:tab/>
              <w:t>338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ab/>
              <w:t>1,050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ab/>
              <w:t>1,212</w:t>
              <w:tab/>
            </w:r>
          </w:p>
        </w:tc>
      </w:tr>
      <w:tr>
        <w:tblPrEx>
          <w:tblW w:w="10260" w:type="dxa"/>
          <w:tblInd w:w="0" w:type="dxa"/>
          <w:tblLayout w:type="fixed"/>
        </w:tblPrEx>
        <w:trPr>
          <w:trHeight w:hRule="exact" w:val="315"/>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240"/>
              <w:jc w:val="left"/>
            </w:pPr>
            <w:r>
              <w:rPr>
                <w:rFonts w:ascii="Times New Roman" w:eastAsia="Times New Roman" w:hAnsi="Times New Roman" w:cs="Times New Roman"/>
                <w:b w:val="0"/>
                <w:i w:val="0"/>
                <w:color w:val="000000"/>
                <w:sz w:val="20"/>
                <w:u w:val="none"/>
              </w:rPr>
              <w:t>Corporate</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67"/>
                <w:tab w:val="left" w:pos="1132"/>
              </w:tabs>
              <w:spacing w:before="75" w:after="30" w:line="240" w:lineRule="auto"/>
              <w:jc w:val="right"/>
            </w:pPr>
            <w:r>
              <w:rPr>
                <w:rFonts w:ascii="Times New Roman" w:eastAsia="Times New Roman" w:hAnsi="Times New Roman" w:cs="Times New Roman"/>
                <w:b w:val="0"/>
                <w:i w:val="0"/>
                <w:color w:val="000000"/>
                <w:sz w:val="20"/>
                <w:u w:val="none"/>
              </w:rPr>
              <w:tab/>
              <w:t>367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67"/>
                <w:tab w:val="left" w:pos="1132"/>
              </w:tabs>
              <w:spacing w:before="75" w:after="30" w:line="240" w:lineRule="auto"/>
              <w:jc w:val="right"/>
            </w:pPr>
            <w:r>
              <w:rPr>
                <w:rFonts w:ascii="Times New Roman" w:eastAsia="Times New Roman" w:hAnsi="Times New Roman" w:cs="Times New Roman"/>
                <w:b w:val="0"/>
                <w:i w:val="0"/>
                <w:color w:val="000000"/>
                <w:sz w:val="20"/>
                <w:u w:val="none"/>
              </w:rPr>
              <w:tab/>
              <w:t>520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67"/>
                <w:tab w:val="left" w:pos="1132"/>
              </w:tabs>
              <w:spacing w:before="75" w:after="30" w:line="240" w:lineRule="auto"/>
              <w:jc w:val="right"/>
            </w:pPr>
            <w:r>
              <w:rPr>
                <w:rFonts w:ascii="Times New Roman" w:eastAsia="Times New Roman" w:hAnsi="Times New Roman" w:cs="Times New Roman"/>
                <w:b w:val="0"/>
                <w:i w:val="0"/>
                <w:color w:val="000000"/>
                <w:sz w:val="20"/>
                <w:u w:val="none"/>
              </w:rPr>
              <w:tab/>
              <w:t>551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67"/>
                <w:tab w:val="left" w:pos="1132"/>
              </w:tabs>
              <w:spacing w:before="75" w:after="30" w:line="240" w:lineRule="auto"/>
              <w:jc w:val="right"/>
            </w:pPr>
            <w:r>
              <w:rPr>
                <w:rFonts w:ascii="Times New Roman" w:eastAsia="Times New Roman" w:hAnsi="Times New Roman" w:cs="Times New Roman"/>
                <w:b w:val="0"/>
                <w:i w:val="0"/>
                <w:color w:val="000000"/>
                <w:sz w:val="20"/>
                <w:u w:val="none"/>
              </w:rPr>
              <w:tab/>
              <w:t>887</w:t>
              <w:tab/>
            </w:r>
          </w:p>
        </w:tc>
      </w:tr>
      <w:tr>
        <w:tblPrEx>
          <w:tblW w:w="10260" w:type="dxa"/>
          <w:tblInd w:w="0" w:type="dxa"/>
          <w:tblLayout w:type="fixed"/>
        </w:tblPrEx>
        <w:trPr>
          <w:trHeight w:hRule="exact" w:val="315"/>
        </w:trPr>
        <w:tc>
          <w:tcPr>
            <w:tcW w:w="52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ind w:left="240"/>
              <w:jc w:val="left"/>
            </w:pPr>
            <w:r>
              <w:rPr>
                <w:rFonts w:ascii="Times New Roman" w:eastAsia="Times New Roman" w:hAnsi="Times New Roman" w:cs="Times New Roman"/>
                <w:b w:val="0"/>
                <w:i w:val="0"/>
                <w:color w:val="000000"/>
                <w:sz w:val="20"/>
                <w:u w:val="none"/>
              </w:rPr>
              <w:t>Total</w:t>
            </w: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5,228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3,723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8,525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7,630</w:t>
              <w:tab/>
            </w:r>
          </w:p>
        </w:tc>
      </w:tr>
      <w:tr>
        <w:tblPrEx>
          <w:tblW w:w="10260" w:type="dxa"/>
          <w:tblInd w:w="0" w:type="dxa"/>
          <w:tblLayout w:type="fixed"/>
        </w:tblPrEx>
        <w:trPr>
          <w:trHeight w:hRule="exact" w:val="315"/>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15" w:after="30" w:line="240" w:lineRule="auto"/>
              <w:jc w:val="left"/>
            </w:pPr>
            <w:r>
              <w:rPr>
                <w:rFonts w:ascii="Times New Roman" w:eastAsia="Times New Roman" w:hAnsi="Times New Roman" w:cs="Times New Roman"/>
                <w:b w:val="0"/>
                <w:i w:val="0"/>
                <w:color w:val="000000"/>
                <w:sz w:val="20"/>
                <w:u w:val="none"/>
              </w:rPr>
              <w:t xml:space="preserve">Depreciation and amortization: </w:t>
            </w: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315"/>
        </w:trPr>
        <w:tc>
          <w:tcPr>
            <w:tcW w:w="52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ind w:left="240"/>
              <w:jc w:val="left"/>
            </w:pPr>
            <w:r>
              <w:rPr>
                <w:rFonts w:ascii="Times New Roman" w:eastAsia="Times New Roman" w:hAnsi="Times New Roman" w:cs="Times New Roman"/>
                <w:b w:val="0"/>
                <w:i w:val="0"/>
                <w:color w:val="000000"/>
                <w:sz w:val="20"/>
                <w:u w:val="none"/>
              </w:rPr>
              <w:t>Mobile Solutions</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w:t>
              <w:tab/>
              <w:t>5,627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w:t>
              <w:tab/>
              <w:t>5,133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75" w:after="30" w:line="240" w:lineRule="auto"/>
              <w:jc w:val="right"/>
            </w:pPr>
            <w:r>
              <w:rPr>
                <w:rFonts w:ascii="Times New Roman" w:eastAsia="Times New Roman" w:hAnsi="Times New Roman" w:cs="Times New Roman"/>
                <w:b w:val="0"/>
                <w:i w:val="0"/>
                <w:color w:val="000000"/>
                <w:sz w:val="20"/>
                <w:u w:val="none"/>
              </w:rPr>
              <w:t>$</w:t>
              <w:tab/>
              <w:t>11,128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75" w:after="30" w:line="240" w:lineRule="auto"/>
              <w:jc w:val="right"/>
            </w:pPr>
            <w:r>
              <w:rPr>
                <w:rFonts w:ascii="Times New Roman" w:eastAsia="Times New Roman" w:hAnsi="Times New Roman" w:cs="Times New Roman"/>
                <w:b w:val="0"/>
                <w:i w:val="0"/>
                <w:color w:val="000000"/>
                <w:sz w:val="20"/>
                <w:u w:val="none"/>
              </w:rPr>
              <w:t>$</w:t>
              <w:tab/>
              <w:t>10,180</w:t>
              <w:tab/>
            </w:r>
          </w:p>
        </w:tc>
      </w:tr>
      <w:tr>
        <w:tblPrEx>
          <w:tblW w:w="10260" w:type="dxa"/>
          <w:tblInd w:w="0" w:type="dxa"/>
          <w:tblLayout w:type="fixed"/>
        </w:tblPrEx>
        <w:trPr>
          <w:trHeight w:hRule="exact" w:val="315"/>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240"/>
              <w:jc w:val="left"/>
            </w:pPr>
            <w:r>
              <w:rPr>
                <w:rFonts w:ascii="Times New Roman" w:eastAsia="Times New Roman" w:hAnsi="Times New Roman" w:cs="Times New Roman"/>
                <w:b w:val="0"/>
                <w:i w:val="0"/>
                <w:color w:val="000000"/>
                <w:sz w:val="20"/>
                <w:u w:val="none"/>
              </w:rPr>
              <w:t>Power Solutions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ab/>
              <w:t>3,348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ab/>
              <w:t>3,371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ab/>
              <w:t>6,715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ab/>
              <w:t>6,718</w:t>
              <w:tab/>
            </w:r>
          </w:p>
        </w:tc>
      </w:tr>
      <w:tr>
        <w:tblPrEx>
          <w:tblW w:w="10260" w:type="dxa"/>
          <w:tblInd w:w="0" w:type="dxa"/>
          <w:tblLayout w:type="fixed"/>
        </w:tblPrEx>
        <w:trPr>
          <w:trHeight w:hRule="exact" w:val="315"/>
        </w:trPr>
        <w:tc>
          <w:tcPr>
            <w:tcW w:w="52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ind w:left="240"/>
              <w:jc w:val="left"/>
            </w:pPr>
            <w:r>
              <w:rPr>
                <w:rFonts w:ascii="Times New Roman" w:eastAsia="Times New Roman" w:hAnsi="Times New Roman" w:cs="Times New Roman"/>
                <w:b w:val="0"/>
                <w:i w:val="0"/>
                <w:color w:val="000000"/>
                <w:sz w:val="20"/>
                <w:u w:val="none"/>
              </w:rPr>
              <w:t>Corporate</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75" w:after="30" w:line="240" w:lineRule="auto"/>
              <w:jc w:val="right"/>
            </w:pPr>
            <w:r>
              <w:rPr>
                <w:rFonts w:ascii="Times New Roman" w:eastAsia="Times New Roman" w:hAnsi="Times New Roman" w:cs="Times New Roman"/>
                <w:b w:val="0"/>
                <w:i w:val="0"/>
                <w:color w:val="000000"/>
                <w:sz w:val="20"/>
                <w:u w:val="none"/>
              </w:rPr>
              <w:tab/>
              <w:t>369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75" w:after="30" w:line="240" w:lineRule="auto"/>
              <w:jc w:val="right"/>
            </w:pPr>
            <w:r>
              <w:rPr>
                <w:rFonts w:ascii="Times New Roman" w:eastAsia="Times New Roman" w:hAnsi="Times New Roman" w:cs="Times New Roman"/>
                <w:b w:val="0"/>
                <w:i w:val="0"/>
                <w:color w:val="000000"/>
                <w:sz w:val="20"/>
                <w:u w:val="none"/>
              </w:rPr>
              <w:tab/>
              <w:t>414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75" w:after="30" w:line="240" w:lineRule="auto"/>
              <w:jc w:val="right"/>
            </w:pPr>
            <w:r>
              <w:rPr>
                <w:rFonts w:ascii="Times New Roman" w:eastAsia="Times New Roman" w:hAnsi="Times New Roman" w:cs="Times New Roman"/>
                <w:b w:val="0"/>
                <w:i w:val="0"/>
                <w:color w:val="000000"/>
                <w:sz w:val="20"/>
                <w:u w:val="none"/>
              </w:rPr>
              <w:tab/>
              <w:t>741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75" w:after="30" w:line="240" w:lineRule="auto"/>
              <w:jc w:val="right"/>
            </w:pPr>
            <w:r>
              <w:rPr>
                <w:rFonts w:ascii="Times New Roman" w:eastAsia="Times New Roman" w:hAnsi="Times New Roman" w:cs="Times New Roman"/>
                <w:b w:val="0"/>
                <w:i w:val="0"/>
                <w:color w:val="000000"/>
                <w:sz w:val="20"/>
                <w:u w:val="none"/>
              </w:rPr>
              <w:tab/>
              <w:t>794</w:t>
              <w:tab/>
            </w:r>
          </w:p>
        </w:tc>
      </w:tr>
      <w:tr>
        <w:tblPrEx>
          <w:tblW w:w="10260" w:type="dxa"/>
          <w:tblInd w:w="0" w:type="dxa"/>
          <w:tblLayout w:type="fixed"/>
        </w:tblPrEx>
        <w:trPr>
          <w:trHeight w:hRule="exact" w:val="315"/>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5" w:after="30" w:line="240" w:lineRule="auto"/>
              <w:ind w:left="240"/>
              <w:jc w:val="left"/>
            </w:pPr>
            <w:r>
              <w:rPr>
                <w:rFonts w:ascii="Times New Roman" w:eastAsia="Times New Roman" w:hAnsi="Times New Roman" w:cs="Times New Roman"/>
                <w:b w:val="0"/>
                <w:i w:val="0"/>
                <w:color w:val="000000"/>
                <w:sz w:val="20"/>
                <w:u w:val="none"/>
              </w:rPr>
              <w:t>Total</w:t>
            </w: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61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9,344</w:t>
              <w:tab/>
            </w:r>
          </w:p>
        </w:tc>
        <w:tc>
          <w:tcPr>
            <w:tcW w:w="75" w:type="dxa"/>
            <w:tcBorders>
              <w:top w:val="nil"/>
              <w:left w:val="nil"/>
              <w:bottom w:val="double" w:sz="8" w:space="0" w:color="000000"/>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61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8,918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51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18,584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51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17,692</w:t>
              <w:tab/>
            </w:r>
          </w:p>
        </w:tc>
      </w:tr>
    </w:tbl>
    <w:p>
      <w:pPr>
        <w:keepNext/>
        <w:keepLines/>
        <w:pageBreakBefore w:val="0"/>
        <w:widowControl w:val="0"/>
        <w:numPr>
          <w:ilvl w:val="0"/>
          <w:numId w:val="0"/>
        </w:numPr>
        <w:spacing w:before="18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total assets by reportable segment.</w:t>
      </w:r>
    </w:p>
    <w:tbl>
      <w:tblPr>
        <w:tblStyle w:val="TableNormal0"/>
        <w:tblW w:w="10260" w:type="dxa"/>
        <w:jc w:val="left"/>
        <w:tblInd w:w="0" w:type="dxa"/>
        <w:tblLayout w:type="fixed"/>
      </w:tblPr>
      <w:tblGrid>
        <w:gridCol w:w="7185"/>
        <w:gridCol w:w="1500"/>
        <w:gridCol w:w="75"/>
        <w:gridCol w:w="1500"/>
      </w:tblGrid>
      <w:tr>
        <w:tblPrEx>
          <w:tblW w:w="10260" w:type="dxa"/>
          <w:tblInd w:w="0" w:type="dxa"/>
          <w:tblLayout w:type="fixed"/>
        </w:tblPrEx>
        <w:trPr>
          <w:trHeight w:hRule="auto" w:val="0"/>
        </w:trPr>
        <w:tc>
          <w:tcPr>
            <w:tcW w:w="71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5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June 30, 2026</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5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December 31, 2025</w:t>
            </w:r>
          </w:p>
        </w:tc>
      </w:tr>
      <w:tr>
        <w:tblPrEx>
          <w:tblW w:w="10260" w:type="dxa"/>
          <w:tblInd w:w="0" w:type="dxa"/>
          <w:tblLayout w:type="fixed"/>
        </w:tblPrEx>
        <w:trPr>
          <w:trHeight w:hRule="auto" w:val="0"/>
        </w:trPr>
        <w:tc>
          <w:tcPr>
            <w:tcW w:w="71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45" w:after="20" w:line="240" w:lineRule="auto"/>
              <w:jc w:val="left"/>
            </w:pPr>
            <w:r>
              <w:rPr>
                <w:rFonts w:ascii="Times New Roman" w:eastAsia="Times New Roman" w:hAnsi="Times New Roman" w:cs="Times New Roman"/>
                <w:b w:val="0"/>
                <w:i w:val="0"/>
                <w:color w:val="000000"/>
                <w:sz w:val="20"/>
                <w:u w:val="none"/>
              </w:rPr>
              <w:t>Mobile Solutions (1)</w:t>
            </w: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17"/>
                <w:tab w:val="left" w:pos="1432"/>
              </w:tabs>
              <w:spacing w:before="45" w:after="20" w:line="240" w:lineRule="auto"/>
              <w:jc w:val="right"/>
            </w:pPr>
            <w:r>
              <w:rPr>
                <w:rFonts w:ascii="Times New Roman" w:eastAsia="Times New Roman" w:hAnsi="Times New Roman" w:cs="Times New Roman"/>
                <w:b w:val="0"/>
                <w:i w:val="0"/>
                <w:color w:val="000000"/>
                <w:sz w:val="20"/>
                <w:u w:val="none"/>
              </w:rPr>
              <w:t>$</w:t>
              <w:tab/>
              <w:t>298,790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17"/>
                <w:tab w:val="left" w:pos="1432"/>
              </w:tabs>
              <w:spacing w:before="45" w:after="20" w:line="240" w:lineRule="auto"/>
              <w:jc w:val="right"/>
            </w:pPr>
            <w:r>
              <w:rPr>
                <w:rFonts w:ascii="Times New Roman" w:eastAsia="Times New Roman" w:hAnsi="Times New Roman" w:cs="Times New Roman"/>
                <w:b w:val="0"/>
                <w:i w:val="0"/>
                <w:color w:val="000000"/>
                <w:sz w:val="20"/>
                <w:u w:val="none"/>
              </w:rPr>
              <w:t>$</w:t>
              <w:tab/>
              <w:t>287,974</w:t>
              <w:tab/>
            </w:r>
          </w:p>
        </w:tc>
      </w:tr>
      <w:tr>
        <w:tblPrEx>
          <w:tblW w:w="10260" w:type="dxa"/>
          <w:tblInd w:w="0" w:type="dxa"/>
          <w:tblLayout w:type="fixed"/>
        </w:tblPrEx>
        <w:trPr>
          <w:trHeight w:hRule="auto" w:val="0"/>
        </w:trPr>
        <w:tc>
          <w:tcPr>
            <w:tcW w:w="71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Power Solutions</w:t>
            </w: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17"/>
                <w:tab w:val="left" w:pos="1432"/>
              </w:tabs>
              <w:spacing w:before="65" w:after="20" w:line="240" w:lineRule="auto"/>
              <w:jc w:val="right"/>
            </w:pPr>
            <w:r>
              <w:rPr>
                <w:rFonts w:ascii="Times New Roman" w:eastAsia="Times New Roman" w:hAnsi="Times New Roman" w:cs="Times New Roman"/>
                <w:b w:val="0"/>
                <w:i w:val="0"/>
                <w:color w:val="000000"/>
                <w:sz w:val="20"/>
                <w:u w:val="none"/>
              </w:rPr>
              <w:tab/>
              <w:t>125,381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17"/>
                <w:tab w:val="left" w:pos="1432"/>
              </w:tabs>
              <w:spacing w:before="65" w:after="20" w:line="240" w:lineRule="auto"/>
              <w:jc w:val="right"/>
            </w:pPr>
            <w:r>
              <w:rPr>
                <w:rFonts w:ascii="Times New Roman" w:eastAsia="Times New Roman" w:hAnsi="Times New Roman" w:cs="Times New Roman"/>
                <w:b w:val="0"/>
                <w:i w:val="0"/>
                <w:color w:val="000000"/>
                <w:sz w:val="20"/>
                <w:u w:val="none"/>
              </w:rPr>
              <w:tab/>
              <w:t>123,883</w:t>
              <w:tab/>
            </w:r>
          </w:p>
        </w:tc>
      </w:tr>
      <w:tr>
        <w:tblPrEx>
          <w:tblW w:w="10260" w:type="dxa"/>
          <w:tblInd w:w="0" w:type="dxa"/>
          <w:tblLayout w:type="fixed"/>
        </w:tblPrEx>
        <w:trPr>
          <w:trHeight w:hRule="auto" w:val="0"/>
        </w:trPr>
        <w:tc>
          <w:tcPr>
            <w:tcW w:w="71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Corporate</w:t>
            </w:r>
          </w:p>
        </w:tc>
        <w:tc>
          <w:tcPr>
            <w:tcW w:w="15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7"/>
                <w:tab w:val="left" w:pos="1432"/>
              </w:tabs>
              <w:spacing w:before="65" w:after="20" w:line="240" w:lineRule="auto"/>
              <w:jc w:val="right"/>
            </w:pPr>
            <w:r>
              <w:rPr>
                <w:rFonts w:ascii="Times New Roman" w:eastAsia="Times New Roman" w:hAnsi="Times New Roman" w:cs="Times New Roman"/>
                <w:b w:val="0"/>
                <w:i w:val="0"/>
                <w:color w:val="000000"/>
                <w:sz w:val="20"/>
                <w:u w:val="none"/>
              </w:rPr>
              <w:tab/>
              <w:t>24,448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7"/>
                <w:tab w:val="left" w:pos="1432"/>
              </w:tabs>
              <w:spacing w:before="65" w:after="20" w:line="240" w:lineRule="auto"/>
              <w:jc w:val="right"/>
            </w:pPr>
            <w:r>
              <w:rPr>
                <w:rFonts w:ascii="Times New Roman" w:eastAsia="Times New Roman" w:hAnsi="Times New Roman" w:cs="Times New Roman"/>
                <w:b w:val="0"/>
                <w:i w:val="0"/>
                <w:color w:val="000000"/>
                <w:sz w:val="20"/>
                <w:u w:val="none"/>
              </w:rPr>
              <w:tab/>
              <w:t>28,927</w:t>
              <w:tab/>
            </w:r>
          </w:p>
        </w:tc>
      </w:tr>
      <w:tr>
        <w:tblPrEx>
          <w:tblW w:w="10260" w:type="dxa"/>
          <w:tblInd w:w="0" w:type="dxa"/>
          <w:tblLayout w:type="fixed"/>
        </w:tblPrEx>
        <w:trPr>
          <w:trHeight w:hRule="auto" w:val="0"/>
        </w:trPr>
        <w:tc>
          <w:tcPr>
            <w:tcW w:w="718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45" w:after="20" w:line="240" w:lineRule="auto"/>
              <w:jc w:val="left"/>
            </w:pPr>
            <w:r>
              <w:rPr>
                <w:rFonts w:ascii="Times New Roman" w:eastAsia="Times New Roman" w:hAnsi="Times New Roman" w:cs="Times New Roman"/>
                <w:b w:val="0"/>
                <w:i w:val="0"/>
                <w:color w:val="000000"/>
                <w:sz w:val="20"/>
                <w:u w:val="none"/>
              </w:rPr>
              <w:t>Total</w:t>
            </w:r>
          </w:p>
        </w:tc>
        <w:tc>
          <w:tcPr>
            <w:tcW w:w="15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717"/>
                <w:tab w:val="left" w:pos="1432"/>
              </w:tabs>
              <w:spacing w:before="45" w:after="20" w:line="240" w:lineRule="auto"/>
              <w:jc w:val="right"/>
            </w:pPr>
            <w:r>
              <w:rPr>
                <w:rFonts w:ascii="Times New Roman" w:eastAsia="Times New Roman" w:hAnsi="Times New Roman" w:cs="Times New Roman"/>
                <w:b w:val="0"/>
                <w:i w:val="0"/>
                <w:color w:val="000000"/>
                <w:sz w:val="20"/>
                <w:u w:val="none"/>
              </w:rPr>
              <w:t>$</w:t>
              <w:tab/>
              <w:t>448,619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5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717"/>
                <w:tab w:val="left" w:pos="1432"/>
              </w:tabs>
              <w:spacing w:before="45" w:after="20" w:line="240" w:lineRule="auto"/>
              <w:jc w:val="right"/>
            </w:pPr>
            <w:r>
              <w:rPr>
                <w:rFonts w:ascii="Times New Roman" w:eastAsia="Times New Roman" w:hAnsi="Times New Roman" w:cs="Times New Roman"/>
                <w:b w:val="0"/>
                <w:i w:val="0"/>
                <w:color w:val="000000"/>
                <w:sz w:val="20"/>
                <w:u w:val="none"/>
              </w:rPr>
              <w:t>$</w:t>
              <w:tab/>
              <w:t>440,784</w:t>
              <w:tab/>
            </w:r>
          </w:p>
        </w:tc>
      </w:tr>
    </w:tbl>
    <w:p>
      <w:pPr>
        <w:keepNext/>
        <w:keepLines/>
        <w:pageBreakBefore w:val="0"/>
        <w:widowControl w:val="0"/>
        <w:numPr>
          <w:ilvl w:val="0"/>
          <w:numId w:val="0"/>
        </w:numPr>
        <w:spacing w:before="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val="0"/>
          <w:color w:val="000000"/>
          <w:sz w:val="16"/>
          <w:u w:val="none"/>
        </w:rPr>
        <w:t>_______________________________</w:t>
      </w:r>
    </w:p>
    <w:p>
      <w:pPr>
        <w:keepNext w:val="0"/>
        <w:keepLines w:val="0"/>
        <w:pageBreakBefore w:val="0"/>
        <w:widowControl/>
        <w:numPr>
          <w:ilvl w:val="0"/>
          <w:numId w:val="0"/>
        </w:numPr>
        <w:spacing w:before="0" w:after="120" w:line="288" w:lineRule="auto"/>
        <w:ind w:left="54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(1) </w:t>
      </w:r>
      <w:r>
        <w:rPr>
          <w:rFonts w:ascii="Times New Roman" w:eastAsia="Times New Roman" w:hAnsi="Times New Roman" w:cs="Times New Roman"/>
          <w:b w:val="0"/>
          <w:i w:val="0"/>
          <w:color w:val="000000"/>
          <w:sz w:val="20"/>
          <w:u w:val="none"/>
        </w:rPr>
        <w:tab/>
      </w:r>
      <w:r>
        <w:rPr>
          <w:rFonts w:ascii="Times New Roman" w:eastAsia="Times New Roman" w:hAnsi="Times New Roman" w:cs="Times New Roman"/>
          <w:b w:val="0"/>
          <w:i w:val="0"/>
          <w:color w:val="000000"/>
          <w:sz w:val="20"/>
          <w:u w:val="none"/>
        </w:rPr>
        <w:t xml:space="preserve">Total assets in Mobile Solutions includes </w:t>
      </w:r>
      <w:r>
        <w:rPr>
          <w:rFonts w:ascii="Times New Roman" w:eastAsia="Times New Roman" w:hAnsi="Times New Roman" w:cs="Times New Roman"/>
          <w:b w:val="0"/>
          <w:i w:val="0"/>
          <w:color w:val="000000"/>
          <w:sz w:val="20"/>
          <w:u w:val="none"/>
        </w:rPr>
        <w:t>$48.5 million</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$42.5 million</w:t>
      </w:r>
      <w:r>
        <w:rPr>
          <w:rFonts w:ascii="Times New Roman" w:eastAsia="Times New Roman" w:hAnsi="Times New Roman" w:cs="Times New Roman"/>
          <w:b w:val="0"/>
          <w:i w:val="0"/>
          <w:color w:val="000000"/>
          <w:sz w:val="20"/>
          <w:u w:val="none"/>
        </w:rPr>
        <w:t xml:space="preserve">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and December 31,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xml:space="preserve">, respectively, related to our investment in a joint venture (see </w:t>
      </w:r>
      <w:r>
        <w:rPr>
          <w:rFonts w:ascii="Times New Roman" w:eastAsia="Times New Roman" w:hAnsi="Times New Roman" w:cs="Times New Roman"/>
          <w:b w:val="0"/>
          <w:i w:val="0"/>
          <w:color w:val="000000"/>
          <w:sz w:val="20"/>
          <w:u w:val="none"/>
        </w:rPr>
        <w:t>Note 7</w:t>
      </w:r>
      <w:r>
        <w:rPr>
          <w:rFonts w:ascii="Times New Roman" w:eastAsia="Times New Roman" w:hAnsi="Times New Roman" w:cs="Times New Roman"/>
          <w:b w:val="0"/>
          <w:i w:val="0"/>
          <w:color w:val="000000"/>
          <w:sz w:val="20"/>
          <w:u w:val="none"/>
        </w:rPr>
        <w:t>).</w:t>
      </w:r>
    </w:p>
    <w:p>
      <w:pPr>
        <w:keepNext w:val="0"/>
        <w:keepLines w:val="0"/>
        <w:pageBreakBefore w:val="0"/>
        <w:widowControl/>
        <w:numPr>
          <w:ilvl w:val="0"/>
          <w:numId w:val="0"/>
        </w:numPr>
        <w:spacing w:before="0" w:after="120" w:line="288" w:lineRule="auto"/>
        <w:ind w:left="540" w:right="0" w:hanging="360"/>
        <w:jc w:val="left"/>
        <w:outlineLvl w:val="9"/>
        <w:rPr>
          <w:rFonts w:ascii="Times New Roman" w:eastAsia="Times New Roman" w:hAnsi="Times New Roman" w:cs="Times New Roman"/>
          <w:b w:val="0"/>
          <w:i/>
          <w:color w:val="000000"/>
          <w:sz w:val="20"/>
          <w:u w:val="none"/>
        </w:rPr>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0" w:right="0" w:firstLine="0"/>
        <w:jc w:val="left"/>
        <w:outlineLvl w:val="3"/>
        <w:rPr>
          <w:rFonts w:ascii="Times New Roman" w:eastAsia="Times New Roman" w:hAnsi="Times New Roman" w:cs="Times New Roman"/>
          <w:b/>
          <w:i w:val="0"/>
          <w:color w:val="000000"/>
          <w:sz w:val="20"/>
          <w:u w:val="none"/>
        </w:rPr>
      </w:pPr>
      <w:bookmarkStart w:id="11" w:name="Section13"/>
      <w:bookmarkEnd w:id="11"/>
      <w:r>
        <w:rPr>
          <w:rFonts w:ascii="Times New Roman" w:eastAsia="Times New Roman" w:hAnsi="Times New Roman" w:cs="Times New Roman"/>
          <w:b/>
          <w:i w:val="0"/>
          <w:color w:val="000000"/>
          <w:sz w:val="20"/>
          <w:u w:val="none"/>
        </w:rPr>
        <w:t>Note 3</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Revenue from Contracts with Customers</w:t>
      </w:r>
    </w:p>
    <w:p>
      <w:pPr>
        <w:keepNext/>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Revenue is recognized when control of the good or service is transferred to the customer either at a point in time or, in limited circumstances, as our services are rendered over time.  Revenue is measured as the amount of consideration we expect to receive in exchange for transferring goods or services.   </w:t>
      </w: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Beginning in the second quarter of fiscal 2026, we revised our revenue disaggregation categories to provide more detailed disclosure of the markets we serve. Prior period amounts have been recast to conform to the current presentation. The following tables summarize revenue by customer industry. Our products in the Global Automotive end market include high-precision components and assemblies for electric power steering systems, electric braking, electric motors, sensors, electrical contacts, fuel systems, emissions control, and transmissions. Our products in the Data Center &amp; Electric Grid end market include components used in smart meters, electric circuits, electric panels, and liquid cooling connectors for thermal management systems in data centers. Our products in the Industrial end market include high-precision metal components for a variety of industrial applications, including motors, heating and cooling systems, pumps, valves, and power tools. Our products in the Commercial Vehicle end market include high-precision components for diesel fuel systems, emissions control, power steering, braking, and transmissions. Our products in the Defense &amp; Electronics end market include plating of critical electronics contained within advanced weapons systems, metal fabrications within guidance and weapon systems, and machined parts for firearms and accessories. Our products in the Medical end market include high-precision components used in surgical instruments, robotic-assisted surgery equipment, orthopedic tools, orthopedic components, electrosurgical products, suture-related products, and other precision medical devices.</w:t>
      </w:r>
    </w:p>
    <w:tbl>
      <w:tblPr>
        <w:tblStyle w:val="TableNormal0"/>
        <w:tblW w:w="10260" w:type="dxa"/>
        <w:jc w:val="left"/>
        <w:tblInd w:w="0" w:type="dxa"/>
        <w:tblLayout w:type="fixed"/>
      </w:tblPr>
      <w:tblGrid>
        <w:gridCol w:w="4935"/>
        <w:gridCol w:w="1275"/>
        <w:gridCol w:w="75"/>
        <w:gridCol w:w="1275"/>
        <w:gridCol w:w="75"/>
        <w:gridCol w:w="1275"/>
        <w:gridCol w:w="75"/>
        <w:gridCol w:w="1275"/>
      </w:tblGrid>
      <w:tr>
        <w:tblPrEx>
          <w:tblW w:w="10260" w:type="dxa"/>
          <w:tblInd w:w="0" w:type="dxa"/>
          <w:tblLayout w:type="fixed"/>
        </w:tblPrEx>
        <w:trPr>
          <w:trHeight w:hRule="exact" w:val="540"/>
        </w:trPr>
        <w:tc>
          <w:tcPr>
            <w:tcW w:w="493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i w:val="0"/>
                <w:color w:val="000000"/>
                <w:sz w:val="16"/>
                <w:u w:val="single"/>
              </w:rPr>
              <w:t>Three Months Ended June 30, 2026</w:t>
            </w:r>
          </w:p>
        </w:tc>
        <w:tc>
          <w:tcPr>
            <w:tcW w:w="12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Mobile</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Power</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Intersegment</w:t>
            </w:r>
          </w:p>
          <w:p>
            <w:pPr>
              <w:spacing w:line="240" w:lineRule="auto"/>
              <w:jc w:val="center"/>
            </w:pPr>
            <w:r>
              <w:rPr>
                <w:rFonts w:ascii="Times New Roman" w:eastAsia="Times New Roman" w:hAnsi="Times New Roman" w:cs="Times New Roman"/>
                <w:b/>
                <w:i w:val="0"/>
                <w:color w:val="000000"/>
                <w:sz w:val="16"/>
                <w:u w:val="none"/>
              </w:rPr>
              <w:t>Sales</w:t>
            </w:r>
          </w:p>
          <w:p>
            <w:pPr>
              <w:spacing w:after="30" w:line="240" w:lineRule="auto"/>
              <w:jc w:val="center"/>
            </w:pPr>
            <w:r>
              <w:rPr>
                <w:rFonts w:ascii="Times New Roman" w:eastAsia="Times New Roman" w:hAnsi="Times New Roman" w:cs="Times New Roman"/>
                <w:b/>
                <w:i w:val="0"/>
                <w:color w:val="000000"/>
                <w:sz w:val="16"/>
                <w:u w:val="none"/>
              </w:rPr>
              <w:t>Eliminations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Total</w:t>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Global Automotive</w:t>
            </w: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44,718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8,615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53,333</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Data Center &amp; Electric Grid</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42"/>
                <w:tab w:val="left" w:pos="1207"/>
              </w:tabs>
              <w:spacing w:before="75" w:after="30" w:line="240" w:lineRule="auto"/>
              <w:jc w:val="right"/>
            </w:pPr>
            <w:r>
              <w:rPr>
                <w:rFonts w:ascii="Times New Roman" w:eastAsia="Times New Roman" w:hAnsi="Times New Roman" w:cs="Times New Roman"/>
                <w:b w:val="0"/>
                <w:i w:val="0"/>
                <w:color w:val="000000"/>
                <w:sz w:val="20"/>
                <w:u w:val="none"/>
              </w:rPr>
              <w:tab/>
              <w:t>171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31,163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31,334</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Industrial</w:t>
            </w: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1,912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14,506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16,418</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Commercial Vehicle</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14,404</w:t>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14,404</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Defense &amp; Electronics</w:t>
            </w: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5,234</w:t>
              <w:tab/>
            </w:r>
          </w:p>
        </w:tc>
        <w:tc>
          <w:tcPr>
            <w:tcW w:w="75"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3,955</w:t>
              <w:tab/>
            </w:r>
          </w:p>
        </w:tc>
        <w:tc>
          <w:tcPr>
            <w:tcW w:w="75"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9,189</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Medical</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42"/>
                <w:tab w:val="left" w:pos="1207"/>
              </w:tabs>
              <w:spacing w:before="75" w:after="30" w:line="240" w:lineRule="auto"/>
              <w:jc w:val="right"/>
            </w:pPr>
            <w:r>
              <w:rPr>
                <w:rFonts w:ascii="Times New Roman" w:eastAsia="Times New Roman" w:hAnsi="Times New Roman" w:cs="Times New Roman"/>
                <w:b w:val="0"/>
                <w:i w:val="0"/>
                <w:color w:val="000000"/>
                <w:sz w:val="20"/>
                <w:u w:val="none"/>
              </w:rPr>
              <w:tab/>
              <w:t>151</w:t>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4,054</w:t>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4,205</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Eliminations</w:t>
            </w: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56"/>
              </w:tabs>
              <w:spacing w:before="75" w:after="30" w:line="240" w:lineRule="auto"/>
              <w:jc w:val="right"/>
            </w:pPr>
            <w:r>
              <w:rPr>
                <w:rFonts w:ascii="Times New Roman" w:eastAsia="Times New Roman" w:hAnsi="Times New Roman" w:cs="Times New Roman"/>
                <w:b w:val="0"/>
                <w:i w:val="0"/>
                <w:color w:val="000000"/>
                <w:sz w:val="20"/>
                <w:u w:val="none"/>
              </w:rPr>
              <w:tab/>
              <w:t>(142)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56"/>
              </w:tabs>
              <w:spacing w:before="75" w:after="30" w:line="240" w:lineRule="auto"/>
              <w:jc w:val="right"/>
            </w:pPr>
            <w:r>
              <w:rPr>
                <w:rFonts w:ascii="Times New Roman" w:eastAsia="Times New Roman" w:hAnsi="Times New Roman" w:cs="Times New Roman"/>
                <w:b w:val="0"/>
                <w:i w:val="0"/>
                <w:color w:val="000000"/>
                <w:sz w:val="20"/>
                <w:u w:val="none"/>
              </w:rPr>
              <w:tab/>
              <w:t>(142)</w:t>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5" w:after="30" w:line="240" w:lineRule="auto"/>
              <w:jc w:val="left"/>
            </w:pPr>
            <w:r>
              <w:rPr>
                <w:rFonts w:ascii="Times New Roman" w:eastAsia="Times New Roman" w:hAnsi="Times New Roman" w:cs="Times New Roman"/>
                <w:b w:val="0"/>
                <w:i w:val="0"/>
                <w:color w:val="000000"/>
                <w:sz w:val="20"/>
                <w:u w:val="none"/>
              </w:rPr>
              <w:t>Total net sales</w:t>
            </w: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5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66,590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5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62,293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756"/>
              </w:tabs>
              <w:spacing w:before="55" w:after="30" w:line="240" w:lineRule="auto"/>
              <w:jc w:val="right"/>
            </w:pPr>
            <w:r>
              <w:rPr>
                <w:rFonts w:ascii="Times New Roman" w:eastAsia="Times New Roman" w:hAnsi="Times New Roman" w:cs="Times New Roman"/>
                <w:b w:val="0"/>
                <w:i w:val="0"/>
                <w:color w:val="000000"/>
                <w:sz w:val="20"/>
                <w:u w:val="none"/>
              </w:rPr>
              <w:t>$</w:t>
              <w:tab/>
              <w:t>(142)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4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128,741</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tbl>
      <w:tblPr>
        <w:tblStyle w:val="TableNormal0"/>
        <w:tblW w:w="10260" w:type="dxa"/>
        <w:jc w:val="left"/>
        <w:tblInd w:w="0" w:type="dxa"/>
        <w:tblLayout w:type="fixed"/>
      </w:tblPr>
      <w:tblGrid>
        <w:gridCol w:w="4935"/>
        <w:gridCol w:w="1275"/>
        <w:gridCol w:w="75"/>
        <w:gridCol w:w="1275"/>
        <w:gridCol w:w="75"/>
        <w:gridCol w:w="1275"/>
        <w:gridCol w:w="75"/>
        <w:gridCol w:w="1275"/>
      </w:tblGrid>
      <w:tr>
        <w:tblPrEx>
          <w:tblW w:w="10260" w:type="dxa"/>
          <w:tblInd w:w="0" w:type="dxa"/>
          <w:tblLayout w:type="fixed"/>
        </w:tblPrEx>
        <w:trPr>
          <w:trHeight w:hRule="exact" w:val="540"/>
        </w:trPr>
        <w:tc>
          <w:tcPr>
            <w:tcW w:w="493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i w:val="0"/>
                <w:color w:val="000000"/>
                <w:sz w:val="16"/>
                <w:u w:val="single"/>
              </w:rPr>
              <w:t>Three Months Ended June 30, 2025</w:t>
            </w:r>
          </w:p>
        </w:tc>
        <w:tc>
          <w:tcPr>
            <w:tcW w:w="12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Mobile</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Power</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Intersegment</w:t>
            </w:r>
          </w:p>
          <w:p>
            <w:pPr>
              <w:spacing w:line="240" w:lineRule="auto"/>
              <w:jc w:val="center"/>
            </w:pPr>
            <w:r>
              <w:rPr>
                <w:rFonts w:ascii="Times New Roman" w:eastAsia="Times New Roman" w:hAnsi="Times New Roman" w:cs="Times New Roman"/>
                <w:b/>
                <w:i w:val="0"/>
                <w:color w:val="000000"/>
                <w:sz w:val="16"/>
                <w:u w:val="none"/>
              </w:rPr>
              <w:t>Sales</w:t>
            </w:r>
          </w:p>
          <w:p>
            <w:pPr>
              <w:spacing w:after="30" w:line="240" w:lineRule="auto"/>
              <w:jc w:val="center"/>
            </w:pPr>
            <w:r>
              <w:rPr>
                <w:rFonts w:ascii="Times New Roman" w:eastAsia="Times New Roman" w:hAnsi="Times New Roman" w:cs="Times New Roman"/>
                <w:b/>
                <w:i w:val="0"/>
                <w:color w:val="000000"/>
                <w:sz w:val="16"/>
                <w:u w:val="none"/>
              </w:rPr>
              <w:t>Eliminations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Total</w:t>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Global Automotive</w:t>
            </w: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42,811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7,840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50,651</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Data Center &amp; Electric Grid</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18,444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18,444</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Industrial</w:t>
            </w: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42"/>
                <w:tab w:val="left" w:pos="1207"/>
              </w:tabs>
              <w:spacing w:before="75" w:after="30" w:line="240" w:lineRule="auto"/>
              <w:jc w:val="right"/>
            </w:pPr>
            <w:r>
              <w:rPr>
                <w:rFonts w:ascii="Times New Roman" w:eastAsia="Times New Roman" w:hAnsi="Times New Roman" w:cs="Times New Roman"/>
                <w:b w:val="0"/>
                <w:i w:val="0"/>
                <w:color w:val="000000"/>
                <w:sz w:val="20"/>
                <w:u w:val="none"/>
              </w:rPr>
              <w:tab/>
              <w:t>967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11,243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12,210</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Commercial Vehicle</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14,961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14,961</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Defense &amp; Electronics</w:t>
            </w: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4,559</w:t>
              <w:tab/>
            </w:r>
          </w:p>
        </w:tc>
        <w:tc>
          <w:tcPr>
            <w:tcW w:w="75"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3,109</w:t>
              <w:tab/>
            </w:r>
          </w:p>
        </w:tc>
        <w:tc>
          <w:tcPr>
            <w:tcW w:w="75"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7,668</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Medical</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93</w:t>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4,005</w:t>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4,098</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Eliminations</w:t>
            </w: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56"/>
              </w:tabs>
              <w:spacing w:before="75" w:after="30" w:line="240" w:lineRule="auto"/>
              <w:jc w:val="right"/>
            </w:pPr>
            <w:r>
              <w:rPr>
                <w:rFonts w:ascii="Times New Roman" w:eastAsia="Times New Roman" w:hAnsi="Times New Roman" w:cs="Times New Roman"/>
                <w:b w:val="0"/>
                <w:i w:val="0"/>
                <w:color w:val="000000"/>
                <w:sz w:val="20"/>
                <w:u w:val="none"/>
              </w:rPr>
              <w:tab/>
              <w:t>(111)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56"/>
              </w:tabs>
              <w:spacing w:before="75" w:after="30" w:line="240" w:lineRule="auto"/>
              <w:jc w:val="right"/>
            </w:pPr>
            <w:r>
              <w:rPr>
                <w:rFonts w:ascii="Times New Roman" w:eastAsia="Times New Roman" w:hAnsi="Times New Roman" w:cs="Times New Roman"/>
                <w:b w:val="0"/>
                <w:i w:val="0"/>
                <w:color w:val="000000"/>
                <w:sz w:val="20"/>
                <w:u w:val="none"/>
              </w:rPr>
              <w:tab/>
              <w:t>(111)</w:t>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5" w:after="30" w:line="240" w:lineRule="auto"/>
              <w:jc w:val="left"/>
            </w:pPr>
            <w:r>
              <w:rPr>
                <w:rFonts w:ascii="Times New Roman" w:eastAsia="Times New Roman" w:hAnsi="Times New Roman" w:cs="Times New Roman"/>
                <w:b w:val="0"/>
                <w:i w:val="0"/>
                <w:color w:val="000000"/>
                <w:sz w:val="20"/>
                <w:u w:val="none"/>
              </w:rPr>
              <w:t>Total net sales</w:t>
            </w: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5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63,391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5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44,641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756"/>
              </w:tabs>
              <w:spacing w:before="55" w:after="30" w:line="240" w:lineRule="auto"/>
              <w:jc w:val="right"/>
            </w:pPr>
            <w:r>
              <w:rPr>
                <w:rFonts w:ascii="Times New Roman" w:eastAsia="Times New Roman" w:hAnsi="Times New Roman" w:cs="Times New Roman"/>
                <w:b w:val="0"/>
                <w:i w:val="0"/>
                <w:color w:val="000000"/>
                <w:sz w:val="20"/>
                <w:u w:val="none"/>
              </w:rPr>
              <w:t>$</w:t>
              <w:tab/>
              <w:t>(111)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4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107,921</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tbl>
      <w:tblPr>
        <w:tblStyle w:val="TableNormal0"/>
        <w:tblW w:w="10260" w:type="dxa"/>
        <w:jc w:val="left"/>
        <w:tblInd w:w="0" w:type="dxa"/>
        <w:tblLayout w:type="fixed"/>
      </w:tblPr>
      <w:tblGrid>
        <w:gridCol w:w="4935"/>
        <w:gridCol w:w="1275"/>
        <w:gridCol w:w="75"/>
        <w:gridCol w:w="1275"/>
        <w:gridCol w:w="75"/>
        <w:gridCol w:w="1275"/>
        <w:gridCol w:w="75"/>
        <w:gridCol w:w="1275"/>
      </w:tblGrid>
      <w:tr>
        <w:tblPrEx>
          <w:tblW w:w="10260" w:type="dxa"/>
          <w:tblInd w:w="0" w:type="dxa"/>
          <w:tblLayout w:type="fixed"/>
        </w:tblPrEx>
        <w:trPr>
          <w:trHeight w:hRule="exact" w:val="540"/>
        </w:trPr>
        <w:tc>
          <w:tcPr>
            <w:tcW w:w="493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i w:val="0"/>
                <w:color w:val="000000"/>
                <w:sz w:val="16"/>
                <w:u w:val="single"/>
              </w:rPr>
              <w:t>Six Months Ended June 30, 2026</w:t>
            </w:r>
          </w:p>
        </w:tc>
        <w:tc>
          <w:tcPr>
            <w:tcW w:w="12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Mobile</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Power</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Intersegment</w:t>
            </w:r>
          </w:p>
          <w:p>
            <w:pPr>
              <w:spacing w:line="240" w:lineRule="auto"/>
              <w:jc w:val="center"/>
            </w:pPr>
            <w:r>
              <w:rPr>
                <w:rFonts w:ascii="Times New Roman" w:eastAsia="Times New Roman" w:hAnsi="Times New Roman" w:cs="Times New Roman"/>
                <w:b/>
                <w:i w:val="0"/>
                <w:color w:val="000000"/>
                <w:sz w:val="16"/>
                <w:u w:val="none"/>
              </w:rPr>
              <w:t>Sales</w:t>
            </w:r>
          </w:p>
          <w:p>
            <w:pPr>
              <w:spacing w:after="30" w:line="240" w:lineRule="auto"/>
              <w:jc w:val="center"/>
            </w:pPr>
            <w:r>
              <w:rPr>
                <w:rFonts w:ascii="Times New Roman" w:eastAsia="Times New Roman" w:hAnsi="Times New Roman" w:cs="Times New Roman"/>
                <w:b/>
                <w:i w:val="0"/>
                <w:color w:val="000000"/>
                <w:sz w:val="16"/>
                <w:u w:val="none"/>
              </w:rPr>
              <w:t>Eliminations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Total</w:t>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Global Automotive</w:t>
            </w: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85,470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16,763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102,233</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Data Center &amp; Electric Grid</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42"/>
                <w:tab w:val="left" w:pos="1207"/>
              </w:tabs>
              <w:spacing w:before="75" w:after="30" w:line="240" w:lineRule="auto"/>
              <w:jc w:val="right"/>
            </w:pPr>
            <w:r>
              <w:rPr>
                <w:rFonts w:ascii="Times New Roman" w:eastAsia="Times New Roman" w:hAnsi="Times New Roman" w:cs="Times New Roman"/>
                <w:b w:val="0"/>
                <w:i w:val="0"/>
                <w:color w:val="000000"/>
                <w:sz w:val="20"/>
                <w:u w:val="none"/>
              </w:rPr>
              <w:tab/>
              <w:t>158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56,396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56,554</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Industrial</w:t>
            </w: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3,234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29,171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32,405</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Commercial Vehicle</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28,735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28,735</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Defense &amp; Electronics</w:t>
            </w: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11,893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8,002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19,895</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Medical</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42"/>
                <w:tab w:val="left" w:pos="1207"/>
              </w:tabs>
              <w:spacing w:before="75" w:after="30" w:line="240" w:lineRule="auto"/>
              <w:jc w:val="right"/>
            </w:pPr>
            <w:r>
              <w:rPr>
                <w:rFonts w:ascii="Times New Roman" w:eastAsia="Times New Roman" w:hAnsi="Times New Roman" w:cs="Times New Roman"/>
                <w:b w:val="0"/>
                <w:i w:val="0"/>
                <w:color w:val="000000"/>
                <w:sz w:val="20"/>
                <w:u w:val="none"/>
              </w:rPr>
              <w:tab/>
              <w:t>213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7,361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7,574</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Eliminations</w:t>
            </w: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56"/>
              </w:tabs>
              <w:spacing w:before="75" w:after="30" w:line="240" w:lineRule="auto"/>
              <w:jc w:val="right"/>
            </w:pPr>
            <w:r>
              <w:rPr>
                <w:rFonts w:ascii="Times New Roman" w:eastAsia="Times New Roman" w:hAnsi="Times New Roman" w:cs="Times New Roman"/>
                <w:b w:val="0"/>
                <w:i w:val="0"/>
                <w:color w:val="000000"/>
                <w:sz w:val="20"/>
                <w:u w:val="none"/>
              </w:rPr>
              <w:tab/>
              <w:t>(203)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56"/>
              </w:tabs>
              <w:spacing w:before="75" w:after="30" w:line="240" w:lineRule="auto"/>
              <w:jc w:val="right"/>
            </w:pPr>
            <w:r>
              <w:rPr>
                <w:rFonts w:ascii="Times New Roman" w:eastAsia="Times New Roman" w:hAnsi="Times New Roman" w:cs="Times New Roman"/>
                <w:b w:val="0"/>
                <w:i w:val="0"/>
                <w:color w:val="000000"/>
                <w:sz w:val="20"/>
                <w:u w:val="none"/>
              </w:rPr>
              <w:tab/>
              <w:t>(203)</w:t>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5" w:after="30" w:line="240" w:lineRule="auto"/>
              <w:jc w:val="left"/>
            </w:pPr>
            <w:r>
              <w:rPr>
                <w:rFonts w:ascii="Times New Roman" w:eastAsia="Times New Roman" w:hAnsi="Times New Roman" w:cs="Times New Roman"/>
                <w:b w:val="0"/>
                <w:i w:val="0"/>
                <w:color w:val="000000"/>
                <w:sz w:val="20"/>
                <w:u w:val="none"/>
              </w:rPr>
              <w:t>Total net sales</w:t>
            </w: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4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129,703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4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117,693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756"/>
              </w:tabs>
              <w:spacing w:before="55" w:after="30" w:line="240" w:lineRule="auto"/>
              <w:jc w:val="right"/>
            </w:pPr>
            <w:r>
              <w:rPr>
                <w:rFonts w:ascii="Times New Roman" w:eastAsia="Times New Roman" w:hAnsi="Times New Roman" w:cs="Times New Roman"/>
                <w:b w:val="0"/>
                <w:i w:val="0"/>
                <w:color w:val="000000"/>
                <w:sz w:val="20"/>
                <w:u w:val="none"/>
              </w:rPr>
              <w:t>$</w:t>
              <w:tab/>
              <w:t>(203)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4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247,193</w:t>
              <w:tab/>
            </w:r>
          </w:p>
        </w:tc>
      </w:tr>
    </w:tbl>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tbl>
      <w:tblPr>
        <w:tblStyle w:val="TableNormal0"/>
        <w:tblW w:w="10260" w:type="dxa"/>
        <w:jc w:val="left"/>
        <w:tblInd w:w="0" w:type="dxa"/>
        <w:tblLayout w:type="fixed"/>
      </w:tblPr>
      <w:tblGrid>
        <w:gridCol w:w="4935"/>
        <w:gridCol w:w="1275"/>
        <w:gridCol w:w="75"/>
        <w:gridCol w:w="1275"/>
        <w:gridCol w:w="75"/>
        <w:gridCol w:w="1275"/>
        <w:gridCol w:w="75"/>
        <w:gridCol w:w="1275"/>
      </w:tblGrid>
      <w:tr>
        <w:tblPrEx>
          <w:tblW w:w="10260" w:type="dxa"/>
          <w:tblInd w:w="0" w:type="dxa"/>
          <w:tblLayout w:type="fixed"/>
        </w:tblPrEx>
        <w:trPr>
          <w:trHeight w:hRule="exact" w:val="540"/>
        </w:trPr>
        <w:tc>
          <w:tcPr>
            <w:tcW w:w="493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i w:val="0"/>
                <w:color w:val="000000"/>
                <w:sz w:val="16"/>
                <w:u w:val="single"/>
              </w:rPr>
              <w:t>Six Months Ended June 30, 2025</w:t>
            </w:r>
          </w:p>
        </w:tc>
        <w:tc>
          <w:tcPr>
            <w:tcW w:w="12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Mobile</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Power</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Intersegment</w:t>
            </w:r>
          </w:p>
          <w:p>
            <w:pPr>
              <w:spacing w:line="240" w:lineRule="auto"/>
              <w:jc w:val="center"/>
            </w:pPr>
            <w:r>
              <w:rPr>
                <w:rFonts w:ascii="Times New Roman" w:eastAsia="Times New Roman" w:hAnsi="Times New Roman" w:cs="Times New Roman"/>
                <w:b/>
                <w:i w:val="0"/>
                <w:color w:val="000000"/>
                <w:sz w:val="16"/>
                <w:u w:val="none"/>
              </w:rPr>
              <w:t>Sales</w:t>
            </w:r>
          </w:p>
          <w:p>
            <w:pPr>
              <w:spacing w:after="30" w:line="240" w:lineRule="auto"/>
              <w:jc w:val="center"/>
            </w:pPr>
            <w:r>
              <w:rPr>
                <w:rFonts w:ascii="Times New Roman" w:eastAsia="Times New Roman" w:hAnsi="Times New Roman" w:cs="Times New Roman"/>
                <w:b/>
                <w:i w:val="0"/>
                <w:color w:val="000000"/>
                <w:sz w:val="16"/>
                <w:u w:val="none"/>
              </w:rPr>
              <w:t>Eliminations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Total</w:t>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Global Automotive</w:t>
            </w: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83,650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15,077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98,727</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Data Center &amp; Electric Grid</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38,976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38,976</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Industrial</w:t>
            </w: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5,370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20,822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26,192</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Commercial Vehicle</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27,009</w:t>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27,009</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Defense &amp; Electronics</w:t>
            </w: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9,268</w:t>
              <w:tab/>
            </w:r>
          </w:p>
        </w:tc>
        <w:tc>
          <w:tcPr>
            <w:tcW w:w="75"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6,225</w:t>
              <w:tab/>
            </w:r>
          </w:p>
        </w:tc>
        <w:tc>
          <w:tcPr>
            <w:tcW w:w="75"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92"/>
                <w:tab w:val="left" w:pos="1207"/>
              </w:tabs>
              <w:spacing w:before="75" w:after="30" w:line="240" w:lineRule="auto"/>
              <w:jc w:val="right"/>
            </w:pPr>
            <w:r>
              <w:rPr>
                <w:rFonts w:ascii="Times New Roman" w:eastAsia="Times New Roman" w:hAnsi="Times New Roman" w:cs="Times New Roman"/>
                <w:b w:val="0"/>
                <w:i w:val="0"/>
                <w:color w:val="000000"/>
                <w:sz w:val="20"/>
                <w:u w:val="none"/>
              </w:rPr>
              <w:tab/>
              <w:t>15,493</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Medical</w:t>
            </w: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42"/>
                <w:tab w:val="left" w:pos="1207"/>
              </w:tabs>
              <w:spacing w:before="75" w:after="30" w:line="240" w:lineRule="auto"/>
              <w:jc w:val="right"/>
            </w:pPr>
            <w:r>
              <w:rPr>
                <w:rFonts w:ascii="Times New Roman" w:eastAsia="Times New Roman" w:hAnsi="Times New Roman" w:cs="Times New Roman"/>
                <w:b w:val="0"/>
                <w:i w:val="0"/>
                <w:color w:val="000000"/>
                <w:sz w:val="20"/>
                <w:u w:val="none"/>
              </w:rPr>
              <w:tab/>
              <w:t>338</w:t>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7,049</w:t>
              <w:tab/>
            </w:r>
          </w:p>
        </w:tc>
        <w:tc>
          <w:tcPr>
            <w:tcW w:w="75" w:type="dxa"/>
            <w:tcBorders>
              <w:top w:val="nil"/>
              <w:left w:val="nil"/>
              <w:bottom w:val="nil"/>
              <w:right w:val="nil"/>
            </w:tcBorders>
            <w:shd w:val="clear" w:color="auto" w:fill="FFFF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92"/>
                <w:tab w:val="left" w:pos="1207"/>
              </w:tabs>
              <w:spacing w:before="75" w:after="30" w:line="240" w:lineRule="auto"/>
              <w:jc w:val="right"/>
            </w:pPr>
            <w:r>
              <w:rPr>
                <w:rFonts w:ascii="Times New Roman" w:eastAsia="Times New Roman" w:hAnsi="Times New Roman" w:cs="Times New Roman"/>
                <w:b w:val="0"/>
                <w:i w:val="0"/>
                <w:color w:val="000000"/>
                <w:sz w:val="20"/>
                <w:u w:val="none"/>
              </w:rPr>
              <w:tab/>
              <w:t>7,387</w:t>
              <w:tab/>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Eliminations</w:t>
            </w: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42"/>
                <w:tab w:val="left" w:pos="120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53" w:type="dxa"/>
            </w:tcMar>
            <w:vAlign w:val="bottom"/>
          </w:tcPr>
          <w:p>
            <w:pPr>
              <w:keepNext/>
              <w:pageBreakBefore w:val="0"/>
              <w:spacing w:before="75" w:after="30" w:line="240" w:lineRule="auto"/>
              <w:jc w:val="right"/>
            </w:pP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56"/>
              </w:tabs>
              <w:spacing w:before="75" w:after="30" w:line="240" w:lineRule="auto"/>
              <w:jc w:val="right"/>
            </w:pPr>
            <w:r>
              <w:rPr>
                <w:rFonts w:ascii="Times New Roman" w:eastAsia="Times New Roman" w:hAnsi="Times New Roman" w:cs="Times New Roman"/>
                <w:b w:val="0"/>
                <w:i w:val="0"/>
                <w:color w:val="000000"/>
                <w:sz w:val="20"/>
                <w:u w:val="none"/>
              </w:rPr>
              <w:tab/>
              <w:t>(175)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7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56"/>
              </w:tabs>
              <w:spacing w:before="75" w:after="30" w:line="240" w:lineRule="auto"/>
              <w:jc w:val="right"/>
            </w:pPr>
            <w:r>
              <w:rPr>
                <w:rFonts w:ascii="Times New Roman" w:eastAsia="Times New Roman" w:hAnsi="Times New Roman" w:cs="Times New Roman"/>
                <w:b w:val="0"/>
                <w:i w:val="0"/>
                <w:color w:val="000000"/>
                <w:sz w:val="20"/>
                <w:u w:val="none"/>
              </w:rPr>
              <w:tab/>
              <w:t>(175)</w:t>
            </w:r>
          </w:p>
        </w:tc>
      </w:tr>
      <w:tr>
        <w:tblPrEx>
          <w:tblW w:w="10260" w:type="dxa"/>
          <w:tblInd w:w="0" w:type="dxa"/>
          <w:tblLayout w:type="fixed"/>
        </w:tblPrEx>
        <w:trPr>
          <w:trHeight w:hRule="exact" w:val="285"/>
        </w:trPr>
        <w:tc>
          <w:tcPr>
            <w:tcW w:w="493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5" w:after="30" w:line="240" w:lineRule="auto"/>
              <w:jc w:val="left"/>
            </w:pPr>
            <w:r>
              <w:rPr>
                <w:rFonts w:ascii="Times New Roman" w:eastAsia="Times New Roman" w:hAnsi="Times New Roman" w:cs="Times New Roman"/>
                <w:b w:val="0"/>
                <w:i w:val="0"/>
                <w:color w:val="000000"/>
                <w:sz w:val="20"/>
                <w:u w:val="none"/>
              </w:rPr>
              <w:t>Total net sales</w:t>
            </w: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4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125,635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5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88,149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756"/>
              </w:tabs>
              <w:spacing w:before="55" w:after="30" w:line="240" w:lineRule="auto"/>
              <w:jc w:val="right"/>
            </w:pPr>
            <w:r>
              <w:rPr>
                <w:rFonts w:ascii="Times New Roman" w:eastAsia="Times New Roman" w:hAnsi="Times New Roman" w:cs="Times New Roman"/>
                <w:b w:val="0"/>
                <w:i w:val="0"/>
                <w:color w:val="000000"/>
                <w:sz w:val="20"/>
                <w:u w:val="none"/>
              </w:rPr>
              <w:t>$</w:t>
              <w:tab/>
              <w:t>(175)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7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492"/>
                <w:tab w:val="left" w:pos="1207"/>
              </w:tabs>
              <w:spacing w:before="55" w:after="30" w:line="240" w:lineRule="auto"/>
              <w:jc w:val="right"/>
            </w:pPr>
            <w:r>
              <w:rPr>
                <w:rFonts w:ascii="Times New Roman" w:eastAsia="Times New Roman" w:hAnsi="Times New Roman" w:cs="Times New Roman"/>
                <w:b w:val="0"/>
                <w:i w:val="0"/>
                <w:color w:val="000000"/>
                <w:sz w:val="20"/>
                <w:u w:val="none"/>
              </w:rPr>
              <w:t>$</w:t>
              <w:tab/>
              <w:t>213,609</w:t>
              <w:tab/>
            </w:r>
          </w:p>
        </w:tc>
      </w:tr>
    </w:tbl>
    <w:p>
      <w:pPr>
        <w:keepNext/>
        <w:keepLines/>
        <w:pageBreakBefore w:val="0"/>
        <w:widowControl w:val="0"/>
        <w:numPr>
          <w:ilvl w:val="0"/>
          <w:numId w:val="0"/>
        </w:numPr>
        <w:spacing w:before="18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Sales</w:t>
      </w:r>
      <w:r>
        <w:rPr>
          <w:rFonts w:ascii="Times New Roman" w:eastAsia="Times New Roman" w:hAnsi="Times New Roman" w:cs="Times New Roman"/>
          <w:b w:val="0"/>
          <w:i/>
          <w:color w:val="000000"/>
          <w:sz w:val="20"/>
          <w:u w:val="none"/>
        </w:rPr>
        <w:t xml:space="preserve"> Concentration  </w:t>
      </w:r>
    </w:p>
    <w:p>
      <w:pPr>
        <w:keepNext/>
        <w:keepLines/>
        <w:pageBreakBefore w:val="0"/>
        <w:widowControl w:val="0"/>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xml:space="preserve">, a customer in our Mobile Solutions segment represented </w:t>
      </w:r>
      <w:r>
        <w:rPr>
          <w:rFonts w:ascii="Times New Roman" w:eastAsia="Times New Roman" w:hAnsi="Times New Roman" w:cs="Times New Roman"/>
          <w:b w:val="0"/>
          <w:i w:val="0"/>
          <w:color w:val="000000"/>
          <w:sz w:val="20"/>
          <w:u w:val="none"/>
        </w:rPr>
        <w:t>11%</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a</w:t>
      </w:r>
      <w:r>
        <w:rPr>
          <w:rFonts w:ascii="Times New Roman" w:eastAsia="Times New Roman" w:hAnsi="Times New Roman" w:cs="Times New Roman"/>
          <w:b w:val="0"/>
          <w:i w:val="0"/>
          <w:color w:val="000000"/>
          <w:sz w:val="20"/>
          <w:u w:val="none"/>
        </w:rPr>
        <w:t xml:space="preserve">nd </w:t>
      </w:r>
      <w:r>
        <w:rPr>
          <w:rFonts w:ascii="Times New Roman" w:eastAsia="Times New Roman" w:hAnsi="Times New Roman" w:cs="Times New Roman"/>
          <w:b w:val="0"/>
          <w:i w:val="0"/>
          <w:color w:val="000000"/>
          <w:sz w:val="20"/>
          <w:u w:val="none"/>
        </w:rPr>
        <w:t>13%</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of consolidated revenue</w:t>
      </w:r>
      <w:r>
        <w:rPr>
          <w:rFonts w:ascii="Times New Roman" w:eastAsia="Times New Roman" w:hAnsi="Times New Roman" w:cs="Times New Roman"/>
          <w:b w:val="0"/>
          <w:i w:val="0"/>
          <w:color w:val="000000"/>
          <w:sz w:val="20"/>
          <w:u w:val="none"/>
        </w:rPr>
        <w:t>, respectively</w:t>
      </w:r>
      <w:r>
        <w:rPr>
          <w:rFonts w:ascii="Times New Roman" w:eastAsia="Times New Roman" w:hAnsi="Times New Roman" w:cs="Times New Roman"/>
          <w:b w:val="0"/>
          <w:i w:val="0"/>
          <w:color w:val="000000"/>
          <w:sz w:val="20"/>
          <w:u w:val="none"/>
        </w:rPr>
        <w:t>.</w:t>
      </w:r>
    </w:p>
    <w:p>
      <w:pPr>
        <w:keepNext w:val="0"/>
        <w:keepLines/>
        <w:pageBreakBefore w:val="0"/>
        <w:widowControl w:val="0"/>
        <w:numPr>
          <w:ilvl w:val="0"/>
          <w:numId w:val="0"/>
        </w:numPr>
        <w:spacing w:before="18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Deferred</w:t>
      </w:r>
      <w:r>
        <w:rPr>
          <w:rFonts w:ascii="Times New Roman" w:eastAsia="Times New Roman" w:hAnsi="Times New Roman" w:cs="Times New Roman"/>
          <w:b w:val="0"/>
          <w:i/>
          <w:color w:val="000000"/>
          <w:sz w:val="20"/>
          <w:u w:val="none"/>
        </w:rPr>
        <w:t xml:space="preserve"> Revenue</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val="0"/>
          <w:i w:val="0"/>
          <w:color w:val="000000"/>
          <w:sz w:val="20"/>
          <w:u w:val="none"/>
        </w:rPr>
        <w:t>Deferred revenue relates to payments received in advance of performance under the contract and recognized as revenue as (or when) we perform under the contract.  The balance of deferred revenue was $</w:t>
      </w:r>
      <w:r>
        <w:rPr>
          <w:rFonts w:ascii="Times New Roman" w:eastAsia="Times New Roman" w:hAnsi="Times New Roman" w:cs="Times New Roman"/>
          <w:b w:val="0"/>
          <w:i w:val="0"/>
          <w:color w:val="000000"/>
          <w:sz w:val="20"/>
          <w:u w:val="none"/>
        </w:rPr>
        <w:t>0.8 million</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0.3 million</w:t>
      </w:r>
      <w:r>
        <w:rPr>
          <w:rFonts w:ascii="Times New Roman" w:eastAsia="Times New Roman" w:hAnsi="Times New Roman" w:cs="Times New Roman"/>
          <w:b w:val="0"/>
          <w:i w:val="0"/>
          <w:color w:val="000000"/>
          <w:sz w:val="20"/>
          <w:u w:val="none"/>
        </w:rPr>
        <w:t xml:space="preserve">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color w:val="000000"/>
          <w:sz w:val="20"/>
          <w:u w:val="none"/>
        </w:rPr>
        <w:t xml:space="preserve">, respectively.  Revenue recognized for performance obligations satisfied or partially satisfied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included $</w:t>
      </w:r>
      <w:r>
        <w:rPr>
          <w:rFonts w:ascii="Times New Roman" w:eastAsia="Times New Roman" w:hAnsi="Times New Roman" w:cs="Times New Roman"/>
          <w:b w:val="0"/>
          <w:i w:val="0"/>
          <w:color w:val="000000"/>
          <w:sz w:val="20"/>
          <w:u w:val="none"/>
        </w:rPr>
        <w:t>0.3 million</w:t>
      </w:r>
      <w:r>
        <w:rPr>
          <w:rFonts w:ascii="Times New Roman" w:eastAsia="Times New Roman" w:hAnsi="Times New Roman" w:cs="Times New Roman"/>
          <w:b w:val="0"/>
          <w:i w:val="0"/>
          <w:color w:val="000000"/>
          <w:sz w:val="20"/>
          <w:u w:val="none"/>
        </w:rPr>
        <w:t xml:space="preserve"> that was included in deferred revenue as of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color w:val="000000"/>
          <w:sz w:val="20"/>
          <w:u w:val="none"/>
        </w:rPr>
        <w:t xml:space="preserve">. The balance of deferred revenue was </w:t>
      </w:r>
      <w:r>
        <w:rPr>
          <w:rFonts w:ascii="Times New Roman" w:eastAsia="Times New Roman" w:hAnsi="Times New Roman" w:cs="Times New Roman"/>
          <w:b w:val="0"/>
          <w:i w:val="0"/>
          <w:color w:val="000000"/>
          <w:sz w:val="20"/>
          <w:u w:val="none"/>
        </w:rPr>
        <w:t>$0.5 million</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$0.2 million</w:t>
      </w:r>
      <w:r>
        <w:rPr>
          <w:rFonts w:ascii="Times New Roman" w:eastAsia="Times New Roman" w:hAnsi="Times New Roman" w:cs="Times New Roman"/>
          <w:b w:val="0"/>
          <w:i w:val="0"/>
          <w:color w:val="000000"/>
          <w:sz w:val="20"/>
          <w:u w:val="none"/>
        </w:rPr>
        <w:t xml:space="preserve"> as of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December 31, 2024</w:t>
      </w:r>
      <w:r>
        <w:rPr>
          <w:rFonts w:ascii="Times New Roman" w:eastAsia="Times New Roman" w:hAnsi="Times New Roman" w:cs="Times New Roman"/>
          <w:b w:val="0"/>
          <w:i w:val="0"/>
          <w:color w:val="000000"/>
          <w:sz w:val="20"/>
          <w:u w:val="none"/>
        </w:rPr>
        <w:t>, respectively. Revenue recognized for performance obligations satisfied</w:t>
      </w:r>
      <w:r>
        <w:rPr>
          <w:rFonts w:ascii="Times New Roman" w:eastAsia="Times New Roman" w:hAnsi="Times New Roman" w:cs="Times New Roman"/>
          <w:b w:val="0"/>
          <w:i w:val="0"/>
          <w:color w:val="000000"/>
          <w:sz w:val="20"/>
          <w:u w:val="none"/>
        </w:rPr>
        <w:t xml:space="preserve"> or partially satisfied</w:t>
      </w:r>
      <w:r>
        <w:rPr>
          <w:rFonts w:ascii="Times New Roman" w:eastAsia="Times New Roman" w:hAnsi="Times New Roman" w:cs="Times New Roman"/>
          <w:b w:val="0"/>
          <w:i w:val="0"/>
          <w:color w:val="000000"/>
          <w:sz w:val="20"/>
          <w:u w:val="none"/>
        </w:rPr>
        <w:t xml:space="preserve"> during the </w:t>
      </w:r>
      <w:r>
        <w:rPr>
          <w:rFonts w:ascii="Times New Roman" w:eastAsia="Times New Roman" w:hAnsi="Times New Roman" w:cs="Times New Roman"/>
          <w:b w:val="0"/>
          <w:i w:val="0"/>
          <w:color w:val="000000"/>
          <w:sz w:val="20"/>
          <w:u w:val="none"/>
        </w:rPr>
        <w:t>six</w:t>
      </w:r>
      <w:r>
        <w:rPr>
          <w:rFonts w:ascii="Times New Roman" w:eastAsia="Times New Roman" w:hAnsi="Times New Roman" w:cs="Times New Roman"/>
          <w:b w:val="0"/>
          <w:i w:val="0"/>
          <w:color w:val="000000"/>
          <w:sz w:val="20"/>
          <w:u w:val="none"/>
        </w:rPr>
        <w:t xml:space="preserve"> months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color w:val="000000"/>
          <w:sz w:val="20"/>
          <w:u w:val="none"/>
        </w:rPr>
        <w:t xml:space="preserve"> included </w:t>
      </w:r>
      <w:r>
        <w:rPr>
          <w:rFonts w:ascii="Times New Roman" w:eastAsia="Times New Roman" w:hAnsi="Times New Roman" w:cs="Times New Roman"/>
          <w:b w:val="0"/>
          <w:i w:val="0"/>
          <w:color w:val="000000"/>
          <w:sz w:val="20"/>
          <w:u w:val="none"/>
        </w:rPr>
        <w:t>$0.1 million</w:t>
      </w:r>
      <w:r>
        <w:rPr>
          <w:rFonts w:ascii="Times New Roman" w:eastAsia="Times New Roman" w:hAnsi="Times New Roman" w:cs="Times New Roman"/>
          <w:b w:val="0"/>
          <w:i w:val="0"/>
          <w:color w:val="000000"/>
          <w:sz w:val="20"/>
          <w:u w:val="none"/>
        </w:rPr>
        <w:t xml:space="preserve"> that was included in deferred revenue as of </w:t>
      </w:r>
      <w:r>
        <w:rPr>
          <w:rFonts w:ascii="Times New Roman" w:eastAsia="Times New Roman" w:hAnsi="Times New Roman" w:cs="Times New Roman"/>
          <w:b w:val="0"/>
          <w:i w:val="0"/>
          <w:color w:val="000000"/>
          <w:sz w:val="20"/>
          <w:u w:val="none"/>
        </w:rPr>
        <w:t>December 31, 2024</w:t>
      </w:r>
      <w:r>
        <w:rPr>
          <w:rFonts w:ascii="Times New Roman" w:eastAsia="Times New Roman" w:hAnsi="Times New Roman" w:cs="Times New Roman"/>
          <w:b w:val="0"/>
          <w:i w:val="0"/>
          <w:color w:val="000000"/>
          <w:sz w:val="20"/>
          <w:u w:val="none"/>
        </w:rPr>
        <w:t xml:space="preserve">.  </w:t>
      </w:r>
    </w:p>
    <w:p>
      <w:pPr>
        <w:keepNext/>
        <w:keepLines w:val="0"/>
        <w:pageBreakBefore w:val="0"/>
        <w:widowControl/>
        <w:numPr>
          <w:ilvl w:val="0"/>
          <w:numId w:val="0"/>
        </w:numPr>
        <w:spacing w:before="18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 xml:space="preserve">Transaction Price </w:t>
      </w:r>
      <w:r>
        <w:rPr>
          <w:rFonts w:ascii="Times New Roman" w:eastAsia="Times New Roman" w:hAnsi="Times New Roman" w:cs="Times New Roman"/>
          <w:b w:val="0"/>
          <w:i/>
          <w:color w:val="000000"/>
          <w:sz w:val="20"/>
          <w:u w:val="none"/>
        </w:rPr>
        <w:t>Allocated</w:t>
      </w:r>
      <w:r>
        <w:rPr>
          <w:rFonts w:ascii="Times New Roman" w:eastAsia="Times New Roman" w:hAnsi="Times New Roman" w:cs="Times New Roman"/>
          <w:b w:val="0"/>
          <w:i/>
          <w:color w:val="000000"/>
          <w:sz w:val="20"/>
          <w:u w:val="none"/>
        </w:rPr>
        <w:t xml:space="preserve"> to Future Performance Obligations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are required to disclose the aggregate amount of transaction price that is allocated to performance obligations that have not yet been satisfied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unless our contracts meet one of the practical expedients.  Our contracts met the practical expedient for a performance obligation that is part of a contract that has an original expected duration of one year or less.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color w:val="000000"/>
          <w:sz w:val="20"/>
          <w:u w:val="none"/>
        </w:rPr>
        <w:sectPr>
          <w:type w:val="continuous"/>
          <w:pgSz w:w="12240" w:h="15840"/>
          <w:pgMar w:top="810" w:right="990" w:bottom="810" w:left="990" w:header="270" w:footer="270"/>
          <w:cols w:space="708"/>
        </w:sectPr>
      </w:pPr>
    </w:p>
    <w:p>
      <w:pPr>
        <w:keepNext/>
        <w:keepLines w:val="0"/>
        <w:pageBreakBefore w:val="0"/>
        <w:widowControl/>
        <w:numPr>
          <w:ilvl w:val="0"/>
          <w:numId w:val="0"/>
        </w:numPr>
        <w:spacing w:before="240" w:after="60" w:line="288" w:lineRule="auto"/>
        <w:ind w:left="0" w:right="0" w:firstLine="0"/>
        <w:jc w:val="left"/>
        <w:outlineLvl w:val="3"/>
        <w:rPr>
          <w:rFonts w:ascii="Times New Roman" w:eastAsia="Times New Roman" w:hAnsi="Times New Roman" w:cs="Times New Roman"/>
          <w:b/>
          <w:i w:val="0"/>
          <w:color w:val="000000"/>
          <w:sz w:val="20"/>
          <w:u w:val="none"/>
        </w:rPr>
      </w:pPr>
      <w:bookmarkStart w:id="12" w:name="Section14"/>
      <w:bookmarkEnd w:id="12"/>
      <w:r>
        <w:rPr>
          <w:rFonts w:ascii="Times New Roman" w:eastAsia="Times New Roman" w:hAnsi="Times New Roman" w:cs="Times New Roman"/>
          <w:b/>
          <w:i w:val="0"/>
          <w:color w:val="000000"/>
          <w:sz w:val="20"/>
          <w:u w:val="none"/>
        </w:rPr>
        <w:t>Note 4</w:t>
      </w:r>
      <w:r>
        <w:rPr>
          <w:rFonts w:ascii="Times New Roman" w:eastAsia="Times New Roman" w:hAnsi="Times New Roman" w:cs="Times New Roman"/>
          <w:b/>
          <w:i w:val="0"/>
          <w:sz w:val="20"/>
        </w:rPr>
        <w:t xml:space="preserve">. </w:t>
      </w:r>
      <w:r>
        <w:rPr>
          <w:rFonts w:ascii="Times New Roman" w:eastAsia="Times New Roman" w:hAnsi="Times New Roman" w:cs="Times New Roman"/>
          <w:b/>
          <w:i w:val="0"/>
          <w:color w:val="000000"/>
          <w:sz w:val="20"/>
          <w:u w:val="none"/>
        </w:rPr>
        <w:t>Accounts Receivable</w:t>
      </w: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color w:val="000000"/>
          <w:sz w:val="20"/>
          <w:highlight w:val="yellow"/>
          <w:u w:val="none"/>
        </w:rPr>
      </w:pPr>
      <w:r>
        <w:rPr>
          <w:rFonts w:ascii="Times New Roman" w:eastAsia="Times New Roman" w:hAnsi="Times New Roman" w:cs="Times New Roman"/>
          <w:b w:val="0"/>
          <w:i w:val="0"/>
          <w:color w:val="000000"/>
          <w:sz w:val="20"/>
          <w:u w:val="none"/>
        </w:rPr>
        <w:t xml:space="preserve">The balance of trade accounts receivable was </w:t>
      </w:r>
      <w:r>
        <w:rPr>
          <w:rFonts w:ascii="Times New Roman" w:eastAsia="Times New Roman" w:hAnsi="Times New Roman" w:cs="Times New Roman"/>
          <w:b w:val="0"/>
          <w:i w:val="0"/>
          <w:color w:val="000000"/>
          <w:sz w:val="20"/>
          <w:u w:val="none"/>
        </w:rPr>
        <w:t>$69.8 million</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$61.5 million</w:t>
      </w:r>
      <w:r>
        <w:rPr>
          <w:rFonts w:ascii="Times New Roman" w:eastAsia="Times New Roman" w:hAnsi="Times New Roman" w:cs="Times New Roman"/>
          <w:b w:val="0"/>
          <w:i w:val="0"/>
          <w:color w:val="000000"/>
          <w:sz w:val="20"/>
          <w:u w:val="none"/>
        </w:rPr>
        <w:t xml:space="preserve"> as of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December 31, 2024</w:t>
      </w:r>
      <w:r>
        <w:rPr>
          <w:rFonts w:ascii="Times New Roman" w:eastAsia="Times New Roman" w:hAnsi="Times New Roman" w:cs="Times New Roman"/>
          <w:b w:val="0"/>
          <w:i w:val="0"/>
          <w:color w:val="000000"/>
          <w:sz w:val="20"/>
          <w:u w:val="none"/>
        </w:rPr>
        <w:t>, respectively.  The following table presents changes in the allowance for credit losses.</w:t>
      </w:r>
    </w:p>
    <w:tbl>
      <w:tblPr>
        <w:tblStyle w:val="TableNormal0"/>
        <w:tblW w:w="10260" w:type="dxa"/>
        <w:jc w:val="left"/>
        <w:tblInd w:w="0" w:type="dxa"/>
        <w:tblLayout w:type="fixed"/>
      </w:tblPr>
      <w:tblGrid>
        <w:gridCol w:w="7185"/>
        <w:gridCol w:w="1500"/>
        <w:gridCol w:w="75"/>
        <w:gridCol w:w="1500"/>
      </w:tblGrid>
      <w:tr>
        <w:tblPrEx>
          <w:tblW w:w="10260" w:type="dxa"/>
          <w:tblInd w:w="0" w:type="dxa"/>
          <w:tblLayout w:type="fixed"/>
        </w:tblPrEx>
        <w:trPr>
          <w:trHeight w:hRule="exact" w:val="255"/>
        </w:trPr>
        <w:tc>
          <w:tcPr>
            <w:tcW w:w="718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307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Six Months Ended June 30,</w:t>
            </w:r>
          </w:p>
        </w:tc>
      </w:tr>
      <w:tr>
        <w:tblPrEx>
          <w:tblW w:w="10260" w:type="dxa"/>
          <w:tblInd w:w="0" w:type="dxa"/>
          <w:tblLayout w:type="fixed"/>
        </w:tblPrEx>
        <w:trPr>
          <w:trHeight w:hRule="exact" w:val="255"/>
        </w:trPr>
        <w:tc>
          <w:tcPr>
            <w:tcW w:w="718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5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5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2025</w:t>
            </w:r>
          </w:p>
        </w:tc>
      </w:tr>
      <w:tr>
        <w:tblPrEx>
          <w:tblW w:w="10260" w:type="dxa"/>
          <w:tblInd w:w="0" w:type="dxa"/>
          <w:tblLayout w:type="fixed"/>
        </w:tblPrEx>
        <w:trPr>
          <w:trHeight w:hRule="exact" w:val="300"/>
        </w:trPr>
        <w:tc>
          <w:tcPr>
            <w:tcW w:w="71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Balance at beginning of period</w:t>
            </w: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1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1,401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1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1,515</w:t>
              <w:tab/>
            </w:r>
          </w:p>
        </w:tc>
      </w:tr>
      <w:tr>
        <w:tblPrEx>
          <w:tblW w:w="10260" w:type="dxa"/>
          <w:tblInd w:w="0" w:type="dxa"/>
          <w:tblLayout w:type="fixed"/>
        </w:tblPrEx>
        <w:trPr>
          <w:trHeight w:hRule="exact" w:val="300"/>
        </w:trPr>
        <w:tc>
          <w:tcPr>
            <w:tcW w:w="71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Additions</w:t>
            </w: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17"/>
                <w:tab w:val="left" w:pos="1432"/>
              </w:tabs>
              <w:spacing w:before="75" w:after="30" w:line="240" w:lineRule="auto"/>
              <w:jc w:val="right"/>
            </w:pPr>
            <w:r>
              <w:rPr>
                <w:rFonts w:ascii="Times New Roman" w:eastAsia="Times New Roman" w:hAnsi="Times New Roman" w:cs="Times New Roman"/>
                <w:b w:val="0"/>
                <w:i w:val="0"/>
                <w:color w:val="000000"/>
                <w:sz w:val="20"/>
                <w:u w:val="none"/>
              </w:rPr>
              <w:tab/>
              <w:t>1,269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67"/>
                <w:tab w:val="left" w:pos="1432"/>
              </w:tabs>
              <w:spacing w:before="75" w:after="30" w:line="240" w:lineRule="auto"/>
              <w:jc w:val="right"/>
            </w:pPr>
            <w:r>
              <w:rPr>
                <w:rFonts w:ascii="Times New Roman" w:eastAsia="Times New Roman" w:hAnsi="Times New Roman" w:cs="Times New Roman"/>
                <w:b w:val="0"/>
                <w:i w:val="0"/>
                <w:color w:val="000000"/>
                <w:sz w:val="20"/>
                <w:u w:val="none"/>
              </w:rPr>
              <w:tab/>
              <w:t>134</w:t>
              <w:tab/>
            </w:r>
          </w:p>
        </w:tc>
      </w:tr>
      <w:tr>
        <w:tblPrEx>
          <w:tblW w:w="10260" w:type="dxa"/>
          <w:tblInd w:w="0" w:type="dxa"/>
          <w:tblLayout w:type="fixed"/>
        </w:tblPrEx>
        <w:trPr>
          <w:trHeight w:hRule="exact" w:val="300"/>
        </w:trPr>
        <w:tc>
          <w:tcPr>
            <w:tcW w:w="71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Write-offs and other</w:t>
            </w:r>
          </w:p>
        </w:tc>
        <w:tc>
          <w:tcPr>
            <w:tcW w:w="15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81"/>
              </w:tabs>
              <w:spacing w:before="75" w:after="30" w:line="240" w:lineRule="auto"/>
              <w:jc w:val="right"/>
            </w:pPr>
            <w:r>
              <w:rPr>
                <w:rFonts w:ascii="Times New Roman" w:eastAsia="Times New Roman" w:hAnsi="Times New Roman" w:cs="Times New Roman"/>
                <w:b w:val="0"/>
                <w:i w:val="0"/>
                <w:color w:val="000000"/>
                <w:sz w:val="20"/>
                <w:u w:val="none"/>
              </w:rPr>
              <w:tab/>
              <w:t>(15)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81"/>
              </w:tabs>
              <w:spacing w:before="75" w:after="30" w:line="240" w:lineRule="auto"/>
              <w:jc w:val="right"/>
            </w:pPr>
            <w:r>
              <w:rPr>
                <w:rFonts w:ascii="Times New Roman" w:eastAsia="Times New Roman" w:hAnsi="Times New Roman" w:cs="Times New Roman"/>
                <w:b w:val="0"/>
                <w:i w:val="0"/>
                <w:color w:val="000000"/>
                <w:sz w:val="20"/>
                <w:u w:val="none"/>
              </w:rPr>
              <w:tab/>
              <w:t>(86)</w:t>
            </w:r>
          </w:p>
        </w:tc>
      </w:tr>
      <w:tr>
        <w:tblPrEx>
          <w:tblW w:w="10260" w:type="dxa"/>
          <w:tblInd w:w="0" w:type="dxa"/>
          <w:tblLayout w:type="fixed"/>
        </w:tblPrEx>
        <w:trPr>
          <w:trHeight w:hRule="exact" w:val="300"/>
        </w:trPr>
        <w:tc>
          <w:tcPr>
            <w:tcW w:w="718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Currency impact</w:t>
            </w:r>
          </w:p>
        </w:tc>
        <w:tc>
          <w:tcPr>
            <w:tcW w:w="15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81"/>
              </w:tabs>
              <w:spacing w:before="75" w:after="30" w:line="240" w:lineRule="auto"/>
              <w:jc w:val="right"/>
            </w:pPr>
            <w:r>
              <w:rPr>
                <w:rFonts w:ascii="Times New Roman" w:eastAsia="Times New Roman" w:hAnsi="Times New Roman" w:cs="Times New Roman"/>
                <w:b w:val="0"/>
                <w:i w:val="0"/>
                <w:color w:val="000000"/>
                <w:sz w:val="20"/>
                <w:u w:val="none"/>
              </w:rPr>
              <w:tab/>
              <w:t>(4)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167"/>
                <w:tab w:val="left" w:pos="1432"/>
              </w:tabs>
              <w:spacing w:before="75" w:after="30" w:line="240" w:lineRule="auto"/>
              <w:jc w:val="right"/>
            </w:pPr>
            <w:r>
              <w:rPr>
                <w:rFonts w:ascii="Times New Roman" w:eastAsia="Times New Roman" w:hAnsi="Times New Roman" w:cs="Times New Roman"/>
                <w:b w:val="0"/>
                <w:i w:val="0"/>
                <w:color w:val="000000"/>
                <w:sz w:val="20"/>
                <w:u w:val="none"/>
              </w:rPr>
              <w:tab/>
              <w:t>37</w:t>
              <w:tab/>
            </w:r>
          </w:p>
        </w:tc>
      </w:tr>
      <w:tr>
        <w:tblPrEx>
          <w:tblW w:w="10260" w:type="dxa"/>
          <w:tblInd w:w="0" w:type="dxa"/>
          <w:tblLayout w:type="fixed"/>
        </w:tblPrEx>
        <w:trPr>
          <w:trHeight w:hRule="exact" w:val="300"/>
        </w:trPr>
        <w:tc>
          <w:tcPr>
            <w:tcW w:w="718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55" w:after="30" w:line="240" w:lineRule="auto"/>
              <w:jc w:val="left"/>
            </w:pPr>
            <w:r>
              <w:rPr>
                <w:rFonts w:ascii="Times New Roman" w:eastAsia="Times New Roman" w:hAnsi="Times New Roman" w:cs="Times New Roman"/>
                <w:b w:val="0"/>
                <w:i w:val="0"/>
                <w:color w:val="000000"/>
                <w:sz w:val="20"/>
                <w:u w:val="none"/>
              </w:rPr>
              <w:t>Balance at end of period</w:t>
            </w:r>
          </w:p>
        </w:tc>
        <w:tc>
          <w:tcPr>
            <w:tcW w:w="15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91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2,651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5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91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1,600</w:t>
              <w:tab/>
            </w:r>
          </w:p>
        </w:tc>
      </w:tr>
    </w:tbl>
    <w:p>
      <w:pPr>
        <w:keepNext/>
        <w:keepLines w:val="0"/>
        <w:pageBreakBefore w:val="0"/>
        <w:widowControl/>
        <w:numPr>
          <w:ilvl w:val="0"/>
          <w:numId w:val="0"/>
        </w:numPr>
        <w:spacing w:before="12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participate in programs that allow us to sell certain receivables from customers on a non-recourse basis to third-party financial institutions.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we incurred fees of $</w:t>
      </w:r>
      <w:r>
        <w:rPr>
          <w:rFonts w:ascii="Times New Roman" w:eastAsia="Times New Roman" w:hAnsi="Times New Roman" w:cs="Times New Roman"/>
          <w:b w:val="0"/>
          <w:i w:val="0"/>
          <w:color w:val="000000"/>
          <w:sz w:val="20"/>
          <w:u w:val="none"/>
        </w:rPr>
        <w:t>0.3 million</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0.3 million</w:t>
      </w:r>
      <w:r>
        <w:rPr>
          <w:rFonts w:ascii="Times New Roman" w:eastAsia="Times New Roman" w:hAnsi="Times New Roman" w:cs="Times New Roman"/>
          <w:b w:val="0"/>
          <w:i w:val="0"/>
          <w:color w:val="000000"/>
          <w:sz w:val="20"/>
          <w:u w:val="none"/>
        </w:rPr>
        <w:t xml:space="preserve">, respectively, related to the sale of receivables, which is recorded in the </w:t>
      </w:r>
      <w:r>
        <w:rPr>
          <w:rFonts w:ascii="Times New Roman" w:eastAsia="Times New Roman" w:hAnsi="Times New Roman" w:cs="Times New Roman"/>
          <w:b w:val="0"/>
          <w:i w:val="0"/>
          <w:color w:val="000000"/>
          <w:sz w:val="20"/>
          <w:u w:val="none"/>
        </w:rPr>
        <w:t>Other expense (income), net</w:t>
      </w:r>
      <w:r>
        <w:rPr>
          <w:rFonts w:ascii="Times New Roman" w:eastAsia="Times New Roman" w:hAnsi="Times New Roman" w:cs="Times New Roman"/>
          <w:b w:val="0"/>
          <w:i w:val="0"/>
          <w:color w:val="000000"/>
          <w:sz w:val="20"/>
          <w:u w:val="none"/>
        </w:rPr>
        <w:t xml:space="preserve"> line item on the </w:t>
      </w:r>
      <w:r>
        <w:rPr>
          <w:rFonts w:ascii="Times New Roman" w:eastAsia="Times New Roman" w:hAnsi="Times New Roman" w:cs="Times New Roman"/>
          <w:b w:val="0"/>
          <w:i w:val="0"/>
          <w:color w:val="000000"/>
          <w:sz w:val="20"/>
          <w:u w:val="none"/>
        </w:rPr>
        <w:t>Condensed Consolidated</w:t>
      </w:r>
      <w:r>
        <w:rPr>
          <w:rFonts w:ascii="Times New Roman" w:eastAsia="Times New Roman" w:hAnsi="Times New Roman" w:cs="Times New Roman"/>
          <w:b w:val="0"/>
          <w:i w:val="0"/>
          <w:color w:val="000000"/>
          <w:sz w:val="20"/>
          <w:u w:val="none"/>
        </w:rPr>
        <w:t xml:space="preserve"> Statements of Operations and Comprehensive Income (Loss). </w:t>
      </w:r>
    </w:p>
    <w:p>
      <w:pPr>
        <w:keepNext/>
        <w:keepLines w:val="0"/>
        <w:pageBreakBefore w:val="0"/>
        <w:widowControl/>
        <w:numPr>
          <w:ilvl w:val="0"/>
          <w:numId w:val="0"/>
        </w:numPr>
        <w:spacing w:before="10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and</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there were no customers that represented </w:t>
      </w:r>
      <w:r>
        <w:rPr>
          <w:rFonts w:ascii="Times New Roman" w:eastAsia="Times New Roman" w:hAnsi="Times New Roman" w:cs="Times New Roman"/>
          <w:b w:val="0"/>
          <w:i w:val="0"/>
          <w:color w:val="000000"/>
          <w:sz w:val="20"/>
          <w:u w:val="none"/>
        </w:rPr>
        <w:t>10%</w:t>
      </w:r>
      <w:r>
        <w:rPr>
          <w:rFonts w:ascii="Times New Roman" w:eastAsia="Times New Roman" w:hAnsi="Times New Roman" w:cs="Times New Roman"/>
          <w:b w:val="0"/>
          <w:i w:val="0"/>
          <w:color w:val="000000"/>
          <w:sz w:val="20"/>
          <w:u w:val="none"/>
        </w:rPr>
        <w:t xml:space="preserve"> of consolidated accounts receivable</w:t>
      </w:r>
      <w:r>
        <w:rPr>
          <w:rFonts w:ascii="Times New Roman" w:eastAsia="Times New Roman" w:hAnsi="Times New Roman" w:cs="Times New Roman"/>
          <w:b w:val="0"/>
          <w:i w:val="0"/>
          <w:sz w:val="20"/>
        </w:rPr>
        <w:t>.</w:t>
      </w:r>
    </w:p>
    <w:p>
      <w:pPr>
        <w:keepNext/>
        <w:keepLines w:val="0"/>
        <w:pageBreakBefore w:val="0"/>
        <w:widowControl/>
        <w:numPr>
          <w:ilvl w:val="0"/>
          <w:numId w:val="0"/>
        </w:numPr>
        <w:spacing w:before="100" w:after="120" w:line="288" w:lineRule="auto"/>
        <w:ind w:left="0" w:right="0" w:firstLine="0"/>
        <w:jc w:val="left"/>
        <w:outlineLvl w:val="9"/>
        <w:rPr>
          <w:rFonts w:ascii="Times New Roman" w:eastAsia="Times New Roman" w:hAnsi="Times New Roman" w:cs="Times New Roman"/>
          <w:b w:val="0"/>
          <w:i w:val="0"/>
          <w:color w:val="000000"/>
          <w:sz w:val="20"/>
          <w:u w:val="none"/>
        </w:rPr>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0" w:right="0" w:firstLine="0"/>
        <w:jc w:val="left"/>
        <w:outlineLvl w:val="3"/>
        <w:rPr>
          <w:rFonts w:ascii="Times New Roman" w:eastAsia="Times New Roman" w:hAnsi="Times New Roman" w:cs="Times New Roman"/>
          <w:b/>
          <w:i w:val="0"/>
          <w:color w:val="000000"/>
          <w:sz w:val="20"/>
          <w:u w:val="none"/>
        </w:rPr>
      </w:pPr>
      <w:bookmarkStart w:id="13" w:name="Section15"/>
      <w:bookmarkEnd w:id="13"/>
      <w:r>
        <w:rPr>
          <w:rFonts w:ascii="Times New Roman" w:eastAsia="Times New Roman" w:hAnsi="Times New Roman" w:cs="Times New Roman"/>
          <w:b/>
          <w:i w:val="0"/>
          <w:color w:val="000000"/>
          <w:sz w:val="20"/>
          <w:u w:val="none"/>
        </w:rPr>
        <w:t>Note 5</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Inventories</w:t>
      </w:r>
      <w:r>
        <w:rPr>
          <w:rFonts w:ascii="Times New Roman" w:eastAsia="Times New Roman" w:hAnsi="Times New Roman" w:cs="Times New Roman"/>
          <w:b/>
          <w:i w:val="0"/>
          <w:color w:val="000000"/>
          <w:sz w:val="20"/>
          <w:u w:val="none"/>
        </w:rPr>
        <w:t xml:space="preserve"> </w:t>
      </w: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Inventories are comprised of the following amounts:</w:t>
      </w:r>
    </w:p>
    <w:tbl>
      <w:tblPr>
        <w:tblStyle w:val="TableNormal0"/>
        <w:tblW w:w="10260" w:type="dxa"/>
        <w:jc w:val="left"/>
        <w:tblInd w:w="0" w:type="dxa"/>
        <w:tblLayout w:type="fixed"/>
      </w:tblPr>
      <w:tblGrid>
        <w:gridCol w:w="7185"/>
        <w:gridCol w:w="1500"/>
        <w:gridCol w:w="75"/>
        <w:gridCol w:w="1500"/>
      </w:tblGrid>
      <w:tr>
        <w:tblPrEx>
          <w:tblW w:w="10260" w:type="dxa"/>
          <w:tblInd w:w="0" w:type="dxa"/>
          <w:tblLayout w:type="fixed"/>
        </w:tblPrEx>
        <w:trPr>
          <w:trHeight w:hRule="exact" w:val="255"/>
        </w:trPr>
        <w:tc>
          <w:tcPr>
            <w:tcW w:w="71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5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June 30, 2026</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5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December 31, 2025</w:t>
            </w:r>
          </w:p>
        </w:tc>
      </w:tr>
      <w:tr>
        <w:tblPrEx>
          <w:tblW w:w="10260" w:type="dxa"/>
          <w:tblInd w:w="0" w:type="dxa"/>
          <w:tblLayout w:type="fixed"/>
        </w:tblPrEx>
        <w:trPr>
          <w:trHeight w:hRule="exact" w:val="285"/>
        </w:trPr>
        <w:tc>
          <w:tcPr>
            <w:tcW w:w="718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Raw materials</w:t>
            </w: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1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27,631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1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26,528</w:t>
              <w:tab/>
            </w:r>
          </w:p>
        </w:tc>
      </w:tr>
      <w:tr>
        <w:tblPrEx>
          <w:tblW w:w="10260" w:type="dxa"/>
          <w:tblInd w:w="0" w:type="dxa"/>
          <w:tblLayout w:type="fixed"/>
        </w:tblPrEx>
        <w:trPr>
          <w:trHeight w:hRule="exact" w:val="285"/>
        </w:trPr>
        <w:tc>
          <w:tcPr>
            <w:tcW w:w="718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Work in process</w:t>
            </w: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17"/>
                <w:tab w:val="left" w:pos="1432"/>
              </w:tabs>
              <w:spacing w:before="75" w:after="30" w:line="240" w:lineRule="auto"/>
              <w:jc w:val="right"/>
            </w:pPr>
            <w:r>
              <w:rPr>
                <w:rFonts w:ascii="Times New Roman" w:eastAsia="Times New Roman" w:hAnsi="Times New Roman" w:cs="Times New Roman"/>
                <w:b w:val="0"/>
                <w:i w:val="0"/>
                <w:color w:val="000000"/>
                <w:sz w:val="20"/>
                <w:u w:val="none"/>
              </w:rPr>
              <w:tab/>
              <w:t>22,534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17"/>
                <w:tab w:val="left" w:pos="1432"/>
              </w:tabs>
              <w:spacing w:before="75" w:after="30" w:line="240" w:lineRule="auto"/>
              <w:jc w:val="right"/>
            </w:pPr>
            <w:r>
              <w:rPr>
                <w:rFonts w:ascii="Times New Roman" w:eastAsia="Times New Roman" w:hAnsi="Times New Roman" w:cs="Times New Roman"/>
                <w:b w:val="0"/>
                <w:i w:val="0"/>
                <w:color w:val="000000"/>
                <w:sz w:val="20"/>
                <w:u w:val="none"/>
              </w:rPr>
              <w:tab/>
              <w:t>19,739</w:t>
              <w:tab/>
            </w:r>
          </w:p>
        </w:tc>
      </w:tr>
      <w:tr>
        <w:tblPrEx>
          <w:tblW w:w="10260" w:type="dxa"/>
          <w:tblInd w:w="0" w:type="dxa"/>
          <w:tblLayout w:type="fixed"/>
        </w:tblPrEx>
        <w:trPr>
          <w:trHeight w:hRule="exact" w:val="285"/>
        </w:trPr>
        <w:tc>
          <w:tcPr>
            <w:tcW w:w="718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Finished goods</w:t>
            </w:r>
          </w:p>
        </w:tc>
        <w:tc>
          <w:tcPr>
            <w:tcW w:w="15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7"/>
                <w:tab w:val="left" w:pos="1432"/>
              </w:tabs>
              <w:spacing w:before="75" w:after="30" w:line="240" w:lineRule="auto"/>
              <w:jc w:val="right"/>
            </w:pPr>
            <w:r>
              <w:rPr>
                <w:rFonts w:ascii="Times New Roman" w:eastAsia="Times New Roman" w:hAnsi="Times New Roman" w:cs="Times New Roman"/>
                <w:b w:val="0"/>
                <w:i w:val="0"/>
                <w:color w:val="000000"/>
                <w:sz w:val="20"/>
                <w:u w:val="none"/>
              </w:rPr>
              <w:tab/>
              <w:t>19,191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17"/>
                <w:tab w:val="left" w:pos="1432"/>
              </w:tabs>
              <w:spacing w:before="75" w:after="30" w:line="240" w:lineRule="auto"/>
              <w:jc w:val="right"/>
            </w:pPr>
            <w:r>
              <w:rPr>
                <w:rFonts w:ascii="Times New Roman" w:eastAsia="Times New Roman" w:hAnsi="Times New Roman" w:cs="Times New Roman"/>
                <w:b w:val="0"/>
                <w:i w:val="0"/>
                <w:color w:val="000000"/>
                <w:sz w:val="20"/>
                <w:u w:val="none"/>
              </w:rPr>
              <w:tab/>
              <w:t>19,711</w:t>
              <w:tab/>
            </w:r>
          </w:p>
        </w:tc>
      </w:tr>
      <w:tr>
        <w:tblPrEx>
          <w:tblW w:w="10260" w:type="dxa"/>
          <w:tblInd w:w="0" w:type="dxa"/>
          <w:tblLayout w:type="fixed"/>
        </w:tblPrEx>
        <w:trPr>
          <w:trHeight w:hRule="exact" w:val="285"/>
        </w:trPr>
        <w:tc>
          <w:tcPr>
            <w:tcW w:w="7185" w:type="dxa"/>
            <w:tcBorders>
              <w:top w:val="nil"/>
              <w:left w:val="nil"/>
              <w:bottom w:val="nil"/>
              <w:right w:val="nil"/>
            </w:tcBorders>
            <w:shd w:val="clear" w:color="auto" w:fill="FFFFFF"/>
            <w:tcMar>
              <w:top w:w="0" w:type="dxa"/>
              <w:left w:w="53" w:type="dxa"/>
              <w:bottom w:w="0" w:type="dxa"/>
              <w:right w:w="53" w:type="dxa"/>
            </w:tcMar>
            <w:vAlign w:val="top"/>
          </w:tcPr>
          <w:p>
            <w:pPr>
              <w:pageBreakBefore w:val="0"/>
              <w:spacing w:before="55" w:after="30" w:line="240" w:lineRule="auto"/>
              <w:ind w:left="135"/>
              <w:jc w:val="left"/>
            </w:pPr>
            <w:r>
              <w:rPr>
                <w:rFonts w:ascii="Times New Roman" w:eastAsia="Times New Roman" w:hAnsi="Times New Roman" w:cs="Times New Roman"/>
                <w:b w:val="0"/>
                <w:i w:val="0"/>
                <w:color w:val="000000"/>
                <w:sz w:val="20"/>
                <w:u w:val="none"/>
              </w:rPr>
              <w:t>Total inventories</w:t>
            </w:r>
          </w:p>
        </w:tc>
        <w:tc>
          <w:tcPr>
            <w:tcW w:w="15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81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69,356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5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81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65,978</w:t>
              <w:tab/>
            </w:r>
          </w:p>
        </w:tc>
      </w:tr>
    </w:tbl>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
          <w:u w:val="none"/>
        </w:rPr>
      </w:pP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
          <w:u w:val="none"/>
        </w:rPr>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0" w:right="0" w:firstLine="0"/>
        <w:jc w:val="left"/>
        <w:outlineLvl w:val="3"/>
        <w:rPr>
          <w:rFonts w:ascii="Times New Roman" w:eastAsia="Times New Roman" w:hAnsi="Times New Roman" w:cs="Times New Roman"/>
          <w:b/>
          <w:i w:val="0"/>
          <w:color w:val="000000"/>
          <w:sz w:val="20"/>
          <w:u w:val="none"/>
        </w:rPr>
      </w:pPr>
      <w:bookmarkStart w:id="14" w:name="Section16"/>
      <w:bookmarkEnd w:id="14"/>
      <w:r>
        <w:rPr>
          <w:rFonts w:ascii="Times New Roman" w:eastAsia="Times New Roman" w:hAnsi="Times New Roman" w:cs="Times New Roman"/>
          <w:b/>
          <w:i w:val="0"/>
          <w:color w:val="000000"/>
          <w:sz w:val="20"/>
          <w:u w:val="none"/>
        </w:rPr>
        <w:t>Note 6</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Intangible Assets</w:t>
      </w:r>
      <w:r>
        <w:rPr>
          <w:rFonts w:ascii="Times New Roman" w:eastAsia="Times New Roman" w:hAnsi="Times New Roman" w:cs="Times New Roman"/>
          <w:b/>
          <w:i w:val="0"/>
          <w:color w:val="000000"/>
          <w:sz w:val="20"/>
          <w:u w:val="none"/>
        </w:rPr>
        <w:t xml:space="preserve"> </w:t>
      </w: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shows changes in the carrying amount of intangible assets, net, by reportable segment.</w:t>
      </w:r>
    </w:p>
    <w:tbl>
      <w:tblPr>
        <w:tblStyle w:val="TableNormal0"/>
        <w:tblW w:w="10260" w:type="dxa"/>
        <w:jc w:val="left"/>
        <w:tblInd w:w="0" w:type="dxa"/>
        <w:tblLayout w:type="fixed"/>
      </w:tblPr>
      <w:tblGrid>
        <w:gridCol w:w="5925"/>
        <w:gridCol w:w="1395"/>
        <w:gridCol w:w="75"/>
        <w:gridCol w:w="1395"/>
        <w:gridCol w:w="75"/>
        <w:gridCol w:w="1395"/>
      </w:tblGrid>
      <w:tr>
        <w:tblPrEx>
          <w:tblW w:w="10260" w:type="dxa"/>
          <w:tblInd w:w="0" w:type="dxa"/>
          <w:tblLayout w:type="fixed"/>
        </w:tblPrEx>
        <w:trPr>
          <w:trHeight w:hRule="exact" w:val="420"/>
        </w:trPr>
        <w:tc>
          <w:tcPr>
            <w:tcW w:w="59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Mobile</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Power</w:t>
            </w:r>
          </w:p>
          <w:p>
            <w:pPr>
              <w:spacing w:after="30" w:line="240" w:lineRule="auto"/>
              <w:jc w:val="center"/>
            </w:pPr>
            <w:r>
              <w:rPr>
                <w:rFonts w:ascii="Times New Roman" w:eastAsia="Times New Roman" w:hAnsi="Times New Roman" w:cs="Times New Roman"/>
                <w:b/>
                <w:i w:val="0"/>
                <w:color w:val="000000"/>
                <w:sz w:val="16"/>
                <w:u w:val="none"/>
              </w:rPr>
              <w:t>Solutions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Total</w:t>
            </w:r>
          </w:p>
        </w:tc>
      </w:tr>
      <w:tr>
        <w:tblPrEx>
          <w:tblW w:w="10260" w:type="dxa"/>
          <w:tblInd w:w="0" w:type="dxa"/>
          <w:tblLayout w:type="fixed"/>
        </w:tblPrEx>
        <w:trPr>
          <w:trHeight w:hRule="exact" w:val="285"/>
        </w:trPr>
        <w:tc>
          <w:tcPr>
            <w:tcW w:w="592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Balance as of December 31, 2025</w:t>
            </w:r>
          </w:p>
        </w:tc>
        <w:tc>
          <w:tcPr>
            <w:tcW w:w="13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12"/>
                <w:tab w:val="left" w:pos="1327"/>
              </w:tabs>
              <w:spacing w:before="55" w:after="30" w:line="240" w:lineRule="auto"/>
              <w:jc w:val="right"/>
            </w:pPr>
            <w:r>
              <w:rPr>
                <w:rFonts w:ascii="Times New Roman" w:eastAsia="Times New Roman" w:hAnsi="Times New Roman" w:cs="Times New Roman"/>
                <w:b w:val="0"/>
                <w:i w:val="0"/>
                <w:color w:val="000000"/>
                <w:sz w:val="20"/>
                <w:u w:val="none"/>
              </w:rPr>
              <w:t>$</w:t>
              <w:tab/>
              <w:t>12,296</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12"/>
                <w:tab w:val="left" w:pos="1327"/>
              </w:tabs>
              <w:spacing w:before="55" w:after="30" w:line="240" w:lineRule="auto"/>
              <w:jc w:val="right"/>
            </w:pPr>
            <w:r>
              <w:rPr>
                <w:rFonts w:ascii="Times New Roman" w:eastAsia="Times New Roman" w:hAnsi="Times New Roman" w:cs="Times New Roman"/>
                <w:b w:val="0"/>
                <w:i w:val="0"/>
                <w:color w:val="000000"/>
                <w:sz w:val="20"/>
                <w:u w:val="none"/>
              </w:rPr>
              <w:t>$</w:t>
              <w:tab/>
              <w:t>18,493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12"/>
                <w:tab w:val="left" w:pos="1327"/>
              </w:tabs>
              <w:spacing w:before="55" w:after="30" w:line="240" w:lineRule="auto"/>
              <w:jc w:val="right"/>
            </w:pPr>
            <w:r>
              <w:rPr>
                <w:rFonts w:ascii="Times New Roman" w:eastAsia="Times New Roman" w:hAnsi="Times New Roman" w:cs="Times New Roman"/>
                <w:b w:val="0"/>
                <w:i w:val="0"/>
                <w:color w:val="000000"/>
                <w:sz w:val="20"/>
                <w:u w:val="none"/>
              </w:rPr>
              <w:t>$</w:t>
              <w:tab/>
              <w:t>30,789</w:t>
              <w:tab/>
            </w:r>
          </w:p>
        </w:tc>
      </w:tr>
      <w:tr>
        <w:tblPrEx>
          <w:tblW w:w="10260" w:type="dxa"/>
          <w:tblInd w:w="0" w:type="dxa"/>
          <w:tblLayout w:type="fixed"/>
        </w:tblPrEx>
        <w:trPr>
          <w:trHeight w:hRule="exact" w:val="285"/>
        </w:trPr>
        <w:tc>
          <w:tcPr>
            <w:tcW w:w="592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Amortization</w:t>
            </w:r>
          </w:p>
        </w:tc>
        <w:tc>
          <w:tcPr>
            <w:tcW w:w="139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6"/>
              </w:tabs>
              <w:spacing w:before="75" w:after="30" w:line="240" w:lineRule="auto"/>
              <w:jc w:val="right"/>
            </w:pPr>
            <w:r>
              <w:rPr>
                <w:rFonts w:ascii="Times New Roman" w:eastAsia="Times New Roman" w:hAnsi="Times New Roman" w:cs="Times New Roman"/>
                <w:b w:val="0"/>
                <w:i w:val="0"/>
                <w:color w:val="000000"/>
                <w:sz w:val="20"/>
                <w:u w:val="none"/>
              </w:rPr>
              <w:tab/>
              <w:t>(1,677)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9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6"/>
              </w:tabs>
              <w:spacing w:before="75" w:after="30" w:line="240" w:lineRule="auto"/>
              <w:jc w:val="right"/>
            </w:pPr>
            <w:r>
              <w:rPr>
                <w:rFonts w:ascii="Times New Roman" w:eastAsia="Times New Roman" w:hAnsi="Times New Roman" w:cs="Times New Roman"/>
                <w:b w:val="0"/>
                <w:i w:val="0"/>
                <w:color w:val="000000"/>
                <w:sz w:val="20"/>
                <w:u w:val="none"/>
              </w:rPr>
              <w:tab/>
              <w:t>(5,134)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9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6"/>
              </w:tabs>
              <w:spacing w:before="75" w:after="30" w:line="240" w:lineRule="auto"/>
              <w:jc w:val="right"/>
            </w:pPr>
            <w:r>
              <w:rPr>
                <w:rFonts w:ascii="Times New Roman" w:eastAsia="Times New Roman" w:hAnsi="Times New Roman" w:cs="Times New Roman"/>
                <w:b w:val="0"/>
                <w:i w:val="0"/>
                <w:color w:val="000000"/>
                <w:sz w:val="20"/>
                <w:u w:val="none"/>
              </w:rPr>
              <w:tab/>
              <w:t>(6,811)</w:t>
            </w:r>
          </w:p>
        </w:tc>
      </w:tr>
      <w:tr>
        <w:tblPrEx>
          <w:tblW w:w="10260" w:type="dxa"/>
          <w:tblInd w:w="0" w:type="dxa"/>
          <w:tblLayout w:type="fixed"/>
        </w:tblPrEx>
        <w:trPr>
          <w:trHeight w:hRule="exact" w:val="285"/>
        </w:trPr>
        <w:tc>
          <w:tcPr>
            <w:tcW w:w="5925" w:type="dxa"/>
            <w:tcBorders>
              <w:top w:val="nil"/>
              <w:left w:val="nil"/>
              <w:bottom w:val="nil"/>
              <w:right w:val="nil"/>
            </w:tcBorders>
            <w:shd w:val="clear" w:color="auto" w:fill="CCEEFF"/>
            <w:tcMar>
              <w:top w:w="0" w:type="dxa"/>
              <w:left w:w="53" w:type="dxa"/>
              <w:bottom w:w="0" w:type="dxa"/>
              <w:right w:w="53" w:type="dxa"/>
            </w:tcMar>
            <w:vAlign w:val="top"/>
          </w:tcPr>
          <w:p>
            <w:pPr>
              <w:pageBreakBefore w:val="0"/>
              <w:spacing w:before="55" w:after="30" w:line="240" w:lineRule="auto"/>
              <w:jc w:val="left"/>
            </w:pPr>
            <w:r>
              <w:rPr>
                <w:rFonts w:ascii="Times New Roman" w:eastAsia="Times New Roman" w:hAnsi="Times New Roman" w:cs="Times New Roman"/>
                <w:b w:val="0"/>
                <w:i w:val="0"/>
                <w:color w:val="000000"/>
                <w:sz w:val="20"/>
                <w:u w:val="none"/>
              </w:rPr>
              <w:t>Balance as of June 30, 2026</w:t>
            </w:r>
          </w:p>
        </w:tc>
        <w:tc>
          <w:tcPr>
            <w:tcW w:w="13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12"/>
                <w:tab w:val="left" w:pos="1327"/>
              </w:tabs>
              <w:spacing w:before="55" w:after="30" w:line="240" w:lineRule="auto"/>
              <w:jc w:val="right"/>
            </w:pPr>
            <w:r>
              <w:rPr>
                <w:rFonts w:ascii="Times New Roman" w:eastAsia="Times New Roman" w:hAnsi="Times New Roman" w:cs="Times New Roman"/>
                <w:b w:val="0"/>
                <w:i w:val="0"/>
                <w:color w:val="000000"/>
                <w:sz w:val="20"/>
                <w:u w:val="none"/>
              </w:rPr>
              <w:t>$</w:t>
              <w:tab/>
              <w:t>10,619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12"/>
                <w:tab w:val="left" w:pos="1327"/>
              </w:tabs>
              <w:spacing w:before="55" w:after="30" w:line="240" w:lineRule="auto"/>
              <w:jc w:val="right"/>
            </w:pPr>
            <w:r>
              <w:rPr>
                <w:rFonts w:ascii="Times New Roman" w:eastAsia="Times New Roman" w:hAnsi="Times New Roman" w:cs="Times New Roman"/>
                <w:b w:val="0"/>
                <w:i w:val="0"/>
                <w:color w:val="000000"/>
                <w:sz w:val="20"/>
                <w:u w:val="none"/>
              </w:rPr>
              <w:t>$</w:t>
              <w:tab/>
              <w:t>13,359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9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12"/>
                <w:tab w:val="left" w:pos="1327"/>
              </w:tabs>
              <w:spacing w:before="55" w:after="30" w:line="240" w:lineRule="auto"/>
              <w:jc w:val="right"/>
            </w:pPr>
            <w:r>
              <w:rPr>
                <w:rFonts w:ascii="Times New Roman" w:eastAsia="Times New Roman" w:hAnsi="Times New Roman" w:cs="Times New Roman"/>
                <w:b w:val="0"/>
                <w:i w:val="0"/>
                <w:color w:val="000000"/>
                <w:sz w:val="20"/>
                <w:u w:val="none"/>
              </w:rPr>
              <w:t>$</w:t>
              <w:tab/>
              <w:t>23,978</w:t>
              <w:tab/>
            </w:r>
          </w:p>
        </w:tc>
      </w:tr>
    </w:tbl>
    <w:p>
      <w:pPr>
        <w:keepNext w:val="0"/>
        <w:keepLines w:val="0"/>
        <w:pageBreakBefore w:val="0"/>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88" w:lineRule="auto"/>
        <w:ind w:left="0" w:right="0" w:firstLine="0"/>
        <w:jc w:val="left"/>
        <w:outlineLvl w:val="9"/>
        <w:rPr>
          <w:rFonts w:ascii="Times New Roman" w:eastAsia="Times New Roman" w:hAnsi="Times New Roman" w:cs="Times New Roman"/>
          <w:b w:val="0"/>
          <w:i/>
          <w:color w:val="000000"/>
          <w:sz w:val="16"/>
          <w:u w:val="none"/>
        </w:rPr>
      </w:pPr>
      <w:r>
        <w:rPr>
          <w:rFonts w:ascii="Times New Roman" w:eastAsia="Times New Roman" w:hAnsi="Times New Roman" w:cs="Times New Roman"/>
          <w:b w:val="0"/>
          <w:i w:val="0"/>
          <w:color w:val="000000"/>
          <w:sz w:val="20"/>
          <w:u w:val="none"/>
        </w:rPr>
        <w:t xml:space="preserve">Intangible assets are reviewed for impairment when changes in circumstances indicate the carrying value of those assets may not be recoverable.  </w:t>
      </w:r>
      <w:r>
        <w:rPr>
          <w:rFonts w:ascii="Times New Roman" w:eastAsia="Times New Roman" w:hAnsi="Times New Roman" w:cs="Times New Roman"/>
          <w:b w:val="0"/>
          <w:i w:val="0"/>
          <w:color w:val="000000"/>
          <w:sz w:val="20"/>
          <w:u w:val="none"/>
        </w:rPr>
        <w:t xml:space="preserve">There were no impairment charges for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w:t>
      </w:r>
    </w:p>
    <w:p>
      <w:pPr>
        <w:keepNext w:val="0"/>
        <w:keepLines w:val="0"/>
        <w:pageBreakBefore w:val="0"/>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88" w:lineRule="auto"/>
        <w:ind w:left="0" w:right="0" w:firstLine="0"/>
        <w:jc w:val="left"/>
        <w:outlineLvl w:val="9"/>
        <w:rPr>
          <w:rFonts w:ascii="Times New Roman" w:eastAsia="Times New Roman" w:hAnsi="Times New Roman" w:cs="Times New Roman"/>
          <w:b w:val="0"/>
          <w:i/>
          <w:color w:val="000000"/>
          <w:sz w:val="16"/>
          <w:u w:val="none"/>
        </w:rPr>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0" w:right="0" w:firstLine="0"/>
        <w:jc w:val="left"/>
        <w:outlineLvl w:val="3"/>
        <w:rPr>
          <w:rFonts w:ascii="Times New Roman" w:eastAsia="Times New Roman" w:hAnsi="Times New Roman" w:cs="Times New Roman"/>
          <w:b/>
          <w:i w:val="0"/>
          <w:color w:val="000000"/>
          <w:sz w:val="20"/>
          <w:u w:val="none"/>
        </w:rPr>
      </w:pPr>
      <w:bookmarkStart w:id="15" w:name="Section17"/>
      <w:bookmarkEnd w:id="15"/>
      <w:r>
        <w:rPr>
          <w:rFonts w:ascii="Times New Roman" w:eastAsia="Times New Roman" w:hAnsi="Times New Roman" w:cs="Times New Roman"/>
          <w:b/>
          <w:i w:val="0"/>
          <w:color w:val="000000"/>
          <w:sz w:val="20"/>
          <w:u w:val="none"/>
        </w:rPr>
        <w:t>Note 7</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Investment in Joint Venture</w:t>
      </w:r>
      <w:r>
        <w:rPr>
          <w:rFonts w:ascii="Times New Roman" w:eastAsia="Times New Roman" w:hAnsi="Times New Roman" w:cs="Times New Roman"/>
          <w:b/>
          <w:i w:val="0"/>
          <w:color w:val="000000"/>
          <w:sz w:val="20"/>
          <w:u w:val="none"/>
        </w:rPr>
        <w:t xml:space="preserve"> </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own a </w:t>
      </w:r>
      <w:r>
        <w:rPr>
          <w:rFonts w:ascii="Times New Roman" w:eastAsia="Times New Roman" w:hAnsi="Times New Roman" w:cs="Times New Roman"/>
          <w:b w:val="0"/>
          <w:i w:val="0"/>
          <w:color w:val="000000"/>
          <w:sz w:val="20"/>
          <w:u w:val="none"/>
        </w:rPr>
        <w:t>49%</w:t>
      </w:r>
      <w:r>
        <w:rPr>
          <w:rFonts w:ascii="Times New Roman" w:eastAsia="Times New Roman" w:hAnsi="Times New Roman" w:cs="Times New Roman"/>
          <w:b w:val="0"/>
          <w:i w:val="0"/>
          <w:color w:val="000000"/>
          <w:sz w:val="20"/>
          <w:u w:val="none"/>
        </w:rPr>
        <w:t xml:space="preserve"> investment in Wuxi Weifu Autocam Precision Machinery Company, Ltd. (the “JV”), a joint venture located in Wuxi, China.  The JV is jointly controlled and managed, and we account for it under the equity method, with the share of net income from the joint venture recorded in the Mobile Solutions segment.</w:t>
      </w: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shows changes in our investment in the JV.</w:t>
      </w:r>
    </w:p>
    <w:tbl>
      <w:tblPr>
        <w:tblStyle w:val="TableNormal0"/>
        <w:tblW w:w="10245" w:type="dxa"/>
        <w:jc w:val="left"/>
        <w:tblInd w:w="0" w:type="dxa"/>
        <w:tblLayout w:type="fixed"/>
      </w:tblPr>
      <w:tblGrid>
        <w:gridCol w:w="8745"/>
        <w:gridCol w:w="1500"/>
      </w:tblGrid>
      <w:tr>
        <w:tblPrEx>
          <w:tblW w:w="10245" w:type="dxa"/>
          <w:tblInd w:w="0" w:type="dxa"/>
          <w:tblLayout w:type="fixed"/>
        </w:tblPrEx>
        <w:trPr>
          <w:trHeight w:hRule="exact" w:val="285"/>
        </w:trPr>
        <w:tc>
          <w:tcPr>
            <w:tcW w:w="874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Balance as of December 31, 2025</w:t>
            </w:r>
          </w:p>
        </w:tc>
        <w:tc>
          <w:tcPr>
            <w:tcW w:w="15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17"/>
                <w:tab w:val="left" w:pos="1432"/>
              </w:tabs>
              <w:spacing w:before="75" w:after="30" w:line="240" w:lineRule="auto"/>
              <w:jc w:val="right"/>
            </w:pPr>
            <w:r>
              <w:rPr>
                <w:rFonts w:ascii="Times New Roman" w:eastAsia="Times New Roman" w:hAnsi="Times New Roman" w:cs="Times New Roman"/>
                <w:b w:val="0"/>
                <w:i w:val="0"/>
                <w:color w:val="000000"/>
                <w:sz w:val="20"/>
                <w:u w:val="none"/>
              </w:rPr>
              <w:t>$</w:t>
              <w:tab/>
              <w:t>42,543</w:t>
              <w:tab/>
            </w:r>
          </w:p>
        </w:tc>
      </w:tr>
      <w:tr>
        <w:tblPrEx>
          <w:tblW w:w="10245" w:type="dxa"/>
          <w:tblInd w:w="0" w:type="dxa"/>
          <w:tblLayout w:type="fixed"/>
        </w:tblPrEx>
        <w:trPr>
          <w:trHeight w:hRule="exact" w:val="285"/>
        </w:trPr>
        <w:tc>
          <w:tcPr>
            <w:tcW w:w="874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Share of earnings</w:t>
            </w: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17"/>
                <w:tab w:val="left" w:pos="1432"/>
              </w:tabs>
              <w:spacing w:before="75" w:after="30" w:line="240" w:lineRule="auto"/>
              <w:jc w:val="right"/>
            </w:pPr>
            <w:r>
              <w:rPr>
                <w:rFonts w:ascii="Times New Roman" w:eastAsia="Times New Roman" w:hAnsi="Times New Roman" w:cs="Times New Roman"/>
                <w:b w:val="0"/>
                <w:i w:val="0"/>
                <w:color w:val="000000"/>
                <w:sz w:val="20"/>
                <w:u w:val="none"/>
              </w:rPr>
              <w:tab/>
              <w:t>4,638</w:t>
              <w:tab/>
            </w:r>
          </w:p>
        </w:tc>
      </w:tr>
      <w:tr>
        <w:tblPrEx>
          <w:tblW w:w="10245" w:type="dxa"/>
          <w:tblInd w:w="0" w:type="dxa"/>
          <w:tblLayout w:type="fixed"/>
        </w:tblPrEx>
        <w:trPr>
          <w:trHeight w:hRule="exact" w:val="285"/>
        </w:trPr>
        <w:tc>
          <w:tcPr>
            <w:tcW w:w="874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Foreign currency translation gain</w:t>
            </w:r>
          </w:p>
        </w:tc>
        <w:tc>
          <w:tcPr>
            <w:tcW w:w="15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17"/>
                <w:tab w:val="left" w:pos="1432"/>
              </w:tabs>
              <w:spacing w:before="75" w:after="30" w:line="240" w:lineRule="auto"/>
              <w:jc w:val="right"/>
            </w:pPr>
            <w:r>
              <w:rPr>
                <w:rFonts w:ascii="Times New Roman" w:eastAsia="Times New Roman" w:hAnsi="Times New Roman" w:cs="Times New Roman"/>
                <w:b w:val="0"/>
                <w:i w:val="0"/>
                <w:color w:val="000000"/>
                <w:sz w:val="20"/>
                <w:u w:val="none"/>
              </w:rPr>
              <w:tab/>
              <w:t>1,293</w:t>
              <w:tab/>
            </w:r>
          </w:p>
        </w:tc>
      </w:tr>
      <w:tr>
        <w:tblPrEx>
          <w:tblW w:w="10245" w:type="dxa"/>
          <w:tblInd w:w="0" w:type="dxa"/>
          <w:tblLayout w:type="fixed"/>
        </w:tblPrEx>
        <w:trPr>
          <w:trHeight w:hRule="exact" w:val="285"/>
        </w:trPr>
        <w:tc>
          <w:tcPr>
            <w:tcW w:w="8745" w:type="dxa"/>
            <w:tcBorders>
              <w:top w:val="nil"/>
              <w:left w:val="nil"/>
              <w:bottom w:val="nil"/>
              <w:right w:val="nil"/>
            </w:tcBorders>
            <w:shd w:val="clear" w:color="auto" w:fill="FFFFFF"/>
            <w:tcMar>
              <w:top w:w="0" w:type="dxa"/>
              <w:left w:w="53" w:type="dxa"/>
              <w:bottom w:w="0" w:type="dxa"/>
              <w:right w:w="53" w:type="dxa"/>
            </w:tcMar>
            <w:vAlign w:val="top"/>
          </w:tcPr>
          <w:p>
            <w:pPr>
              <w:pageBreakBefore w:val="0"/>
              <w:spacing w:before="55" w:after="30" w:line="240" w:lineRule="auto"/>
              <w:jc w:val="left"/>
            </w:pPr>
            <w:r>
              <w:rPr>
                <w:rFonts w:ascii="Times New Roman" w:eastAsia="Times New Roman" w:hAnsi="Times New Roman" w:cs="Times New Roman"/>
                <w:b w:val="0"/>
                <w:i w:val="0"/>
                <w:color w:val="000000"/>
                <w:sz w:val="20"/>
                <w:u w:val="none"/>
              </w:rPr>
              <w:t>Balance as of June 30, 2026</w:t>
            </w:r>
          </w:p>
        </w:tc>
        <w:tc>
          <w:tcPr>
            <w:tcW w:w="15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81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48,474</w:t>
              <w:tab/>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
          <w:u w:val="none"/>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
          <w:u w:val="none"/>
        </w:rPr>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0" w:right="0" w:firstLine="0"/>
        <w:jc w:val="left"/>
        <w:outlineLvl w:val="3"/>
        <w:rPr>
          <w:rFonts w:ascii="Times New Roman" w:eastAsia="Times New Roman" w:hAnsi="Times New Roman" w:cs="Times New Roman"/>
          <w:b/>
          <w:i w:val="0"/>
          <w:color w:val="000000"/>
          <w:sz w:val="20"/>
          <w:u w:val="none"/>
        </w:rPr>
      </w:pPr>
      <w:bookmarkStart w:id="16" w:name="Section18"/>
      <w:bookmarkEnd w:id="16"/>
      <w:r>
        <w:rPr>
          <w:rFonts w:ascii="Times New Roman" w:eastAsia="Times New Roman" w:hAnsi="Times New Roman" w:cs="Times New Roman"/>
          <w:b/>
          <w:i w:val="0"/>
          <w:color w:val="000000"/>
          <w:sz w:val="20"/>
          <w:u w:val="none"/>
        </w:rPr>
        <w:t>Note 8</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Debt</w:t>
      </w:r>
      <w:r>
        <w:rPr>
          <w:rFonts w:ascii="Times New Roman" w:eastAsia="Times New Roman" w:hAnsi="Times New Roman" w:cs="Times New Roman"/>
          <w:b/>
          <w:i w:val="0"/>
          <w:color w:val="000000"/>
          <w:sz w:val="20"/>
          <w:u w:val="none"/>
        </w:rPr>
        <w:t xml:space="preserve"> </w:t>
      </w: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presents amounts outstanding on our debt facilities</w:t>
      </w:r>
      <w:r>
        <w:rPr>
          <w:rFonts w:ascii="Times New Roman" w:eastAsia="Times New Roman" w:hAnsi="Times New Roman" w:cs="Times New Roman"/>
          <w:b w:val="0"/>
          <w:i w:val="0"/>
          <w:color w:val="000000"/>
          <w:sz w:val="20"/>
          <w:u w:val="none"/>
        </w:rPr>
        <w:t>.</w:t>
      </w:r>
    </w:p>
    <w:tbl>
      <w:tblPr>
        <w:tblStyle w:val="TableNormal0"/>
        <w:tblW w:w="10260" w:type="dxa"/>
        <w:jc w:val="left"/>
        <w:tblInd w:w="0" w:type="dxa"/>
        <w:tblLayout w:type="fixed"/>
      </w:tblPr>
      <w:tblGrid>
        <w:gridCol w:w="7185"/>
        <w:gridCol w:w="1500"/>
        <w:gridCol w:w="75"/>
        <w:gridCol w:w="1500"/>
      </w:tblGrid>
      <w:tr>
        <w:tblPrEx>
          <w:tblW w:w="10260" w:type="dxa"/>
          <w:tblInd w:w="0" w:type="dxa"/>
          <w:tblLayout w:type="fixed"/>
        </w:tblPrEx>
        <w:trPr>
          <w:trHeight w:hRule="exact" w:val="255"/>
        </w:trPr>
        <w:tc>
          <w:tcPr>
            <w:tcW w:w="71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5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June 30, 2026</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5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December 31, 2025</w:t>
            </w:r>
          </w:p>
        </w:tc>
      </w:tr>
      <w:tr>
        <w:tblPrEx>
          <w:tblW w:w="10260" w:type="dxa"/>
          <w:tblInd w:w="0" w:type="dxa"/>
          <w:tblLayout w:type="fixed"/>
        </w:tblPrEx>
        <w:trPr>
          <w:trHeight w:hRule="exact" w:val="300"/>
        </w:trPr>
        <w:tc>
          <w:tcPr>
            <w:tcW w:w="718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Term loan facilities</w:t>
            </w: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1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133,537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1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120,289</w:t>
              <w:tab/>
            </w:r>
          </w:p>
        </w:tc>
      </w:tr>
      <w:tr>
        <w:tblPrEx>
          <w:tblW w:w="10260" w:type="dxa"/>
          <w:tblInd w:w="0" w:type="dxa"/>
          <w:tblLayout w:type="fixed"/>
        </w:tblPrEx>
        <w:trPr>
          <w:trHeight w:hRule="exact" w:val="300"/>
        </w:trPr>
        <w:tc>
          <w:tcPr>
            <w:tcW w:w="718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ABL Facility</w:t>
            </w: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67"/>
                <w:tab w:val="left" w:pos="1432"/>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17"/>
                <w:tab w:val="left" w:pos="1432"/>
              </w:tabs>
              <w:spacing w:before="75" w:after="30" w:line="240" w:lineRule="auto"/>
              <w:jc w:val="right"/>
            </w:pPr>
            <w:r>
              <w:rPr>
                <w:rFonts w:ascii="Times New Roman" w:eastAsia="Times New Roman" w:hAnsi="Times New Roman" w:cs="Times New Roman"/>
                <w:b w:val="0"/>
                <w:i w:val="0"/>
                <w:color w:val="000000"/>
                <w:sz w:val="20"/>
                <w:u w:val="none"/>
              </w:rPr>
              <w:tab/>
              <w:t>4,700</w:t>
              <w:tab/>
            </w:r>
          </w:p>
        </w:tc>
      </w:tr>
      <w:tr>
        <w:tblPrEx>
          <w:tblW w:w="10260" w:type="dxa"/>
          <w:tblInd w:w="0" w:type="dxa"/>
          <w:tblLayout w:type="fixed"/>
        </w:tblPrEx>
        <w:trPr>
          <w:trHeight w:hRule="exact" w:val="300"/>
        </w:trPr>
        <w:tc>
          <w:tcPr>
            <w:tcW w:w="718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Financing obligations from sale-leaseback transactions</w:t>
            </w:r>
          </w:p>
        </w:tc>
        <w:tc>
          <w:tcPr>
            <w:tcW w:w="15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17"/>
                <w:tab w:val="left" w:pos="1432"/>
              </w:tabs>
              <w:spacing w:before="75" w:after="30" w:line="240" w:lineRule="auto"/>
              <w:jc w:val="right"/>
            </w:pPr>
            <w:r>
              <w:rPr>
                <w:rFonts w:ascii="Times New Roman" w:eastAsia="Times New Roman" w:hAnsi="Times New Roman" w:cs="Times New Roman"/>
                <w:b w:val="0"/>
                <w:i w:val="0"/>
                <w:color w:val="000000"/>
                <w:sz w:val="20"/>
                <w:u w:val="none"/>
              </w:rPr>
              <w:tab/>
              <w:t>29,313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17"/>
                <w:tab w:val="left" w:pos="1432"/>
              </w:tabs>
              <w:spacing w:before="75" w:after="30" w:line="240" w:lineRule="auto"/>
              <w:jc w:val="right"/>
            </w:pPr>
            <w:r>
              <w:rPr>
                <w:rFonts w:ascii="Times New Roman" w:eastAsia="Times New Roman" w:hAnsi="Times New Roman" w:cs="Times New Roman"/>
                <w:b w:val="0"/>
                <w:i w:val="0"/>
                <w:color w:val="000000"/>
                <w:sz w:val="20"/>
                <w:u w:val="none"/>
              </w:rPr>
              <w:tab/>
              <w:t>30,213</w:t>
              <w:tab/>
            </w:r>
          </w:p>
        </w:tc>
      </w:tr>
      <w:tr>
        <w:tblPrEx>
          <w:tblW w:w="10260" w:type="dxa"/>
          <w:tblInd w:w="0" w:type="dxa"/>
          <w:tblLayout w:type="fixed"/>
        </w:tblPrEx>
        <w:trPr>
          <w:trHeight w:hRule="exact" w:val="300"/>
        </w:trPr>
        <w:tc>
          <w:tcPr>
            <w:tcW w:w="718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International loans</w:t>
            </w: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17"/>
                <w:tab w:val="left" w:pos="1432"/>
              </w:tabs>
              <w:spacing w:before="75" w:after="30" w:line="240" w:lineRule="auto"/>
              <w:jc w:val="right"/>
            </w:pPr>
            <w:r>
              <w:rPr>
                <w:rFonts w:ascii="Times New Roman" w:eastAsia="Times New Roman" w:hAnsi="Times New Roman" w:cs="Times New Roman"/>
                <w:b w:val="0"/>
                <w:i w:val="0"/>
                <w:color w:val="000000"/>
                <w:sz w:val="20"/>
                <w:u w:val="none"/>
              </w:rPr>
              <w:tab/>
              <w:t>7,144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17"/>
                <w:tab w:val="left" w:pos="1432"/>
              </w:tabs>
              <w:spacing w:before="75" w:after="30" w:line="240" w:lineRule="auto"/>
              <w:jc w:val="right"/>
            </w:pPr>
            <w:r>
              <w:rPr>
                <w:rFonts w:ascii="Times New Roman" w:eastAsia="Times New Roman" w:hAnsi="Times New Roman" w:cs="Times New Roman"/>
                <w:b w:val="0"/>
                <w:i w:val="0"/>
                <w:color w:val="000000"/>
                <w:sz w:val="20"/>
                <w:u w:val="none"/>
              </w:rPr>
              <w:tab/>
              <w:t>8,148</w:t>
              <w:tab/>
            </w:r>
          </w:p>
        </w:tc>
      </w:tr>
      <w:tr>
        <w:tblPrEx>
          <w:tblW w:w="10260" w:type="dxa"/>
          <w:tblInd w:w="0" w:type="dxa"/>
          <w:tblLayout w:type="fixed"/>
        </w:tblPrEx>
        <w:trPr>
          <w:trHeight w:hRule="exact" w:val="300"/>
        </w:trPr>
        <w:tc>
          <w:tcPr>
            <w:tcW w:w="718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Unamortized debt issuance costs and discount (1)</w:t>
            </w:r>
          </w:p>
        </w:tc>
        <w:tc>
          <w:tcPr>
            <w:tcW w:w="15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31"/>
              </w:tabs>
              <w:spacing w:before="75" w:after="30" w:line="240" w:lineRule="auto"/>
              <w:jc w:val="right"/>
            </w:pPr>
            <w:r>
              <w:rPr>
                <w:rFonts w:ascii="Times New Roman" w:eastAsia="Times New Roman" w:hAnsi="Times New Roman" w:cs="Times New Roman"/>
                <w:b w:val="0"/>
                <w:i w:val="0"/>
                <w:color w:val="000000"/>
                <w:sz w:val="20"/>
                <w:u w:val="none"/>
              </w:rPr>
              <w:tab/>
              <w:t>(3,510)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31"/>
              </w:tabs>
              <w:spacing w:before="75" w:after="30" w:line="240" w:lineRule="auto"/>
              <w:jc w:val="right"/>
            </w:pPr>
            <w:r>
              <w:rPr>
                <w:rFonts w:ascii="Times New Roman" w:eastAsia="Times New Roman" w:hAnsi="Times New Roman" w:cs="Times New Roman"/>
                <w:b w:val="0"/>
                <w:i w:val="0"/>
                <w:color w:val="000000"/>
                <w:sz w:val="20"/>
                <w:u w:val="none"/>
              </w:rPr>
              <w:tab/>
              <w:t>(3,801)</w:t>
            </w:r>
          </w:p>
        </w:tc>
      </w:tr>
      <w:tr>
        <w:tblPrEx>
          <w:tblW w:w="10260" w:type="dxa"/>
          <w:tblInd w:w="0" w:type="dxa"/>
          <w:tblLayout w:type="fixed"/>
        </w:tblPrEx>
        <w:trPr>
          <w:trHeight w:hRule="exact" w:val="300"/>
        </w:trPr>
        <w:tc>
          <w:tcPr>
            <w:tcW w:w="7185" w:type="dxa"/>
            <w:tcBorders>
              <w:top w:val="nil"/>
              <w:left w:val="nil"/>
              <w:bottom w:val="nil"/>
              <w:right w:val="nil"/>
            </w:tcBorders>
            <w:shd w:val="clear" w:color="auto" w:fill="FFFFFF"/>
            <w:tcMar>
              <w:top w:w="0" w:type="dxa"/>
              <w:left w:w="53" w:type="dxa"/>
              <w:bottom w:w="0" w:type="dxa"/>
              <w:right w:w="53" w:type="dxa"/>
            </w:tcMar>
            <w:vAlign w:val="top"/>
          </w:tcPr>
          <w:p>
            <w:pPr>
              <w:pageBreakBefore w:val="0"/>
              <w:spacing w:before="55" w:after="30" w:line="240" w:lineRule="auto"/>
              <w:ind w:left="135"/>
              <w:jc w:val="left"/>
            </w:pPr>
            <w:r>
              <w:rPr>
                <w:rFonts w:ascii="Times New Roman" w:eastAsia="Times New Roman" w:hAnsi="Times New Roman" w:cs="Times New Roman"/>
                <w:b w:val="0"/>
                <w:i w:val="0"/>
                <w:color w:val="000000"/>
                <w:sz w:val="20"/>
                <w:u w:val="none"/>
              </w:rPr>
              <w:t>Total debt</w:t>
            </w:r>
          </w:p>
        </w:tc>
        <w:tc>
          <w:tcPr>
            <w:tcW w:w="15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71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166,484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5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71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159,549</w:t>
              <w:tab/>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16"/>
          <w:u w:val="none"/>
        </w:rPr>
      </w:pPr>
      <w:r>
        <w:rPr>
          <w:rFonts w:ascii="Times New Roman" w:eastAsia="Times New Roman" w:hAnsi="Times New Roman" w:cs="Times New Roman"/>
          <w:b w:val="0"/>
          <w:i w:val="0"/>
          <w:color w:val="000000"/>
          <w:sz w:val="16"/>
          <w:u w:val="none"/>
        </w:rPr>
        <w:t>_______________________________</w:t>
      </w:r>
    </w:p>
    <w:p>
      <w:pPr>
        <w:keepNext w:val="0"/>
        <w:keepLines w:val="0"/>
        <w:pageBreakBefore w:val="0"/>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60" w:after="120" w:line="288" w:lineRule="auto"/>
        <w:ind w:left="54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(1)</w:t>
      </w:r>
      <w:r>
        <w:rPr>
          <w:rFonts w:ascii="Times New Roman" w:eastAsia="Times New Roman" w:hAnsi="Times New Roman" w:cs="Times New Roman"/>
          <w:b w:val="0"/>
          <w:i w:val="0"/>
          <w:color w:val="000000"/>
          <w:sz w:val="20"/>
          <w:u w:val="none"/>
        </w:rPr>
        <w:tab/>
      </w:r>
      <w:r>
        <w:rPr>
          <w:rFonts w:ascii="Times New Roman" w:eastAsia="Times New Roman" w:hAnsi="Times New Roman" w:cs="Times New Roman"/>
          <w:b w:val="0"/>
          <w:i w:val="0"/>
          <w:color w:val="000000"/>
          <w:sz w:val="20"/>
          <w:u w:val="none"/>
        </w:rPr>
        <w:t xml:space="preserve">In addition to this amount, costs of </w:t>
      </w:r>
      <w:r>
        <w:rPr>
          <w:rFonts w:ascii="Times New Roman" w:eastAsia="Times New Roman" w:hAnsi="Times New Roman" w:cs="Times New Roman"/>
          <w:b w:val="0"/>
          <w:i w:val="0"/>
          <w:color w:val="000000"/>
          <w:sz w:val="20"/>
          <w:u w:val="none"/>
        </w:rPr>
        <w:t>$0.7 million</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$0.9 million</w:t>
      </w:r>
      <w:r>
        <w:rPr>
          <w:rFonts w:ascii="Times New Roman" w:eastAsia="Times New Roman" w:hAnsi="Times New Roman" w:cs="Times New Roman"/>
          <w:b w:val="0"/>
          <w:i w:val="0"/>
          <w:color w:val="000000"/>
          <w:sz w:val="20"/>
          <w:u w:val="none"/>
        </w:rPr>
        <w:t xml:space="preserve"> related to the ABL Facility</w:t>
      </w:r>
      <w:r>
        <w:rPr>
          <w:rFonts w:ascii="Times New Roman" w:eastAsia="Times New Roman" w:hAnsi="Times New Roman" w:cs="Times New Roman"/>
          <w:b w:val="0"/>
          <w:i w:val="0"/>
          <w:color w:val="000000"/>
          <w:sz w:val="20"/>
          <w:u w:val="none"/>
        </w:rPr>
        <w:t xml:space="preserve"> (as defined below)</w:t>
      </w:r>
      <w:r>
        <w:rPr>
          <w:rFonts w:ascii="Times New Roman" w:eastAsia="Times New Roman" w:hAnsi="Times New Roman" w:cs="Times New Roman"/>
          <w:b w:val="0"/>
          <w:i w:val="0"/>
          <w:color w:val="000000"/>
          <w:sz w:val="20"/>
          <w:u w:val="none"/>
        </w:rPr>
        <w:t xml:space="preserve"> were recorded in other non-current assets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color w:val="000000"/>
          <w:sz w:val="20"/>
          <w:u w:val="none"/>
        </w:rPr>
        <w:t>, respectively.</w:t>
      </w:r>
    </w:p>
    <w:p>
      <w:pPr>
        <w:keepNext/>
        <w:keepLines/>
        <w:pageBreakBefore w:val="0"/>
        <w:widowControl w:val="0"/>
        <w:numPr>
          <w:ilvl w:val="0"/>
          <w:numId w:val="0"/>
        </w:numPr>
        <w:spacing w:before="0" w:after="120" w:line="288" w:lineRule="auto"/>
        <w:ind w:left="0" w:right="0" w:firstLine="0"/>
        <w:jc w:val="left"/>
        <w:outlineLvl w:val="9"/>
        <w:rPr>
          <w:rFonts w:ascii="Times New Roman" w:eastAsia="Times New Roman" w:hAnsi="Times New Roman" w:cs="Times New Roman"/>
          <w:b w:val="0"/>
          <w:i/>
          <w:color w:val="000000"/>
          <w:sz w:val="20"/>
          <w:highlight w:val="yellow"/>
          <w:u w:val="none"/>
        </w:rPr>
      </w:pPr>
      <w:r>
        <w:rPr>
          <w:rFonts w:ascii="Times New Roman" w:eastAsia="Times New Roman" w:hAnsi="Times New Roman" w:cs="Times New Roman"/>
          <w:b w:val="0"/>
          <w:i w:val="0"/>
          <w:color w:val="000000"/>
          <w:sz w:val="20"/>
          <w:u w:val="none"/>
        </w:rPr>
        <w:t>We capitalized interest costs of $</w:t>
      </w:r>
      <w:r>
        <w:rPr>
          <w:rFonts w:ascii="Times New Roman" w:eastAsia="Times New Roman" w:hAnsi="Times New Roman" w:cs="Times New Roman"/>
          <w:b w:val="0"/>
          <w:i w:val="0"/>
          <w:color w:val="000000"/>
          <w:sz w:val="20"/>
          <w:u w:val="none"/>
        </w:rPr>
        <w:t>0.6 million</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$0.4 million</w:t>
      </w:r>
      <w:r>
        <w:rPr>
          <w:rFonts w:ascii="Times New Roman" w:eastAsia="Times New Roman" w:hAnsi="Times New Roman" w:cs="Times New Roman"/>
          <w:b w:val="0"/>
          <w:i w:val="0"/>
          <w:color w:val="000000"/>
          <w:sz w:val="20"/>
          <w:u w:val="none"/>
        </w:rPr>
        <w:t xml:space="preserve"> in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respectively, related to construction in progress.</w:t>
      </w:r>
    </w:p>
    <w:p>
      <w:pPr>
        <w:pStyle w:val="Subheading"/>
        <w:keepNext/>
        <w:keepLines w:val="0"/>
        <w:pageBreakBefore w:val="0"/>
        <w:widowControl/>
        <w:numPr>
          <w:ilvl w:val="0"/>
          <w:numId w:val="0"/>
        </w:numPr>
        <w:spacing w:before="18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Term Loan Facility</w:t>
      </w:r>
    </w:p>
    <w:p>
      <w:pPr>
        <w:keepNext/>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On </w:t>
      </w:r>
      <w:r>
        <w:rPr>
          <w:rFonts w:ascii="Times New Roman" w:eastAsia="Times New Roman" w:hAnsi="Times New Roman" w:cs="Times New Roman"/>
          <w:b w:val="0"/>
          <w:i w:val="0"/>
          <w:color w:val="000000"/>
          <w:sz w:val="20"/>
          <w:u w:val="none"/>
        </w:rPr>
        <w:t>April 16, 2025</w:t>
      </w:r>
      <w:r>
        <w:rPr>
          <w:rFonts w:ascii="Times New Roman" w:eastAsia="Times New Roman" w:hAnsi="Times New Roman" w:cs="Times New Roman"/>
          <w:b w:val="0"/>
          <w:i w:val="0"/>
          <w:color w:val="000000"/>
          <w:sz w:val="20"/>
          <w:u w:val="none"/>
        </w:rPr>
        <w:t xml:space="preserve"> (the “Closing Date”)</w:t>
      </w:r>
      <w:r>
        <w:rPr>
          <w:rFonts w:ascii="Times New Roman" w:eastAsia="Times New Roman" w:hAnsi="Times New Roman" w:cs="Times New Roman"/>
          <w:b w:val="0"/>
          <w:i w:val="0"/>
          <w:color w:val="000000"/>
          <w:sz w:val="20"/>
          <w:u w:val="none"/>
        </w:rPr>
        <w:t xml:space="preserve">, we entered into a Term Loan Credit Agreement by and among the Company, the lenders from time to time party thereto (collectively, the “Lenders”) and Alter Domus (US) LLC, as administrative agent (the “Term Loan Agent”) for the Lenders (the “Term Loan Credit Agreement”).  The Term Loan Credit Agreement establishes a new </w:t>
      </w:r>
      <w:r>
        <w:rPr>
          <w:rFonts w:ascii="Times New Roman" w:eastAsia="Times New Roman" w:hAnsi="Times New Roman" w:cs="Times New Roman"/>
          <w:b w:val="0"/>
          <w:i w:val="0"/>
          <w:color w:val="000000"/>
          <w:sz w:val="20"/>
          <w:u w:val="none"/>
        </w:rPr>
        <w:t>$128.0 million</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senior secured Term Loan Facility (the “Term Loan Facility”) consisting of (i) a $</w:t>
      </w:r>
      <w:r>
        <w:rPr>
          <w:rFonts w:ascii="Times New Roman" w:eastAsia="Times New Roman" w:hAnsi="Times New Roman" w:cs="Times New Roman"/>
          <w:b w:val="0"/>
          <w:i w:val="0"/>
          <w:color w:val="000000"/>
          <w:sz w:val="20"/>
          <w:u w:val="none"/>
        </w:rPr>
        <w:t>118.0 million</w:t>
      </w:r>
      <w:r>
        <w:rPr>
          <w:rFonts w:ascii="Times New Roman" w:eastAsia="Times New Roman" w:hAnsi="Times New Roman" w:cs="Times New Roman"/>
          <w:b w:val="0"/>
          <w:i w:val="0"/>
          <w:color w:val="000000"/>
          <w:sz w:val="20"/>
          <w:u w:val="none"/>
        </w:rPr>
        <w:t xml:space="preserve"> of term loan funded in full on the Closing Date (the “Closing Date Term Loans”) and (ii) $</w:t>
      </w:r>
      <w:r>
        <w:rPr>
          <w:rFonts w:ascii="Times New Roman" w:eastAsia="Times New Roman" w:hAnsi="Times New Roman" w:cs="Times New Roman"/>
          <w:b w:val="0"/>
          <w:i w:val="0"/>
          <w:color w:val="000000"/>
          <w:sz w:val="20"/>
          <w:u w:val="none"/>
        </w:rPr>
        <w:t>10.0 million</w:t>
      </w:r>
      <w:r>
        <w:rPr>
          <w:rFonts w:ascii="Times New Roman" w:eastAsia="Times New Roman" w:hAnsi="Times New Roman" w:cs="Times New Roman"/>
          <w:b w:val="0"/>
          <w:i w:val="0"/>
          <w:color w:val="000000"/>
          <w:sz w:val="20"/>
          <w:u w:val="none"/>
        </w:rPr>
        <w:t xml:space="preserve"> of delayed draw term loan commitments (any delayed draw term loans funded thereunder, the “Delayed Draw Term Loans”, and together, with the Closing Date Term Loans, the “Term Loans”).</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The Term Loans mature on </w:t>
      </w:r>
      <w:r>
        <w:rPr>
          <w:rFonts w:ascii="Times New Roman" w:eastAsia="Times New Roman" w:hAnsi="Times New Roman" w:cs="Times New Roman"/>
          <w:b w:val="0"/>
          <w:i w:val="0"/>
          <w:color w:val="000000"/>
          <w:sz w:val="20"/>
          <w:u w:val="none"/>
        </w:rPr>
        <w:t>April 16, 2030</w:t>
      </w:r>
      <w:r>
        <w:rPr>
          <w:rFonts w:ascii="Times New Roman" w:eastAsia="Times New Roman" w:hAnsi="Times New Roman" w:cs="Times New Roman"/>
          <w:b w:val="0"/>
          <w:i w:val="0"/>
          <w:color w:val="000000"/>
          <w:sz w:val="20"/>
          <w:u w:val="none"/>
        </w:rPr>
        <w:t>.  We used the proceeds from the Closing Date Term Loan to repay all of our</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outstanding obligations under our</w:t>
      </w:r>
      <w:r>
        <w:rPr>
          <w:rFonts w:ascii="Times New Roman" w:eastAsia="Times New Roman" w:hAnsi="Times New Roman" w:cs="Times New Roman"/>
          <w:b w:val="0"/>
          <w:i w:val="0"/>
          <w:color w:val="000000"/>
          <w:sz w:val="20"/>
          <w:u w:val="none"/>
        </w:rPr>
        <w:t xml:space="preserve"> outstanding term loan facility (</w:t>
      </w:r>
      <w:r>
        <w:rPr>
          <w:rFonts w:ascii="Times New Roman" w:eastAsia="Times New Roman" w:hAnsi="Times New Roman" w:cs="Times New Roman"/>
          <w:b w:val="0"/>
          <w:i/>
          <w:color w:val="000000"/>
          <w:sz w:val="20"/>
          <w:u w:val="none"/>
        </w:rPr>
        <w:t xml:space="preserve">see </w:t>
      </w:r>
      <w:r>
        <w:rPr>
          <w:rFonts w:ascii="Times New Roman" w:eastAsia="Times New Roman" w:hAnsi="Times New Roman" w:cs="Times New Roman"/>
          <w:b w:val="0"/>
          <w:i/>
          <w:color w:val="000000"/>
          <w:sz w:val="20"/>
          <w:u w:val="none"/>
        </w:rPr>
        <w:t>“</w:t>
      </w:r>
      <w:r>
        <w:rPr>
          <w:rFonts w:ascii="Times New Roman" w:eastAsia="Times New Roman" w:hAnsi="Times New Roman" w:cs="Times New Roman"/>
          <w:b w:val="0"/>
          <w:i/>
          <w:color w:val="000000"/>
          <w:sz w:val="20"/>
          <w:u w:val="none"/>
        </w:rPr>
        <w:t>2021 Term Loan</w:t>
      </w:r>
      <w:r>
        <w:rPr>
          <w:rFonts w:ascii="Times New Roman" w:eastAsia="Times New Roman" w:hAnsi="Times New Roman" w:cs="Times New Roman"/>
          <w:b w:val="0"/>
          <w:i/>
          <w:color w:val="000000"/>
          <w:sz w:val="20"/>
          <w:u w:val="none"/>
        </w:rPr>
        <w:t>”</w:t>
      </w:r>
      <w:r>
        <w:rPr>
          <w:rFonts w:ascii="Times New Roman" w:eastAsia="Times New Roman" w:hAnsi="Times New Roman" w:cs="Times New Roman"/>
          <w:b w:val="0"/>
          <w:i/>
          <w:color w:val="000000"/>
          <w:sz w:val="20"/>
          <w:u w:val="none"/>
        </w:rPr>
        <w:t xml:space="preserve"> below</w:t>
      </w:r>
      <w:r>
        <w:rPr>
          <w:rFonts w:ascii="Times New Roman" w:eastAsia="Times New Roman" w:hAnsi="Times New Roman" w:cs="Times New Roman"/>
          <w:b w:val="0"/>
          <w:i w:val="0"/>
          <w:color w:val="000000"/>
          <w:sz w:val="20"/>
          <w:u w:val="none"/>
        </w:rPr>
        <w:t>).</w:t>
      </w:r>
    </w:p>
    <w:p>
      <w:pPr>
        <w:keepNext/>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Under the Term Loan Credit Agreement, interest rates on the Term Loans are determined based on the type of Term Loan, the length of the interest period, our Consolidated Net Leverage Ratio (as defined in the Term Loan Credit Agreement)</w:t>
      </w:r>
      <w:r>
        <w:rPr>
          <w:rFonts w:ascii="Times New Roman" w:eastAsia="Times New Roman" w:hAnsi="Times New Roman" w:cs="Times New Roman"/>
          <w:b w:val="0"/>
          <w:i w:val="0"/>
          <w:color w:val="000000"/>
          <w:sz w:val="20"/>
          <w:u w:val="none"/>
        </w:rPr>
        <w:t xml:space="preserve">.  The Term Loans currently bear interest at either: 1) one-month, three-month, or six-month term secured overnight finance rate (“SOFR”) with a </w:t>
      </w:r>
      <w:r>
        <w:rPr>
          <w:rFonts w:ascii="Times New Roman" w:eastAsia="Times New Roman" w:hAnsi="Times New Roman" w:cs="Times New Roman"/>
          <w:b w:val="0"/>
          <w:i w:val="0"/>
          <w:color w:val="000000"/>
          <w:sz w:val="20"/>
          <w:u w:val="none"/>
        </w:rPr>
        <w:t>credit spread</w:t>
      </w:r>
      <w:r>
        <w:rPr>
          <w:rFonts w:ascii="Times New Roman" w:eastAsia="Times New Roman" w:hAnsi="Times New Roman" w:cs="Times New Roman"/>
          <w:b w:val="0"/>
          <w:i w:val="0"/>
          <w:color w:val="000000"/>
          <w:sz w:val="20"/>
          <w:u w:val="none"/>
        </w:rPr>
        <w:t xml:space="preserve"> adjustment, subject to a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color w:val="000000"/>
          <w:sz w:val="20"/>
          <w:u w:val="none"/>
        </w:rPr>
        <w:t xml:space="preserve"> floor, plus an applicable margin </w:t>
      </w:r>
      <w:r>
        <w:rPr>
          <w:rFonts w:ascii="Times New Roman" w:eastAsia="Times New Roman" w:hAnsi="Times New Roman" w:cs="Times New Roman"/>
          <w:b w:val="0"/>
          <w:i w:val="0"/>
          <w:color w:val="000000"/>
          <w:sz w:val="20"/>
          <w:u w:val="none"/>
        </w:rPr>
        <w:t xml:space="preserve">ranging from </w:t>
      </w:r>
      <w:r>
        <w:rPr>
          <w:rFonts w:ascii="Times New Roman" w:eastAsia="Times New Roman" w:hAnsi="Times New Roman" w:cs="Times New Roman"/>
          <w:b w:val="0"/>
          <w:i w:val="0"/>
          <w:color w:val="000000"/>
          <w:sz w:val="20"/>
          <w:u w:val="none"/>
        </w:rPr>
        <w:t>8.75%</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to</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9.75%</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based on our Consolidated Net Leverage Ratio (as defined herein) </w:t>
      </w:r>
      <w:r>
        <w:rPr>
          <w:rFonts w:ascii="Times New Roman" w:eastAsia="Times New Roman" w:hAnsi="Times New Roman" w:cs="Times New Roman"/>
          <w:b w:val="0"/>
          <w:i w:val="0"/>
          <w:color w:val="000000"/>
          <w:sz w:val="20"/>
          <w:u w:val="none"/>
        </w:rPr>
        <w:t xml:space="preserve">(“Adjusted Term SOFR Rate Loans”); or 2) the greater of various benchmark rates, with certain adjustments, plus an applicable margin </w:t>
      </w:r>
      <w:r>
        <w:rPr>
          <w:rFonts w:ascii="Times New Roman" w:eastAsia="Times New Roman" w:hAnsi="Times New Roman" w:cs="Times New Roman"/>
          <w:b w:val="0"/>
          <w:i w:val="0"/>
          <w:color w:val="000000"/>
          <w:sz w:val="20"/>
          <w:u w:val="none"/>
        </w:rPr>
        <w:t xml:space="preserve">ranging </w:t>
      </w:r>
      <w:r>
        <w:rPr>
          <w:rFonts w:ascii="Times New Roman" w:eastAsia="Times New Roman" w:hAnsi="Times New Roman" w:cs="Times New Roman"/>
          <w:b w:val="0"/>
          <w:i w:val="0"/>
          <w:color w:val="000000"/>
          <w:sz w:val="20"/>
          <w:u w:val="none"/>
        </w:rPr>
        <w:t>from</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7.75%</w:t>
      </w:r>
      <w:r>
        <w:rPr>
          <w:rFonts w:ascii="Times New Roman" w:eastAsia="Times New Roman" w:hAnsi="Times New Roman" w:cs="Times New Roman"/>
          <w:b w:val="0"/>
          <w:i w:val="0"/>
          <w:color w:val="000000"/>
          <w:sz w:val="20"/>
          <w:u w:val="none"/>
        </w:rPr>
        <w:t xml:space="preserve"> to</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8.75%</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based on our Consolidated Net </w:t>
      </w:r>
      <w:r>
        <w:rPr>
          <w:rFonts w:ascii="Times New Roman" w:eastAsia="Times New Roman" w:hAnsi="Times New Roman" w:cs="Times New Roman"/>
          <w:b w:val="0"/>
          <w:i w:val="0"/>
          <w:color w:val="000000"/>
          <w:sz w:val="20"/>
          <w:u w:val="none"/>
        </w:rPr>
        <w:t xml:space="preserve">Leverage Ratio </w:t>
      </w:r>
      <w:r>
        <w:rPr>
          <w:rFonts w:ascii="Times New Roman" w:eastAsia="Times New Roman" w:hAnsi="Times New Roman" w:cs="Times New Roman"/>
          <w:b w:val="0"/>
          <w:i w:val="0"/>
          <w:color w:val="000000"/>
          <w:sz w:val="20"/>
          <w:u w:val="none"/>
        </w:rPr>
        <w:t xml:space="preserve">(“Base Rate Loans”).  For interest payments due before April 16, 2027, we may elect to pay a portion of interest in-kind (“PIK Election”), subject to a minimum cash interest of </w:t>
      </w:r>
      <w:r>
        <w:rPr>
          <w:rFonts w:ascii="Times New Roman" w:eastAsia="Times New Roman" w:hAnsi="Times New Roman" w:cs="Times New Roman"/>
          <w:b w:val="0"/>
          <w:i w:val="0"/>
          <w:color w:val="000000"/>
          <w:sz w:val="20"/>
          <w:u w:val="none"/>
        </w:rPr>
        <w:t>5.25%</w:t>
      </w:r>
      <w:r>
        <w:rPr>
          <w:rFonts w:ascii="Times New Roman" w:eastAsia="Times New Roman" w:hAnsi="Times New Roman" w:cs="Times New Roman"/>
          <w:b w:val="0"/>
          <w:i w:val="0"/>
          <w:color w:val="000000"/>
          <w:sz w:val="20"/>
          <w:u w:val="none"/>
        </w:rPr>
        <w:t xml:space="preserve"> for Adjusted Term SOFR Rate Loans and </w:t>
      </w:r>
      <w:r>
        <w:rPr>
          <w:rFonts w:ascii="Times New Roman" w:eastAsia="Times New Roman" w:hAnsi="Times New Roman" w:cs="Times New Roman"/>
          <w:b w:val="0"/>
          <w:i w:val="0"/>
          <w:color w:val="000000"/>
          <w:sz w:val="20"/>
          <w:u w:val="none"/>
        </w:rPr>
        <w:t>4.25%</w:t>
      </w:r>
      <w:r>
        <w:rPr>
          <w:rFonts w:ascii="Times New Roman" w:eastAsia="Times New Roman" w:hAnsi="Times New Roman" w:cs="Times New Roman"/>
          <w:b w:val="0"/>
          <w:i w:val="0"/>
          <w:color w:val="000000"/>
          <w:sz w:val="20"/>
          <w:u w:val="none"/>
        </w:rPr>
        <w:t xml:space="preserve"> for Base Rate Loans.  The applicable margin increases by </w:t>
      </w:r>
      <w:r>
        <w:rPr>
          <w:rFonts w:ascii="Times New Roman" w:eastAsia="Times New Roman" w:hAnsi="Times New Roman" w:cs="Times New Roman"/>
          <w:b w:val="0"/>
          <w:i w:val="0"/>
          <w:color w:val="000000"/>
          <w:sz w:val="20"/>
          <w:u w:val="none"/>
        </w:rPr>
        <w:t>0.50%</w:t>
      </w:r>
      <w:r>
        <w:rPr>
          <w:rFonts w:ascii="Times New Roman" w:eastAsia="Times New Roman" w:hAnsi="Times New Roman" w:cs="Times New Roman"/>
          <w:b w:val="0"/>
          <w:i w:val="0"/>
          <w:color w:val="000000"/>
          <w:sz w:val="20"/>
          <w:u w:val="none"/>
        </w:rPr>
        <w:t xml:space="preserve"> on borrowings to which the PIK Election is made.  At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the Term Loans bore interest, including amounts we have elected to pay as PIK interest, based on one-month Adjusted Term SOFR, at </w:t>
      </w:r>
      <w:r>
        <w:rPr>
          <w:rFonts w:ascii="Times New Roman" w:eastAsia="Times New Roman" w:hAnsi="Times New Roman" w:cs="Times New Roman"/>
          <w:b w:val="0"/>
          <w:i w:val="0"/>
          <w:color w:val="000000"/>
          <w:sz w:val="20"/>
          <w:u w:val="none"/>
        </w:rPr>
        <w:t>13.49%</w:t>
      </w:r>
      <w:r>
        <w:rPr>
          <w:rFonts w:ascii="Times New Roman" w:eastAsia="Times New Roman" w:hAnsi="Times New Roman" w:cs="Times New Roman"/>
          <w:b w:val="0"/>
          <w:i w:val="0"/>
          <w:color w:val="000000"/>
          <w:sz w:val="20"/>
          <w:u w:val="none"/>
        </w:rPr>
        <w:t>.</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On </w:t>
      </w:r>
      <w:r>
        <w:rPr>
          <w:rFonts w:ascii="Times New Roman" w:eastAsia="Times New Roman" w:hAnsi="Times New Roman" w:cs="Times New Roman"/>
          <w:b w:val="0"/>
          <w:i w:val="0"/>
          <w:color w:val="000000"/>
          <w:sz w:val="20"/>
          <w:u w:val="none"/>
        </w:rPr>
        <w:t>January 29, 2026</w:t>
      </w:r>
      <w:r>
        <w:rPr>
          <w:rFonts w:ascii="Times New Roman" w:eastAsia="Times New Roman" w:hAnsi="Times New Roman" w:cs="Times New Roman"/>
          <w:b w:val="0"/>
          <w:i w:val="0"/>
          <w:color w:val="000000"/>
          <w:sz w:val="20"/>
          <w:u w:val="none"/>
        </w:rPr>
        <w:t xml:space="preserve">, we borrowed </w:t>
      </w:r>
      <w:r>
        <w:rPr>
          <w:rFonts w:ascii="Times New Roman" w:eastAsia="Times New Roman" w:hAnsi="Times New Roman" w:cs="Times New Roman"/>
          <w:b w:val="0"/>
          <w:i w:val="0"/>
          <w:color w:val="000000"/>
          <w:sz w:val="20"/>
          <w:u w:val="none"/>
        </w:rPr>
        <w:t>$10.0 million</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on the </w:t>
      </w:r>
      <w:r>
        <w:rPr>
          <w:rFonts w:ascii="Times New Roman" w:eastAsia="Times New Roman" w:hAnsi="Times New Roman" w:cs="Times New Roman"/>
          <w:b w:val="0"/>
          <w:i w:val="0"/>
          <w:color w:val="000000"/>
          <w:sz w:val="20"/>
          <w:u w:val="none"/>
        </w:rPr>
        <w:t>Delayed Draw Term Loans</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 xml:space="preserve"> As a result of borrowing the </w:t>
      </w:r>
      <w:r>
        <w:rPr>
          <w:rFonts w:ascii="Times New Roman" w:eastAsia="Times New Roman" w:hAnsi="Times New Roman" w:cs="Times New Roman"/>
          <w:b w:val="0"/>
          <w:i w:val="0"/>
          <w:color w:val="000000"/>
          <w:sz w:val="20"/>
          <w:u w:val="none"/>
        </w:rPr>
        <w:t xml:space="preserve">Delayed Draw Term Loans, </w:t>
      </w:r>
      <w:r>
        <w:rPr>
          <w:rFonts w:ascii="Times New Roman" w:eastAsia="Times New Roman" w:hAnsi="Times New Roman" w:cs="Times New Roman"/>
          <w:b w:val="0"/>
          <w:i w:val="0"/>
          <w:color w:val="000000"/>
          <w:sz w:val="20"/>
          <w:u w:val="none"/>
        </w:rPr>
        <w:t>the applicable margin for all Term Loans increase</w:t>
      </w:r>
      <w:r>
        <w:rPr>
          <w:rFonts w:ascii="Times New Roman" w:eastAsia="Times New Roman" w:hAnsi="Times New Roman" w:cs="Times New Roman"/>
          <w:b w:val="0"/>
          <w:i w:val="0"/>
          <w:color w:val="000000"/>
          <w:sz w:val="20"/>
          <w:u w:val="none"/>
        </w:rPr>
        <w:t xml:space="preserve">d </w:t>
      </w:r>
      <w:r>
        <w:rPr>
          <w:rFonts w:ascii="Times New Roman" w:eastAsia="Times New Roman" w:hAnsi="Times New Roman" w:cs="Times New Roman"/>
          <w:b w:val="0"/>
          <w:i w:val="0"/>
          <w:color w:val="000000"/>
          <w:sz w:val="20"/>
          <w:u w:val="none"/>
        </w:rPr>
        <w:t xml:space="preserve">by </w:t>
      </w:r>
      <w:r>
        <w:rPr>
          <w:rFonts w:ascii="Times New Roman" w:eastAsia="Times New Roman" w:hAnsi="Times New Roman" w:cs="Times New Roman"/>
          <w:b w:val="0"/>
          <w:i w:val="0"/>
          <w:color w:val="000000"/>
          <w:sz w:val="20"/>
          <w:u w:val="none"/>
        </w:rPr>
        <w:t>0.50%</w:t>
      </w:r>
      <w:r>
        <w:rPr>
          <w:rFonts w:ascii="Times New Roman" w:eastAsia="Times New Roman" w:hAnsi="Times New Roman" w:cs="Times New Roman"/>
          <w:b w:val="0"/>
          <w:i w:val="0"/>
          <w:color w:val="000000"/>
          <w:sz w:val="20"/>
          <w:u w:val="none"/>
        </w:rPr>
        <w:t xml:space="preserve">.  Through </w:t>
      </w:r>
      <w:r>
        <w:rPr>
          <w:rFonts w:ascii="Times New Roman" w:eastAsia="Times New Roman" w:hAnsi="Times New Roman" w:cs="Times New Roman"/>
          <w:b w:val="0"/>
          <w:i w:val="0"/>
          <w:color w:val="000000"/>
          <w:sz w:val="20"/>
          <w:u w:val="none"/>
        </w:rPr>
        <w:t>January 29, 2026</w:t>
      </w:r>
      <w:r>
        <w:rPr>
          <w:rFonts w:ascii="Times New Roman" w:eastAsia="Times New Roman" w:hAnsi="Times New Roman" w:cs="Times New Roman"/>
          <w:b w:val="0"/>
          <w:i w:val="0"/>
          <w:color w:val="000000"/>
          <w:sz w:val="20"/>
          <w:u w:val="none"/>
        </w:rPr>
        <w:t>, we incur</w:t>
      </w:r>
      <w:r>
        <w:rPr>
          <w:rFonts w:ascii="Times New Roman" w:eastAsia="Times New Roman" w:hAnsi="Times New Roman" w:cs="Times New Roman"/>
          <w:b w:val="0"/>
          <w:i w:val="0"/>
          <w:color w:val="000000"/>
          <w:sz w:val="20"/>
          <w:u w:val="none"/>
        </w:rPr>
        <w:t>red</w:t>
      </w:r>
      <w:r>
        <w:rPr>
          <w:rFonts w:ascii="Times New Roman" w:eastAsia="Times New Roman" w:hAnsi="Times New Roman" w:cs="Times New Roman"/>
          <w:b w:val="0"/>
          <w:i w:val="0"/>
          <w:color w:val="000000"/>
          <w:sz w:val="20"/>
          <w:u w:val="none"/>
        </w:rPr>
        <w:t xml:space="preserve"> a </w:t>
      </w:r>
      <w:r>
        <w:rPr>
          <w:rFonts w:ascii="Times New Roman" w:eastAsia="Times New Roman" w:hAnsi="Times New Roman" w:cs="Times New Roman"/>
          <w:b w:val="0"/>
          <w:i w:val="0"/>
          <w:color w:val="000000"/>
          <w:sz w:val="20"/>
          <w:u w:val="none"/>
        </w:rPr>
        <w:t>1.00%</w:t>
      </w:r>
      <w:r>
        <w:rPr>
          <w:rFonts w:ascii="Times New Roman" w:eastAsia="Times New Roman" w:hAnsi="Times New Roman" w:cs="Times New Roman"/>
          <w:b w:val="0"/>
          <w:i w:val="0"/>
          <w:color w:val="000000"/>
          <w:sz w:val="20"/>
          <w:u w:val="none"/>
        </w:rPr>
        <w:t xml:space="preserve"> commitment fee on undrawn amounts under the Delayed Draw, payable quarterly in arrears.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Subject to certain exceptions, we are required to make principal payments (i) annually that are calculated as a percentage, based on our Consolidated Net Leverage Ratio, of our Excess Cash Flow </w:t>
      </w:r>
      <w:r>
        <w:rPr>
          <w:rFonts w:ascii="Times New Roman" w:eastAsia="Times New Roman" w:hAnsi="Times New Roman" w:cs="Times New Roman"/>
          <w:b w:val="0"/>
          <w:i w:val="0"/>
          <w:color w:val="000000"/>
          <w:sz w:val="20"/>
          <w:u w:val="none"/>
        </w:rPr>
        <w:t>(as defined in the Term Loan Credit Agreement)</w:t>
      </w:r>
      <w:r>
        <w:rPr>
          <w:rFonts w:ascii="Times New Roman" w:eastAsia="Times New Roman" w:hAnsi="Times New Roman" w:cs="Times New Roman"/>
          <w:b w:val="0"/>
          <w:i w:val="0"/>
          <w:color w:val="000000"/>
          <w:sz w:val="20"/>
          <w:u w:val="none"/>
        </w:rPr>
        <w:t xml:space="preserve">, (ii) Net Cash Proceeds </w:t>
      </w:r>
      <w:r>
        <w:rPr>
          <w:rFonts w:ascii="Times New Roman" w:eastAsia="Times New Roman" w:hAnsi="Times New Roman" w:cs="Times New Roman"/>
          <w:b w:val="0"/>
          <w:i w:val="0"/>
          <w:color w:val="000000"/>
          <w:sz w:val="20"/>
          <w:u w:val="none"/>
        </w:rPr>
        <w:t>(as defined in the Term Loan Credit Agreement)</w:t>
      </w:r>
      <w:r>
        <w:rPr>
          <w:rFonts w:ascii="Times New Roman" w:eastAsia="Times New Roman" w:hAnsi="Times New Roman" w:cs="Times New Roman"/>
          <w:b w:val="0"/>
          <w:i w:val="0"/>
          <w:color w:val="000000"/>
          <w:sz w:val="20"/>
          <w:u w:val="none"/>
        </w:rPr>
        <w:t xml:space="preserve"> of certain non-ordinary course Dispositions </w:t>
      </w:r>
      <w:r>
        <w:rPr>
          <w:rFonts w:ascii="Times New Roman" w:eastAsia="Times New Roman" w:hAnsi="Times New Roman" w:cs="Times New Roman"/>
          <w:b w:val="0"/>
          <w:i w:val="0"/>
          <w:color w:val="000000"/>
          <w:sz w:val="20"/>
          <w:u w:val="none"/>
        </w:rPr>
        <w:t>(as defined in the Term Loan Credit Agreement) within 10 business days of receipt thereof</w:t>
      </w:r>
      <w:r>
        <w:rPr>
          <w:rFonts w:ascii="Times New Roman" w:eastAsia="Times New Roman" w:hAnsi="Times New Roman" w:cs="Times New Roman"/>
          <w:b w:val="0"/>
          <w:i w:val="0"/>
          <w:color w:val="000000"/>
          <w:sz w:val="20"/>
          <w:u w:val="none"/>
        </w:rPr>
        <w:t xml:space="preserve">, and (iii) Net Cash Proceeds from certain insurance events.  </w:t>
      </w:r>
      <w:r>
        <w:rPr>
          <w:rFonts w:ascii="Times New Roman" w:eastAsia="Times New Roman" w:hAnsi="Times New Roman" w:cs="Times New Roman"/>
          <w:b w:val="0"/>
          <w:i w:val="0"/>
          <w:color w:val="000000"/>
          <w:sz w:val="20"/>
          <w:u w:val="none"/>
        </w:rPr>
        <w:t xml:space="preserve">We may voluntarily prepay the Term Loans, in whole or part without premium or penalty following April 16, 2027.  If we </w:t>
      </w:r>
      <w:r>
        <w:rPr>
          <w:rFonts w:ascii="Times New Roman" w:eastAsia="Times New Roman" w:hAnsi="Times New Roman" w:cs="Times New Roman"/>
          <w:b w:val="0"/>
          <w:i w:val="0"/>
          <w:color w:val="000000"/>
          <w:sz w:val="20"/>
          <w:u w:val="none"/>
        </w:rPr>
        <w:t xml:space="preserve">would have </w:t>
      </w:r>
      <w:r>
        <w:rPr>
          <w:rFonts w:ascii="Times New Roman" w:eastAsia="Times New Roman" w:hAnsi="Times New Roman" w:cs="Times New Roman"/>
          <w:b w:val="0"/>
          <w:i w:val="0"/>
          <w:color w:val="000000"/>
          <w:sz w:val="20"/>
          <w:u w:val="none"/>
        </w:rPr>
        <w:t>voluntarily prepa</w:t>
      </w:r>
      <w:r>
        <w:rPr>
          <w:rFonts w:ascii="Times New Roman" w:eastAsia="Times New Roman" w:hAnsi="Times New Roman" w:cs="Times New Roman"/>
          <w:b w:val="0"/>
          <w:i w:val="0"/>
          <w:color w:val="000000"/>
          <w:sz w:val="20"/>
          <w:u w:val="none"/>
        </w:rPr>
        <w:t xml:space="preserve">id </w:t>
      </w:r>
      <w:r>
        <w:rPr>
          <w:rFonts w:ascii="Times New Roman" w:eastAsia="Times New Roman" w:hAnsi="Times New Roman" w:cs="Times New Roman"/>
          <w:b w:val="0"/>
          <w:i w:val="0"/>
          <w:color w:val="000000"/>
          <w:sz w:val="20"/>
          <w:u w:val="none"/>
        </w:rPr>
        <w:t xml:space="preserve">borrowings prior to </w:t>
      </w:r>
      <w:r>
        <w:rPr>
          <w:rFonts w:ascii="Times New Roman" w:eastAsia="Times New Roman" w:hAnsi="Times New Roman" w:cs="Times New Roman"/>
          <w:b w:val="0"/>
          <w:i w:val="0"/>
          <w:color w:val="000000"/>
          <w:sz w:val="20"/>
          <w:u w:val="none"/>
        </w:rPr>
        <w:t>April 16, 2026</w:t>
      </w:r>
      <w:r>
        <w:rPr>
          <w:rFonts w:ascii="Times New Roman" w:eastAsia="Times New Roman" w:hAnsi="Times New Roman" w:cs="Times New Roman"/>
          <w:b w:val="0"/>
          <w:i w:val="0"/>
          <w:color w:val="000000"/>
          <w:sz w:val="20"/>
          <w:u w:val="none"/>
        </w:rPr>
        <w:t xml:space="preserve">, we </w:t>
      </w:r>
      <w:r>
        <w:rPr>
          <w:rFonts w:ascii="Times New Roman" w:eastAsia="Times New Roman" w:hAnsi="Times New Roman" w:cs="Times New Roman"/>
          <w:b w:val="0"/>
          <w:i w:val="0"/>
          <w:color w:val="000000"/>
          <w:sz w:val="20"/>
          <w:u w:val="none"/>
        </w:rPr>
        <w:t>would have been</w:t>
      </w:r>
      <w:r>
        <w:rPr>
          <w:rFonts w:ascii="Times New Roman" w:eastAsia="Times New Roman" w:hAnsi="Times New Roman" w:cs="Times New Roman"/>
          <w:b w:val="0"/>
          <w:i w:val="0"/>
          <w:color w:val="000000"/>
          <w:sz w:val="20"/>
          <w:u w:val="none"/>
        </w:rPr>
        <w:t xml:space="preserve"> subject to a prepayment premium equal to the present value at the prepayment date of (i)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color w:val="000000"/>
          <w:sz w:val="20"/>
          <w:u w:val="none"/>
        </w:rPr>
        <w:t xml:space="preserve"> of the outstanding principal amount of the Term Loans to be prepaid, plus (ii) all remaining scheduled interest payments due on such Term Loans through April 16, 2026 (excluding accrued but unpaid interest to, but not including, the prepayment date), computed using a discount rate equal to the Treasury Rate (determined as of the Business Day prior to such date of prepayment) plus </w:t>
      </w:r>
      <w:r>
        <w:rPr>
          <w:rFonts w:ascii="Times New Roman" w:eastAsia="Times New Roman" w:hAnsi="Times New Roman" w:cs="Times New Roman"/>
          <w:b w:val="0"/>
          <w:i w:val="0"/>
          <w:color w:val="000000"/>
          <w:sz w:val="20"/>
          <w:u w:val="none"/>
        </w:rPr>
        <w:t>50</w:t>
      </w:r>
      <w:r>
        <w:rPr>
          <w:rFonts w:ascii="Times New Roman" w:eastAsia="Times New Roman" w:hAnsi="Times New Roman" w:cs="Times New Roman"/>
          <w:b w:val="0"/>
          <w:i w:val="0"/>
          <w:color w:val="000000"/>
          <w:sz w:val="20"/>
          <w:u w:val="none"/>
        </w:rPr>
        <w:t xml:space="preserve"> basis points.  If we voluntarily prepay borrowings following April 16, 2026 and prior to </w:t>
      </w:r>
      <w:r>
        <w:rPr>
          <w:rFonts w:ascii="Times New Roman" w:eastAsia="Times New Roman" w:hAnsi="Times New Roman" w:cs="Times New Roman"/>
          <w:b w:val="0"/>
          <w:i w:val="0"/>
          <w:color w:val="000000"/>
          <w:sz w:val="20"/>
          <w:u w:val="none"/>
        </w:rPr>
        <w:t>April 16, 2027</w:t>
      </w:r>
      <w:r>
        <w:rPr>
          <w:rFonts w:ascii="Times New Roman" w:eastAsia="Times New Roman" w:hAnsi="Times New Roman" w:cs="Times New Roman"/>
          <w:b w:val="0"/>
          <w:i w:val="0"/>
          <w:color w:val="000000"/>
          <w:sz w:val="20"/>
          <w:u w:val="none"/>
        </w:rPr>
        <w:t xml:space="preserve">, we are subject to a prepayment premium equal to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color w:val="000000"/>
          <w:sz w:val="20"/>
          <w:u w:val="none"/>
        </w:rPr>
        <w:t xml:space="preserve"> of the principal amount prepaid.  </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Term Loan Credit Agreement includes customary representations, warranties and covenants, including, but not limited to, certain financial covenants, such as maximum Consolidated Net Leverage Ratio and minimum Domestic Liquidity (as defined in the Term Loan Credit Agreement), subject, in the case of the Consolidated Net Leverage Ratio covenant, to certain equity cure rights.  </w:t>
      </w:r>
      <w:r>
        <w:rPr>
          <w:rFonts w:ascii="Times New Roman" w:eastAsia="Times New Roman" w:hAnsi="Times New Roman" w:cs="Times New Roman"/>
          <w:b w:val="0"/>
          <w:i w:val="0"/>
          <w:color w:val="000000"/>
          <w:sz w:val="20"/>
          <w:u w:val="none"/>
        </w:rPr>
        <w:t>We were in compliance with the financial covenants of the Term Loan Facility</w:t>
      </w:r>
      <w:r>
        <w:rPr>
          <w:rFonts w:ascii="Times New Roman" w:eastAsia="Times New Roman" w:hAnsi="Times New Roman" w:cs="Times New Roman"/>
          <w:b w:val="0"/>
          <w:i w:val="0"/>
          <w:color w:val="000000"/>
          <w:sz w:val="20"/>
          <w:u w:val="none"/>
        </w:rPr>
        <w:t xml:space="preserve">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Our obligations under the Term Loan Credit Agreement are guaranteed by certain of our subsidiaries and are required to be guaranteed by certain of our later formed or acquired subsidiaries (collectively, the “Guarantors”).  Our obligations under the Term Loan Credit Agreement are collateralized by substantially all of our and the Guarantors’ assets.  The Term Loan Agent, for itself and on behalf of the Lenders, has a first lien on all domestic assets, other than accounts receivable and inventory, and certain foreign assets and has a second lien on domestic accounts receivable and inventory.</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u w:val="none"/>
        </w:rPr>
        <w:t>The Term Loan Credit Agreement contains customary events of default relating to, among other things, payment defaults, breach of covenants, cross acceleration to material indebtedness, bankruptcy-related defaults, judgment defaults, and the occurrence of certain change of control events. If an event of default occurs, the lenders under the Term Loan Credit Agreement will be entitled to take various actions, including the termination of any undrawn commitments and the acceleration of amounts due under the Term Loan Credit Agreement.</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Term Loan Facility was issued at a </w:t>
      </w:r>
      <w:r>
        <w:rPr>
          <w:rFonts w:ascii="Times New Roman" w:eastAsia="Times New Roman" w:hAnsi="Times New Roman" w:cs="Times New Roman"/>
          <w:b w:val="0"/>
          <w:i w:val="0"/>
          <w:color w:val="000000"/>
          <w:sz w:val="20"/>
          <w:u w:val="none"/>
        </w:rPr>
        <w:t>$2.5 million</w:t>
      </w:r>
      <w:r>
        <w:rPr>
          <w:rFonts w:ascii="Times New Roman" w:eastAsia="Times New Roman" w:hAnsi="Times New Roman" w:cs="Times New Roman"/>
          <w:b w:val="0"/>
          <w:i w:val="0"/>
          <w:color w:val="000000"/>
          <w:sz w:val="20"/>
          <w:u w:val="none"/>
        </w:rPr>
        <w:t xml:space="preserve"> discount and we capitalized an additional </w:t>
      </w:r>
      <w:r>
        <w:rPr>
          <w:rFonts w:ascii="Times New Roman" w:eastAsia="Times New Roman" w:hAnsi="Times New Roman" w:cs="Times New Roman"/>
          <w:b w:val="0"/>
          <w:i w:val="0"/>
          <w:color w:val="000000"/>
          <w:sz w:val="20"/>
          <w:u w:val="none"/>
        </w:rPr>
        <w:t>$0.7 million</w:t>
      </w:r>
      <w:r>
        <w:rPr>
          <w:rFonts w:ascii="Times New Roman" w:eastAsia="Times New Roman" w:hAnsi="Times New Roman" w:cs="Times New Roman"/>
          <w:b w:val="0"/>
          <w:i w:val="0"/>
          <w:color w:val="000000"/>
          <w:sz w:val="20"/>
          <w:u w:val="none"/>
        </w:rPr>
        <w:t xml:space="preserve"> in debt issuance costs</w:t>
      </w:r>
      <w:r>
        <w:rPr>
          <w:rFonts w:ascii="Times New Roman" w:eastAsia="Times New Roman" w:hAnsi="Times New Roman" w:cs="Times New Roman"/>
          <w:b w:val="0"/>
          <w:i w:val="0"/>
          <w:color w:val="000000"/>
          <w:sz w:val="20"/>
          <w:u w:val="none"/>
        </w:rPr>
        <w:t xml:space="preserve"> in 202</w:t>
      </w:r>
      <w:r>
        <w:rPr>
          <w:rFonts w:ascii="Times New Roman" w:eastAsia="Times New Roman" w:hAnsi="Times New Roman" w:cs="Times New Roman"/>
          <w:b w:val="0"/>
          <w:i w:val="0"/>
          <w:color w:val="000000"/>
          <w:sz w:val="20"/>
          <w:u w:val="none"/>
        </w:rPr>
        <w:t>5</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In January 2026, we capitalized an additional </w:t>
      </w:r>
      <w:r>
        <w:rPr>
          <w:rFonts w:ascii="Times New Roman" w:eastAsia="Times New Roman" w:hAnsi="Times New Roman" w:cs="Times New Roman"/>
          <w:b w:val="0"/>
          <w:i w:val="0"/>
          <w:color w:val="000000"/>
          <w:sz w:val="20"/>
          <w:u w:val="none"/>
        </w:rPr>
        <w:t>$0.1 million</w:t>
      </w:r>
      <w:r>
        <w:rPr>
          <w:rFonts w:ascii="Times New Roman" w:eastAsia="Times New Roman" w:hAnsi="Times New Roman" w:cs="Times New Roman"/>
          <w:b w:val="0"/>
          <w:i w:val="0"/>
          <w:color w:val="000000"/>
          <w:sz w:val="20"/>
          <w:u w:val="none"/>
        </w:rPr>
        <w:t xml:space="preserve"> in debt issuance costs </w:t>
      </w:r>
      <w:r>
        <w:rPr>
          <w:rFonts w:ascii="Times New Roman" w:eastAsia="Times New Roman" w:hAnsi="Times New Roman" w:cs="Times New Roman"/>
          <w:b w:val="0"/>
          <w:i w:val="0"/>
          <w:color w:val="000000"/>
          <w:sz w:val="20"/>
          <w:u w:val="none"/>
        </w:rPr>
        <w:t>as part of the borrowings under the Delayed Draw Term Loan.</w:t>
      </w:r>
      <w:r>
        <w:rPr>
          <w:rFonts w:ascii="Times New Roman" w:eastAsia="Times New Roman" w:hAnsi="Times New Roman" w:cs="Times New Roman"/>
          <w:b w:val="0"/>
          <w:i w:val="0"/>
          <w:color w:val="000000"/>
          <w:sz w:val="20"/>
          <w:u w:val="none"/>
        </w:rPr>
        <w:t xml:space="preserve"> These costs are recorded as a direct reduction to the carrying amount of the associated long-term debt and amortized over the term of the debt.  </w:t>
      </w:r>
    </w:p>
    <w:p>
      <w:pPr>
        <w:pStyle w:val="Subheading"/>
        <w:keepNext/>
        <w:keepLines w:val="0"/>
        <w:pageBreakBefore w:val="0"/>
        <w:widowControl/>
        <w:numPr>
          <w:ilvl w:val="0"/>
          <w:numId w:val="0"/>
        </w:numPr>
        <w:spacing w:before="18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2021 Term Loan</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On March 22, 2021, we entered into a </w:t>
      </w:r>
      <w:r>
        <w:rPr>
          <w:rFonts w:ascii="Times New Roman" w:eastAsia="Times New Roman" w:hAnsi="Times New Roman" w:cs="Times New Roman"/>
          <w:b w:val="0"/>
          <w:i w:val="0"/>
          <w:color w:val="000000"/>
          <w:sz w:val="20"/>
          <w:u w:val="none"/>
        </w:rPr>
        <w:t>$150.0 million</w:t>
      </w:r>
      <w:r>
        <w:rPr>
          <w:rFonts w:ascii="Times New Roman" w:eastAsia="Times New Roman" w:hAnsi="Times New Roman" w:cs="Times New Roman"/>
          <w:b w:val="0"/>
          <w:i w:val="0"/>
          <w:color w:val="000000"/>
          <w:sz w:val="20"/>
          <w:u w:val="none"/>
        </w:rPr>
        <w:t xml:space="preserve"> term loan facility (as amended from time to time, the “2021 Term Loan Facility”) which required principal payments of  </w:t>
      </w:r>
      <w:r>
        <w:rPr>
          <w:rFonts w:ascii="Times New Roman" w:eastAsia="Times New Roman" w:hAnsi="Times New Roman" w:cs="Times New Roman"/>
          <w:b w:val="0"/>
          <w:i w:val="0"/>
          <w:color w:val="000000"/>
          <w:sz w:val="20"/>
          <w:u w:val="none"/>
        </w:rPr>
        <w:t>$0.4 million</w:t>
      </w:r>
      <w:r>
        <w:rPr>
          <w:rFonts w:ascii="Times New Roman" w:eastAsia="Times New Roman" w:hAnsi="Times New Roman" w:cs="Times New Roman"/>
          <w:b w:val="0"/>
          <w:i w:val="0"/>
          <w:color w:val="000000"/>
          <w:sz w:val="20"/>
          <w:u w:val="none"/>
        </w:rPr>
        <w:t xml:space="preserve"> with the remaining unpaid principal amount due at the original loan maturity date of </w:t>
      </w:r>
      <w:r>
        <w:rPr>
          <w:rFonts w:ascii="Times New Roman" w:eastAsia="Times New Roman" w:hAnsi="Times New Roman" w:cs="Times New Roman"/>
          <w:b w:val="0"/>
          <w:i w:val="0"/>
          <w:color w:val="000000"/>
          <w:sz w:val="20"/>
          <w:u w:val="none"/>
        </w:rPr>
        <w:t>September 22, 2026</w:t>
      </w:r>
      <w:r>
        <w:rPr>
          <w:rFonts w:ascii="Times New Roman" w:eastAsia="Times New Roman" w:hAnsi="Times New Roman" w:cs="Times New Roman"/>
          <w:b w:val="0"/>
          <w:i w:val="0"/>
          <w:color w:val="000000"/>
          <w:sz w:val="20"/>
          <w:u w:val="none"/>
        </w:rPr>
        <w:t>.  On April 16, 2025, we repaid all of our outstanding obligations under the 2021 Term Loan Facility with the proceeds from the Closing Date Term Loans.  The 2021 Term Loan Facility was collateralized by all of our assets and had a first lien on all domestic assets, other than accounts receivable and inventory and had a second lien on domestic accounts receivable and inventory.</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Outstanding borrowings on the 2021 Term Loan bore interest at either: 1) one-month, three-month, or six-month term secured overnight finance rate (“SOFR”) with a duration adjustment (“Adjusted Term SOFR”), subject to a </w:t>
      </w:r>
      <w:r>
        <w:rPr>
          <w:rFonts w:ascii="Times New Roman" w:eastAsia="Times New Roman" w:hAnsi="Times New Roman" w:cs="Times New Roman"/>
          <w:b w:val="0"/>
          <w:i w:val="0"/>
          <w:color w:val="000000"/>
          <w:sz w:val="20"/>
          <w:u w:val="none"/>
        </w:rPr>
        <w:t>1.000%</w:t>
      </w:r>
      <w:r>
        <w:rPr>
          <w:rFonts w:ascii="Times New Roman" w:eastAsia="Times New Roman" w:hAnsi="Times New Roman" w:cs="Times New Roman"/>
          <w:b w:val="0"/>
          <w:i w:val="0"/>
          <w:color w:val="000000"/>
          <w:sz w:val="20"/>
          <w:u w:val="none"/>
        </w:rPr>
        <w:t xml:space="preserve"> floor, plus an applicable margin of </w:t>
      </w:r>
      <w:r>
        <w:rPr>
          <w:rFonts w:ascii="Times New Roman" w:eastAsia="Times New Roman" w:hAnsi="Times New Roman" w:cs="Times New Roman"/>
          <w:b w:val="0"/>
          <w:i w:val="0"/>
          <w:color w:val="000000"/>
          <w:sz w:val="20"/>
          <w:u w:val="none"/>
        </w:rPr>
        <w:t>6.875%</w:t>
      </w:r>
      <w:r>
        <w:rPr>
          <w:rFonts w:ascii="Times New Roman" w:eastAsia="Times New Roman" w:hAnsi="Times New Roman" w:cs="Times New Roman"/>
          <w:b w:val="0"/>
          <w:i w:val="0"/>
          <w:color w:val="000000"/>
          <w:sz w:val="20"/>
          <w:u w:val="none"/>
        </w:rPr>
        <w:t xml:space="preserve">, or 2) the greater of various benchmark rates plus an applicable margin of </w:t>
      </w:r>
      <w:r>
        <w:rPr>
          <w:rFonts w:ascii="Times New Roman" w:eastAsia="Times New Roman" w:hAnsi="Times New Roman" w:cs="Times New Roman"/>
          <w:b w:val="0"/>
          <w:i w:val="0"/>
          <w:color w:val="000000"/>
          <w:sz w:val="20"/>
          <w:u w:val="none"/>
        </w:rPr>
        <w:t>5.875%</w:t>
      </w:r>
      <w:r>
        <w:rPr>
          <w:rFonts w:ascii="Times New Roman" w:eastAsia="Times New Roman" w:hAnsi="Times New Roman" w:cs="Times New Roman"/>
          <w:b w:val="0"/>
          <w:i w:val="0"/>
          <w:color w:val="000000"/>
          <w:sz w:val="20"/>
          <w:u w:val="none"/>
        </w:rPr>
        <w:t xml:space="preserve">.  Beginning in the second quarter of 2023, interest was increased on a paid-in-kind basis at a rate between </w:t>
      </w:r>
      <w:r>
        <w:rPr>
          <w:rFonts w:ascii="Times New Roman" w:eastAsia="Times New Roman" w:hAnsi="Times New Roman" w:cs="Times New Roman"/>
          <w:b w:val="0"/>
          <w:i w:val="0"/>
          <w:color w:val="000000"/>
          <w:sz w:val="20"/>
          <w:u w:val="none"/>
        </w:rPr>
        <w:t>1.00%</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2.00%</w:t>
      </w:r>
      <w:r>
        <w:rPr>
          <w:rFonts w:ascii="Times New Roman" w:eastAsia="Times New Roman" w:hAnsi="Times New Roman" w:cs="Times New Roman"/>
          <w:b w:val="0"/>
          <w:i w:val="0"/>
          <w:color w:val="000000"/>
          <w:sz w:val="20"/>
          <w:u w:val="none"/>
        </w:rPr>
        <w:t xml:space="preserve"> (“PIK interest”), dependent on our net leverage ratio for the most recently reported fiscal quarter and subject to reduction upon the occurrence of certain conditions as set forth in the credit agreement governing the 2021 Term Loan Facility.  At April 16, 2025, the 2021 Term Loan Facility bore interest, including PIK interest, based on one-month Adjusted Term SOFR, at </w:t>
      </w:r>
      <w:r>
        <w:rPr>
          <w:rFonts w:ascii="Times New Roman" w:eastAsia="Times New Roman" w:hAnsi="Times New Roman" w:cs="Times New Roman"/>
          <w:b w:val="0"/>
          <w:i w:val="0"/>
          <w:color w:val="000000"/>
          <w:sz w:val="20"/>
          <w:u w:val="none"/>
        </w:rPr>
        <w:t>12.30%</w:t>
      </w:r>
      <w:r>
        <w:rPr>
          <w:rFonts w:ascii="Times New Roman" w:eastAsia="Times New Roman" w:hAnsi="Times New Roman" w:cs="Times New Roman"/>
          <w:b w:val="0"/>
          <w:i w:val="0"/>
          <w:color w:val="000000"/>
          <w:sz w:val="20"/>
          <w:u w:val="none"/>
        </w:rPr>
        <w:t xml:space="preserve">.  </w:t>
      </w:r>
    </w:p>
    <w:p>
      <w:pPr>
        <w:keepNext w:val="0"/>
        <w:keepLines w:val="0"/>
        <w:pageBreakBefore w:val="0"/>
        <w:widowControl w:val="0"/>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2021 Term Loan Facility was issued at a </w:t>
      </w:r>
      <w:r>
        <w:rPr>
          <w:rFonts w:ascii="Times New Roman" w:eastAsia="Times New Roman" w:hAnsi="Times New Roman" w:cs="Times New Roman"/>
          <w:b w:val="0"/>
          <w:i w:val="0"/>
          <w:color w:val="000000"/>
          <w:sz w:val="20"/>
          <w:u w:val="none"/>
        </w:rPr>
        <w:t>$3.8 million</w:t>
      </w:r>
      <w:r>
        <w:rPr>
          <w:rFonts w:ascii="Times New Roman" w:eastAsia="Times New Roman" w:hAnsi="Times New Roman" w:cs="Times New Roman"/>
          <w:b w:val="0"/>
          <w:i w:val="0"/>
          <w:color w:val="000000"/>
          <w:sz w:val="20"/>
          <w:u w:val="none"/>
        </w:rPr>
        <w:t xml:space="preserve"> discount and we capitalized an additional </w:t>
      </w:r>
      <w:r>
        <w:rPr>
          <w:rFonts w:ascii="Times New Roman" w:eastAsia="Times New Roman" w:hAnsi="Times New Roman" w:cs="Times New Roman"/>
          <w:b w:val="0"/>
          <w:i w:val="0"/>
          <w:color w:val="000000"/>
          <w:sz w:val="20"/>
          <w:u w:val="none"/>
        </w:rPr>
        <w:t>$5.5 million</w:t>
      </w:r>
      <w:r>
        <w:rPr>
          <w:rFonts w:ascii="Times New Roman" w:eastAsia="Times New Roman" w:hAnsi="Times New Roman" w:cs="Times New Roman"/>
          <w:b w:val="0"/>
          <w:i w:val="0"/>
          <w:color w:val="000000"/>
          <w:sz w:val="20"/>
          <w:u w:val="none"/>
        </w:rPr>
        <w:t xml:space="preserve"> in debt issuance costs which were amortized over the term of the debt.  </w:t>
      </w:r>
    </w:p>
    <w:p>
      <w:pPr>
        <w:keepNext w:val="0"/>
        <w:keepLines w:val="0"/>
        <w:pageBreakBefore w:val="0"/>
        <w:widowControl w:val="0"/>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During the </w:t>
      </w:r>
      <w:r>
        <w:rPr>
          <w:rFonts w:ascii="Times New Roman" w:eastAsia="Times New Roman" w:hAnsi="Times New Roman" w:cs="Times New Roman"/>
          <w:b w:val="0"/>
          <w:i w:val="0"/>
          <w:color w:val="000000"/>
          <w:sz w:val="20"/>
          <w:u w:val="none"/>
        </w:rPr>
        <w:t>y</w:t>
      </w:r>
      <w:r>
        <w:rPr>
          <w:rFonts w:ascii="Times New Roman" w:eastAsia="Times New Roman" w:hAnsi="Times New Roman" w:cs="Times New Roman"/>
          <w:b w:val="0"/>
          <w:i w:val="0"/>
          <w:color w:val="000000"/>
          <w:sz w:val="20"/>
          <w:u w:val="none"/>
        </w:rPr>
        <w:t>ear</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color w:val="000000"/>
          <w:sz w:val="20"/>
          <w:u w:val="none"/>
        </w:rPr>
        <w:t xml:space="preserve">, we recognized a </w:t>
      </w:r>
      <w:r>
        <w:rPr>
          <w:rFonts w:ascii="Times New Roman" w:eastAsia="Times New Roman" w:hAnsi="Times New Roman" w:cs="Times New Roman"/>
          <w:b w:val="0"/>
          <w:i w:val="0"/>
          <w:color w:val="000000"/>
          <w:sz w:val="20"/>
          <w:u w:val="none"/>
        </w:rPr>
        <w:t>$3.0 million</w:t>
      </w:r>
      <w:r>
        <w:rPr>
          <w:rFonts w:ascii="Times New Roman" w:eastAsia="Times New Roman" w:hAnsi="Times New Roman" w:cs="Times New Roman"/>
          <w:b w:val="0"/>
          <w:i w:val="0"/>
          <w:color w:val="000000"/>
          <w:sz w:val="20"/>
          <w:u w:val="none"/>
        </w:rPr>
        <w:t xml:space="preserve"> loss on extinguishment</w:t>
      </w:r>
      <w:r>
        <w:rPr>
          <w:rFonts w:ascii="Times New Roman" w:eastAsia="Times New Roman" w:hAnsi="Times New Roman" w:cs="Times New Roman"/>
          <w:b w:val="0"/>
          <w:i w:val="0"/>
          <w:color w:val="000000"/>
          <w:sz w:val="20"/>
          <w:u w:val="none"/>
        </w:rPr>
        <w:t xml:space="preserve"> in connection with the termination of the 2021 Term Loan Facility.</w:t>
      </w:r>
    </w:p>
    <w:p>
      <w:pPr>
        <w:pStyle w:val="Subheading"/>
        <w:keepNext/>
        <w:keepLines w:val="0"/>
        <w:pageBreakBefore w:val="0"/>
        <w:widowControl w:val="0"/>
        <w:numPr>
          <w:ilvl w:val="0"/>
          <w:numId w:val="0"/>
        </w:numPr>
        <w:spacing w:before="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ABL Facility</w:t>
      </w:r>
    </w:p>
    <w:p>
      <w:pPr>
        <w:keepNext w:val="0"/>
        <w:keepLines w:val="0"/>
        <w:pageBreakBefore w:val="0"/>
        <w:widowControl w:val="0"/>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On </w:t>
      </w:r>
      <w:r>
        <w:rPr>
          <w:rFonts w:ascii="Times New Roman" w:eastAsia="Times New Roman" w:hAnsi="Times New Roman" w:cs="Times New Roman"/>
          <w:b w:val="0"/>
          <w:i w:val="0"/>
          <w:color w:val="000000"/>
          <w:sz w:val="20"/>
          <w:u w:val="none"/>
        </w:rPr>
        <w:t>December 30, 2024</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we entered into a Revolving Credit and Security Agreement by and among the Company and PNC Bank National Association as lender and administrative agent (in such capacity, the “ABL Agent”) (as amended from time to time, including by the First Amendment to Revolving Credit and Security Agreement, dated as of April 16, 2025, the “ABL Credit Agreement”). </w:t>
      </w:r>
      <w:r>
        <w:rPr>
          <w:rFonts w:ascii="Times New Roman" w:eastAsia="Times New Roman" w:hAnsi="Times New Roman" w:cs="Times New Roman"/>
          <w:b w:val="0"/>
          <w:i w:val="0"/>
          <w:color w:val="000000"/>
          <w:sz w:val="20"/>
          <w:u w:val="none"/>
        </w:rPr>
        <w:t xml:space="preserve">The ABL </w:t>
      </w:r>
      <w:r>
        <w:rPr>
          <w:rFonts w:ascii="Times New Roman" w:eastAsia="Times New Roman" w:hAnsi="Times New Roman" w:cs="Times New Roman"/>
          <w:b w:val="0"/>
          <w:i w:val="0"/>
          <w:color w:val="000000"/>
          <w:sz w:val="20"/>
          <w:u w:val="none"/>
        </w:rPr>
        <w:t>Credit Agreement esta</w:t>
      </w:r>
      <w:r>
        <w:rPr>
          <w:rFonts w:ascii="Times New Roman" w:eastAsia="Times New Roman" w:hAnsi="Times New Roman" w:cs="Times New Roman"/>
          <w:b w:val="0"/>
          <w:i w:val="0"/>
          <w:color w:val="000000"/>
          <w:sz w:val="20"/>
          <w:u w:val="none"/>
        </w:rPr>
        <w:t>blished a new</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50.0 million</w:t>
      </w:r>
      <w:r>
        <w:rPr>
          <w:rFonts w:ascii="Times New Roman" w:eastAsia="Times New Roman" w:hAnsi="Times New Roman" w:cs="Times New Roman"/>
          <w:b w:val="0"/>
          <w:i w:val="0"/>
          <w:color w:val="000000"/>
          <w:sz w:val="20"/>
          <w:u w:val="none"/>
        </w:rPr>
        <w:t xml:space="preserve"> senior secured asset backed credit facility (</w:t>
      </w:r>
      <w:r>
        <w:rPr>
          <w:rFonts w:ascii="Times New Roman" w:eastAsia="Times New Roman" w:hAnsi="Times New Roman" w:cs="Times New Roman"/>
          <w:b w:val="0"/>
          <w:i w:val="0"/>
          <w:color w:val="000000"/>
          <w:sz w:val="20"/>
          <w:u w:val="none"/>
        </w:rPr>
        <w:t xml:space="preserve">the </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 xml:space="preserve">ABL </w:t>
      </w:r>
      <w:r>
        <w:rPr>
          <w:rFonts w:ascii="Times New Roman" w:eastAsia="Times New Roman" w:hAnsi="Times New Roman" w:cs="Times New Roman"/>
          <w:b w:val="0"/>
          <w:i w:val="0"/>
          <w:color w:val="000000"/>
          <w:sz w:val="20"/>
          <w:u w:val="none"/>
        </w:rPr>
        <w:t>Facility</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 which provides f</w:t>
      </w:r>
      <w:r>
        <w:rPr>
          <w:rFonts w:ascii="Times New Roman" w:eastAsia="Times New Roman" w:hAnsi="Times New Roman" w:cs="Times New Roman"/>
          <w:b w:val="0"/>
          <w:i w:val="0"/>
          <w:color w:val="000000"/>
          <w:sz w:val="20"/>
          <w:u w:val="none"/>
        </w:rPr>
        <w:t xml:space="preserve">or senior </w:t>
      </w:r>
      <w:r>
        <w:rPr>
          <w:rFonts w:ascii="Times New Roman" w:eastAsia="Times New Roman" w:hAnsi="Times New Roman" w:cs="Times New Roman"/>
          <w:b w:val="0"/>
          <w:i w:val="0"/>
          <w:color w:val="000000"/>
          <w:sz w:val="20"/>
          <w:u w:val="none"/>
        </w:rPr>
        <w:t>secured</w:t>
      </w:r>
      <w:r>
        <w:rPr>
          <w:rFonts w:ascii="Times New Roman" w:eastAsia="Times New Roman" w:hAnsi="Times New Roman" w:cs="Times New Roman"/>
          <w:b w:val="0"/>
          <w:i w:val="0"/>
          <w:color w:val="000000"/>
          <w:sz w:val="20"/>
          <w:u w:val="none"/>
        </w:rPr>
        <w:t xml:space="preserve"> revolving loans (</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R</w:t>
      </w:r>
      <w:r>
        <w:rPr>
          <w:rFonts w:ascii="Times New Roman" w:eastAsia="Times New Roman" w:hAnsi="Times New Roman" w:cs="Times New Roman"/>
          <w:b w:val="0"/>
          <w:i w:val="0"/>
          <w:color w:val="000000"/>
          <w:sz w:val="20"/>
          <w:u w:val="none"/>
        </w:rPr>
        <w:t>evolving Loan</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 xml:space="preserve">) in the amount of </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50.0 million</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and permits the issuance of letters of credit </w:t>
      </w:r>
      <w:r>
        <w:rPr>
          <w:rFonts w:ascii="Times New Roman" w:eastAsia="Times New Roman" w:hAnsi="Times New Roman" w:cs="Times New Roman"/>
          <w:b w:val="0"/>
          <w:i w:val="0"/>
          <w:color w:val="000000"/>
          <w:sz w:val="20"/>
          <w:u w:val="none"/>
        </w:rPr>
        <w:t>thereunder subject to a</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15.0 million</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sublimit. </w:t>
      </w:r>
      <w:r>
        <w:rPr>
          <w:rFonts w:ascii="Times New Roman" w:eastAsia="Times New Roman" w:hAnsi="Times New Roman" w:cs="Times New Roman"/>
          <w:b w:val="0"/>
          <w:i w:val="0"/>
          <w:color w:val="000000"/>
          <w:sz w:val="20"/>
          <w:u w:val="none"/>
        </w:rPr>
        <w:t>The availability</w:t>
      </w:r>
      <w:r>
        <w:rPr>
          <w:rFonts w:ascii="Times New Roman" w:eastAsia="Times New Roman" w:hAnsi="Times New Roman" w:cs="Times New Roman"/>
          <w:b w:val="0"/>
          <w:i w:val="0"/>
          <w:color w:val="000000"/>
          <w:sz w:val="20"/>
          <w:u w:val="none"/>
        </w:rPr>
        <w:t xml:space="preserve"> under the ABL Facility is limited by a borrowing base calculation derived from accounts receivable and inventory held in the United States</w:t>
      </w:r>
      <w:r>
        <w:rPr>
          <w:rFonts w:ascii="Times New Roman" w:eastAsia="Times New Roman" w:hAnsi="Times New Roman" w:cs="Times New Roman"/>
          <w:b w:val="0"/>
          <w:i w:val="0"/>
          <w:color w:val="000000"/>
          <w:sz w:val="20"/>
          <w:u w:val="none"/>
        </w:rPr>
        <w:t>, less cu</w:t>
      </w:r>
      <w:r>
        <w:rPr>
          <w:rFonts w:ascii="Times New Roman" w:eastAsia="Times New Roman" w:hAnsi="Times New Roman" w:cs="Times New Roman"/>
          <w:b w:val="0"/>
          <w:i w:val="0"/>
          <w:color w:val="000000"/>
          <w:sz w:val="20"/>
          <w:u w:val="none"/>
        </w:rPr>
        <w:t>stomary reserves and other items</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The final maturity date of the </w:t>
      </w:r>
      <w:r>
        <w:rPr>
          <w:rFonts w:ascii="Times New Roman" w:eastAsia="Times New Roman" w:hAnsi="Times New Roman" w:cs="Times New Roman"/>
          <w:b w:val="0"/>
          <w:i w:val="0"/>
          <w:color w:val="000000"/>
          <w:sz w:val="20"/>
          <w:u w:val="none"/>
        </w:rPr>
        <w:t>ABL</w:t>
      </w:r>
      <w:r>
        <w:rPr>
          <w:rFonts w:ascii="Times New Roman" w:eastAsia="Times New Roman" w:hAnsi="Times New Roman" w:cs="Times New Roman"/>
          <w:b w:val="0"/>
          <w:i w:val="0"/>
          <w:color w:val="000000"/>
          <w:sz w:val="20"/>
          <w:u w:val="none"/>
        </w:rPr>
        <w:t xml:space="preserve"> Facility is the earlier of: 1) </w:t>
      </w:r>
      <w:r>
        <w:rPr>
          <w:rFonts w:ascii="Times New Roman" w:eastAsia="Times New Roman" w:hAnsi="Times New Roman" w:cs="Times New Roman"/>
          <w:b w:val="0"/>
          <w:i w:val="0"/>
          <w:color w:val="000000"/>
          <w:sz w:val="20"/>
          <w:u w:val="none"/>
        </w:rPr>
        <w:t>December 30, 2029</w:t>
      </w:r>
      <w:r>
        <w:rPr>
          <w:rFonts w:ascii="Times New Roman" w:eastAsia="Times New Roman" w:hAnsi="Times New Roman" w:cs="Times New Roman"/>
          <w:b w:val="0"/>
          <w:i w:val="0"/>
          <w:color w:val="000000"/>
          <w:sz w:val="20"/>
          <w:u w:val="none"/>
        </w:rPr>
        <w:t xml:space="preserve">; or 2) 91 days prior to the loan maturity date of the Term Loan Facility. </w:t>
      </w:r>
    </w:p>
    <w:p>
      <w:pPr>
        <w:keepNext w:val="0"/>
        <w:keepLines w:val="0"/>
        <w:pageBreakBefore w:val="0"/>
        <w:widowControl w:val="0"/>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val="0"/>
        <w:pageBreakBefore w:val="0"/>
        <w:widowControl w:val="0"/>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Under the </w:t>
      </w:r>
      <w:r>
        <w:rPr>
          <w:rFonts w:ascii="Times New Roman" w:eastAsia="Times New Roman" w:hAnsi="Times New Roman" w:cs="Times New Roman"/>
          <w:b w:val="0"/>
          <w:i w:val="0"/>
          <w:color w:val="000000"/>
          <w:sz w:val="20"/>
          <w:u w:val="none"/>
        </w:rPr>
        <w:t>ABL Facility</w:t>
      </w:r>
      <w:r>
        <w:rPr>
          <w:rFonts w:ascii="Times New Roman" w:eastAsia="Times New Roman" w:hAnsi="Times New Roman" w:cs="Times New Roman"/>
          <w:b w:val="0"/>
          <w:i w:val="0"/>
          <w:color w:val="000000"/>
          <w:sz w:val="20"/>
          <w:u w:val="none"/>
        </w:rPr>
        <w:t>, R</w:t>
      </w:r>
      <w:r>
        <w:rPr>
          <w:rFonts w:ascii="Times New Roman" w:eastAsia="Times New Roman" w:hAnsi="Times New Roman" w:cs="Times New Roman"/>
          <w:b w:val="0"/>
          <w:i w:val="0"/>
          <w:color w:val="000000"/>
          <w:sz w:val="20"/>
          <w:u w:val="none"/>
        </w:rPr>
        <w:t>evolving Loans</w:t>
      </w:r>
      <w:r>
        <w:rPr>
          <w:rFonts w:ascii="Times New Roman" w:eastAsia="Times New Roman" w:hAnsi="Times New Roman" w:cs="Times New Roman"/>
          <w:b w:val="0"/>
          <w:i w:val="0"/>
          <w:color w:val="000000"/>
          <w:sz w:val="20"/>
          <w:u w:val="none"/>
        </w:rPr>
        <w:t xml:space="preserve"> bear interest </w:t>
      </w:r>
      <w:r>
        <w:rPr>
          <w:rFonts w:ascii="Times New Roman" w:eastAsia="Times New Roman" w:hAnsi="Times New Roman" w:cs="Times New Roman"/>
          <w:b w:val="0"/>
          <w:i w:val="0"/>
          <w:color w:val="000000"/>
          <w:sz w:val="20"/>
          <w:u w:val="none"/>
        </w:rPr>
        <w:t>as</w:t>
      </w:r>
      <w:r>
        <w:rPr>
          <w:rFonts w:ascii="Times New Roman" w:eastAsia="Times New Roman" w:hAnsi="Times New Roman" w:cs="Times New Roman"/>
          <w:b w:val="0"/>
          <w:i w:val="0"/>
          <w:color w:val="000000"/>
          <w:sz w:val="20"/>
          <w:u w:val="none"/>
        </w:rPr>
        <w:t xml:space="preserve"> either: 1)</w:t>
      </w:r>
      <w:r>
        <w:rPr>
          <w:rFonts w:ascii="Times New Roman" w:eastAsia="Times New Roman" w:hAnsi="Times New Roman" w:cs="Times New Roman"/>
          <w:b w:val="0"/>
          <w:i w:val="0"/>
          <w:color w:val="000000"/>
          <w:sz w:val="20"/>
          <w:u w:val="none"/>
        </w:rPr>
        <w:t xml:space="preserve"> one, three or six month SOFR plus </w:t>
      </w:r>
      <w:r>
        <w:rPr>
          <w:rFonts w:ascii="Times New Roman" w:eastAsia="Times New Roman" w:hAnsi="Times New Roman" w:cs="Times New Roman"/>
          <w:b w:val="0"/>
          <w:i w:val="0"/>
          <w:color w:val="000000"/>
          <w:sz w:val="20"/>
          <w:u w:val="none"/>
        </w:rPr>
        <w:t>1.50</w:t>
      </w:r>
      <w:r>
        <w:rPr>
          <w:rFonts w:ascii="Times New Roman" w:eastAsia="Times New Roman" w:hAnsi="Times New Roman" w:cs="Times New Roman"/>
          <w:b w:val="0"/>
          <w:i w:val="0"/>
          <w:color w:val="000000"/>
          <w:sz w:val="20"/>
          <w:u w:val="none"/>
        </w:rPr>
        <w:t xml:space="preserve">%, plus an  adjustment of </w:t>
      </w:r>
      <w:r>
        <w:rPr>
          <w:rFonts w:ascii="Times New Roman" w:eastAsia="Times New Roman" w:hAnsi="Times New Roman" w:cs="Times New Roman"/>
          <w:b w:val="0"/>
          <w:i w:val="0"/>
          <w:color w:val="000000"/>
          <w:sz w:val="20"/>
          <w:u w:val="none"/>
        </w:rPr>
        <w:t>0.10</w:t>
      </w:r>
      <w:r>
        <w:rPr>
          <w:rFonts w:ascii="Times New Roman" w:eastAsia="Times New Roman" w:hAnsi="Times New Roman" w:cs="Times New Roman"/>
          <w:b w:val="0"/>
          <w:i w:val="0"/>
          <w:color w:val="000000"/>
          <w:sz w:val="20"/>
          <w:u w:val="none"/>
        </w:rPr>
        <w:t xml:space="preserve">% (“Term SOFR Rate”); or 2) the highest of the base commercial lending rate of the lender or various benchmark rates plus an applicable margin of </w:t>
      </w:r>
      <w:r>
        <w:rPr>
          <w:rFonts w:ascii="Times New Roman" w:eastAsia="Times New Roman" w:hAnsi="Times New Roman" w:cs="Times New Roman"/>
          <w:b w:val="0"/>
          <w:i w:val="0"/>
          <w:color w:val="000000"/>
          <w:sz w:val="20"/>
          <w:u w:val="none"/>
        </w:rPr>
        <w:t>0.50</w:t>
      </w:r>
      <w:r>
        <w:rPr>
          <w:rFonts w:ascii="Times New Roman" w:eastAsia="Times New Roman" w:hAnsi="Times New Roman" w:cs="Times New Roman"/>
          <w:b w:val="0"/>
          <w:i w:val="0"/>
          <w:color w:val="000000"/>
          <w:sz w:val="20"/>
          <w:u w:val="none"/>
        </w:rPr>
        <w:t xml:space="preserve">% or </w:t>
      </w:r>
      <w:r>
        <w:rPr>
          <w:rFonts w:ascii="Times New Roman" w:eastAsia="Times New Roman" w:hAnsi="Times New Roman" w:cs="Times New Roman"/>
          <w:b w:val="0"/>
          <w:i w:val="0"/>
          <w:color w:val="000000"/>
          <w:sz w:val="20"/>
          <w:u w:val="none"/>
        </w:rPr>
        <w:t>1.00</w:t>
      </w:r>
      <w:r>
        <w:rPr>
          <w:rFonts w:ascii="Times New Roman" w:eastAsia="Times New Roman" w:hAnsi="Times New Roman" w:cs="Times New Roman"/>
          <w:b w:val="0"/>
          <w:i w:val="0"/>
          <w:color w:val="000000"/>
          <w:sz w:val="20"/>
          <w:u w:val="none"/>
        </w:rPr>
        <w:t xml:space="preserve">%, depending on the benchmark (“Alternative Base Rate”).  </w:t>
      </w:r>
      <w:r>
        <w:rPr>
          <w:rFonts w:ascii="Times New Roman" w:eastAsia="Times New Roman" w:hAnsi="Times New Roman" w:cs="Times New Roman"/>
          <w:b w:val="0"/>
          <w:i w:val="0"/>
          <w:color w:val="000000"/>
          <w:sz w:val="20"/>
          <w:u w:val="none"/>
        </w:rPr>
        <w:t xml:space="preserve">At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based on </w:t>
      </w:r>
      <w:r>
        <w:rPr>
          <w:rFonts w:ascii="Times New Roman" w:eastAsia="Times New Roman" w:hAnsi="Times New Roman" w:cs="Times New Roman"/>
          <w:b w:val="0"/>
          <w:i w:val="0"/>
          <w:color w:val="000000"/>
          <w:sz w:val="20"/>
          <w:u w:val="none"/>
        </w:rPr>
        <w:t>a</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Alternative Base Rate</w:t>
      </w:r>
      <w:r>
        <w:rPr>
          <w:rFonts w:ascii="Times New Roman" w:eastAsia="Times New Roman" w:hAnsi="Times New Roman" w:cs="Times New Roman"/>
          <w:b w:val="0"/>
          <w:i w:val="0"/>
          <w:color w:val="000000"/>
          <w:sz w:val="20"/>
          <w:u w:val="none"/>
        </w:rPr>
        <w:t>, the</w:t>
      </w:r>
      <w:r>
        <w:rPr>
          <w:rFonts w:ascii="Times New Roman" w:eastAsia="Times New Roman" w:hAnsi="Times New Roman" w:cs="Times New Roman"/>
          <w:b w:val="0"/>
          <w:i w:val="0"/>
          <w:color w:val="000000"/>
          <w:sz w:val="20"/>
          <w:u w:val="none"/>
        </w:rPr>
        <w:t xml:space="preserve"> interest rate</w:t>
      </w:r>
      <w:r>
        <w:rPr>
          <w:rFonts w:ascii="Times New Roman" w:eastAsia="Times New Roman" w:hAnsi="Times New Roman" w:cs="Times New Roman"/>
          <w:b w:val="0"/>
          <w:i w:val="0"/>
          <w:color w:val="000000"/>
          <w:sz w:val="20"/>
          <w:u w:val="none"/>
        </w:rPr>
        <w:t xml:space="preserve"> on outstanding borrowings under the ABL Facility was </w:t>
      </w:r>
      <w:r>
        <w:rPr>
          <w:rFonts w:ascii="Times New Roman" w:eastAsia="Times New Roman" w:hAnsi="Times New Roman" w:cs="Times New Roman"/>
          <w:b w:val="0"/>
          <w:i w:val="0"/>
          <w:color w:val="000000"/>
          <w:sz w:val="20"/>
          <w:u w:val="none"/>
        </w:rPr>
        <w:t>7.25</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 xml:space="preserve">.  We incur a commitment fee of </w:t>
      </w:r>
      <w:r>
        <w:rPr>
          <w:rFonts w:ascii="Times New Roman" w:eastAsia="Times New Roman" w:hAnsi="Times New Roman" w:cs="Times New Roman"/>
          <w:b w:val="0"/>
          <w:i w:val="0"/>
          <w:color w:val="000000"/>
          <w:sz w:val="20"/>
          <w:u w:val="none"/>
        </w:rPr>
        <w:t>0.25</w:t>
      </w:r>
      <w:r>
        <w:rPr>
          <w:rFonts w:ascii="Times New Roman" w:eastAsia="Times New Roman" w:hAnsi="Times New Roman" w:cs="Times New Roman"/>
          <w:b w:val="0"/>
          <w:i w:val="0"/>
          <w:color w:val="000000"/>
          <w:sz w:val="20"/>
          <w:u w:val="none"/>
        </w:rPr>
        <w:t xml:space="preserve">% for unused capacity under the ABL Facility and a </w:t>
      </w:r>
      <w:r>
        <w:rPr>
          <w:rFonts w:ascii="Times New Roman" w:eastAsia="Times New Roman" w:hAnsi="Times New Roman" w:cs="Times New Roman"/>
          <w:b w:val="0"/>
          <w:i w:val="0"/>
          <w:color w:val="000000"/>
          <w:sz w:val="20"/>
          <w:u w:val="none"/>
        </w:rPr>
        <w:t>1.85</w:t>
      </w:r>
      <w:r>
        <w:rPr>
          <w:rFonts w:ascii="Times New Roman" w:eastAsia="Times New Roman" w:hAnsi="Times New Roman" w:cs="Times New Roman"/>
          <w:b w:val="0"/>
          <w:i w:val="0"/>
          <w:color w:val="000000"/>
          <w:sz w:val="20"/>
          <w:u w:val="none"/>
        </w:rPr>
        <w:t>% fee on the amount of letters of credit outstanding.</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We capitalized a total of $</w:t>
      </w:r>
      <w:r>
        <w:rPr>
          <w:rFonts w:ascii="Times New Roman" w:eastAsia="Times New Roman" w:hAnsi="Times New Roman" w:cs="Times New Roman"/>
          <w:b w:val="0"/>
          <w:i w:val="0"/>
          <w:color w:val="000000"/>
          <w:sz w:val="20"/>
          <w:u w:val="none"/>
        </w:rPr>
        <w:t>1.2 million</w:t>
      </w:r>
      <w:r>
        <w:rPr>
          <w:rFonts w:ascii="Times New Roman" w:eastAsia="Times New Roman" w:hAnsi="Times New Roman" w:cs="Times New Roman"/>
          <w:b w:val="0"/>
          <w:i w:val="0"/>
          <w:color w:val="000000"/>
          <w:sz w:val="20"/>
          <w:u w:val="none"/>
        </w:rPr>
        <w:t xml:space="preserve"> in new debt issuance costs related to the ABL Facility.</w:t>
      </w:r>
    </w:p>
    <w:p>
      <w:pPr>
        <w:keepNext w:val="0"/>
        <w:keepLines w:val="0"/>
        <w:pageBreakBefore w:val="0"/>
        <w:widowControl w:val="0"/>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there were no outstanding borrowings under the ABL Facility, $</w:t>
      </w:r>
      <w:r>
        <w:rPr>
          <w:rFonts w:ascii="Times New Roman" w:eastAsia="Times New Roman" w:hAnsi="Times New Roman" w:cs="Times New Roman"/>
          <w:b w:val="0"/>
          <w:i w:val="0"/>
          <w:color w:val="000000"/>
          <w:sz w:val="20"/>
          <w:u w:val="none"/>
        </w:rPr>
        <w:t>11.4 million</w:t>
      </w:r>
      <w:r>
        <w:rPr>
          <w:rFonts w:ascii="Times New Roman" w:eastAsia="Times New Roman" w:hAnsi="Times New Roman" w:cs="Times New Roman"/>
          <w:b w:val="0"/>
          <w:i w:val="0"/>
          <w:color w:val="000000"/>
          <w:sz w:val="20"/>
          <w:u w:val="none"/>
        </w:rPr>
        <w:t xml:space="preserve"> of outstanding letters of credit, and $</w:t>
      </w:r>
      <w:r>
        <w:rPr>
          <w:rFonts w:ascii="Times New Roman" w:eastAsia="Times New Roman" w:hAnsi="Times New Roman" w:cs="Times New Roman"/>
          <w:b w:val="0"/>
          <w:i w:val="0"/>
          <w:color w:val="000000"/>
          <w:sz w:val="20"/>
          <w:u w:val="none"/>
        </w:rPr>
        <w:t>35.3 million</w:t>
      </w:r>
      <w:r>
        <w:rPr>
          <w:rFonts w:ascii="Times New Roman" w:eastAsia="Times New Roman" w:hAnsi="Times New Roman" w:cs="Times New Roman"/>
          <w:b w:val="0"/>
          <w:i w:val="0"/>
          <w:color w:val="000000"/>
          <w:sz w:val="20"/>
          <w:u w:val="none"/>
        </w:rPr>
        <w:t xml:space="preserve"> available for future borrowings under the ABL Facility.  </w:t>
      </w:r>
    </w:p>
    <w:p>
      <w:pPr>
        <w:keepNext w:val="0"/>
        <w:keepLines/>
        <w:pageBreakBefore w:val="0"/>
        <w:widowControl w:val="0"/>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ABL Credit Agreement includes customary representations, warranties and covenants, including, but not limited to, a financial covenant</w:t>
      </w:r>
      <w:r>
        <w:rPr>
          <w:rFonts w:ascii="Times New Roman" w:eastAsia="Times New Roman" w:hAnsi="Times New Roman" w:cs="Times New Roman"/>
          <w:b w:val="0"/>
          <w:i w:val="0"/>
          <w:color w:val="000000"/>
          <w:sz w:val="20"/>
          <w:u w:val="none"/>
        </w:rPr>
        <w:t xml:space="preserve"> as to a minimum Fixed Charge Coverage Ratio (as defined in the ABL Credit Agreement).</w:t>
      </w:r>
      <w:r>
        <w:rPr>
          <w:rFonts w:ascii="Times New Roman" w:eastAsia="Times New Roman" w:hAnsi="Times New Roman" w:cs="Times New Roman"/>
          <w:b w:val="0"/>
          <w:i w:val="0"/>
          <w:color w:val="000000"/>
          <w:sz w:val="20"/>
          <w:u w:val="none"/>
        </w:rPr>
        <w:t xml:space="preserve"> We were in compliance with the financial covenants of the ABL Facility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w:t>
      </w:r>
    </w:p>
    <w:p>
      <w:pPr>
        <w:keepNext w:val="0"/>
        <w:keepLines/>
        <w:pageBreakBefore w:val="0"/>
        <w:widowControl w:val="0"/>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Our obligations under the ABL Credit Agreement are guaranteed by certain of our subsidiaries and are required to be guaranteed by certain of our later formed or acquired subsidiaries (collectively, the “Guarantors”). Our obligations under the ABL Credit Agreement are collateralized by substantially all of our and the Guarantors’ assets. The ABL Agent, for itself and on behalf of the Lenders, has a first lien on accounts receivable and inventory.</w:t>
      </w:r>
    </w:p>
    <w:p>
      <w:pPr>
        <w:keepNext w:val="0"/>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ABL Credit Agreement contains customary events of default relating to, among other things, payment defaults, breach of covenants, cross acceleration to material indebtedness, bankruptcy-related defaults, judgment defaults, and the occurrence of certain change of control events. If an event of default occurs, the lenders under the ABL Credit Agreement will be entitled to take various actions, including the termination of any undrawn commitments and the acceleration of amounts due under the ABL Credit Agreement.</w:t>
      </w:r>
    </w:p>
    <w:p>
      <w:pPr>
        <w:keepNext w:val="0"/>
        <w:keepLines/>
        <w:pageBreakBefore w:val="0"/>
        <w:widowControl w:val="0"/>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u w:val="none"/>
        </w:rPr>
      </w:pPr>
    </w:p>
    <w:p>
      <w:pPr>
        <w:pStyle w:val="Subheading"/>
        <w:keepNext/>
        <w:keepLines/>
        <w:pageBreakBefore w:val="0"/>
        <w:widowControl w:val="0"/>
        <w:numPr>
          <w:ilvl w:val="0"/>
          <w:numId w:val="0"/>
        </w:numPr>
        <w:spacing w:before="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Sale-Leaseback Transactions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In May 2025, we sold</w:t>
      </w:r>
      <w:r>
        <w:rPr>
          <w:rFonts w:ascii="Times New Roman" w:eastAsia="Times New Roman" w:hAnsi="Times New Roman" w:cs="Times New Roman"/>
          <w:b w:val="0"/>
          <w:i w:val="0"/>
          <w:color w:val="000000"/>
          <w:sz w:val="20"/>
          <w:u w:val="none"/>
        </w:rPr>
        <w:t xml:space="preserve"> property for a sales price of $</w:t>
      </w:r>
      <w:r>
        <w:rPr>
          <w:rFonts w:ascii="Times New Roman" w:eastAsia="Times New Roman" w:hAnsi="Times New Roman" w:cs="Times New Roman"/>
          <w:b w:val="0"/>
          <w:i w:val="0"/>
          <w:color w:val="000000"/>
          <w:sz w:val="20"/>
          <w:u w:val="none"/>
        </w:rPr>
        <w:t>4.3 million</w:t>
      </w:r>
      <w:r>
        <w:rPr>
          <w:rFonts w:ascii="Times New Roman" w:eastAsia="Times New Roman" w:hAnsi="Times New Roman" w:cs="Times New Roman"/>
          <w:b w:val="0"/>
          <w:i w:val="0"/>
          <w:color w:val="000000"/>
          <w:sz w:val="20"/>
          <w:u w:val="none"/>
        </w:rPr>
        <w:t xml:space="preserve"> and c</w:t>
      </w:r>
      <w:r>
        <w:rPr>
          <w:rFonts w:ascii="Times New Roman" w:eastAsia="Times New Roman" w:hAnsi="Times New Roman" w:cs="Times New Roman"/>
          <w:b w:val="0"/>
          <w:i w:val="0"/>
          <w:color w:val="000000"/>
          <w:sz w:val="20"/>
          <w:u w:val="none"/>
        </w:rPr>
        <w:t xml:space="preserve">oncurrent with the sale, entered into a 19-year lease agreement with the purchaser  for the property.  </w:t>
      </w:r>
      <w:r>
        <w:rPr>
          <w:rFonts w:ascii="Times New Roman" w:eastAsia="Times New Roman" w:hAnsi="Times New Roman" w:cs="Times New Roman"/>
          <w:b w:val="0"/>
          <w:i w:val="0"/>
          <w:color w:val="000000"/>
          <w:sz w:val="20"/>
          <w:u w:val="none"/>
        </w:rPr>
        <w:t>In March 2024, we sold three of our properties for an aggregate sales price of $</w:t>
      </w:r>
      <w:r>
        <w:rPr>
          <w:rFonts w:ascii="Times New Roman" w:eastAsia="Times New Roman" w:hAnsi="Times New Roman" w:cs="Times New Roman"/>
          <w:b w:val="0"/>
          <w:i w:val="0"/>
          <w:color w:val="000000"/>
          <w:sz w:val="20"/>
          <w:u w:val="none"/>
        </w:rPr>
        <w:t>16.9 million</w:t>
      </w:r>
      <w:r>
        <w:rPr>
          <w:rFonts w:ascii="Times New Roman" w:eastAsia="Times New Roman" w:hAnsi="Times New Roman" w:cs="Times New Roman"/>
          <w:b w:val="0"/>
          <w:i w:val="0"/>
          <w:color w:val="000000"/>
          <w:sz w:val="20"/>
          <w:u w:val="none"/>
        </w:rPr>
        <w:t xml:space="preserve"> and concurrent with the sale, we entered into a 20-year lease agreement with the purchaser for these properties.  </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Since these lease agreements allow for us to exercise renewal options that extend for substantially all of the remaining economic life, we have the ability to maintain the risks and rewards of ownership.  Because the transactions did not transfer control of the assets, they cannot be accounted for as sales under ASC 606.  As a result, the properties remain on our </w:t>
      </w:r>
      <w:r>
        <w:rPr>
          <w:rFonts w:ascii="Times New Roman" w:eastAsia="Times New Roman" w:hAnsi="Times New Roman" w:cs="Times New Roman"/>
          <w:b w:val="0"/>
          <w:i w:val="0"/>
          <w:color w:val="000000"/>
          <w:sz w:val="20"/>
          <w:u w:val="none"/>
        </w:rPr>
        <w:t>Condensed Consolidated</w:t>
      </w:r>
      <w:r>
        <w:rPr>
          <w:rFonts w:ascii="Times New Roman" w:eastAsia="Times New Roman" w:hAnsi="Times New Roman" w:cs="Times New Roman"/>
          <w:b w:val="0"/>
          <w:i w:val="0"/>
          <w:color w:val="000000"/>
          <w:sz w:val="20"/>
          <w:u w:val="none"/>
        </w:rPr>
        <w:t xml:space="preserve"> Balance Sheets and the non-land assets will continue to be depreciated over their remaining useful lives.  The </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21.2 million</w:t>
      </w:r>
      <w:r>
        <w:rPr>
          <w:rFonts w:ascii="Times New Roman" w:eastAsia="Times New Roman" w:hAnsi="Times New Roman" w:cs="Times New Roman"/>
          <w:b w:val="0"/>
          <w:i w:val="0"/>
          <w:color w:val="000000"/>
          <w:sz w:val="20"/>
          <w:u w:val="none"/>
        </w:rPr>
        <w:t xml:space="preserve"> of total gross proceeds from these transactions were recognized as financing obligations as a component of long-term debt.  The monthly lease payments, which increase </w:t>
      </w:r>
      <w:r>
        <w:rPr>
          <w:rFonts w:ascii="Times New Roman" w:eastAsia="Times New Roman" w:hAnsi="Times New Roman" w:cs="Times New Roman"/>
          <w:b w:val="0"/>
          <w:i w:val="0"/>
          <w:color w:val="000000"/>
          <w:sz w:val="20"/>
          <w:u w:val="none"/>
        </w:rPr>
        <w:t>3.00%</w:t>
      </w:r>
      <w:r>
        <w:rPr>
          <w:rFonts w:ascii="Times New Roman" w:eastAsia="Times New Roman" w:hAnsi="Times New Roman" w:cs="Times New Roman"/>
          <w:b w:val="0"/>
          <w:i w:val="0"/>
          <w:color w:val="000000"/>
          <w:sz w:val="20"/>
          <w:u w:val="none"/>
        </w:rPr>
        <w:t xml:space="preserve"> each year, are being amortized as principal payments and interest expense </w:t>
      </w:r>
      <w:r>
        <w:rPr>
          <w:rFonts w:ascii="Times New Roman" w:eastAsia="Times New Roman" w:hAnsi="Times New Roman" w:cs="Times New Roman"/>
          <w:b w:val="0"/>
          <w:i w:val="0"/>
          <w:color w:val="000000"/>
          <w:sz w:val="20"/>
          <w:u w:val="none"/>
        </w:rPr>
        <w:t xml:space="preserve">through </w:t>
      </w:r>
      <w:r>
        <w:rPr>
          <w:rFonts w:ascii="Times New Roman" w:eastAsia="Times New Roman" w:hAnsi="Times New Roman" w:cs="Times New Roman"/>
          <w:b w:val="0"/>
          <w:i w:val="0"/>
          <w:color w:val="000000"/>
          <w:sz w:val="20"/>
          <w:u w:val="none"/>
        </w:rPr>
        <w:t>2044</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based on a weighted average effective interest rate of </w:t>
      </w:r>
      <w:r>
        <w:rPr>
          <w:rFonts w:ascii="Times New Roman" w:eastAsia="Times New Roman" w:hAnsi="Times New Roman" w:cs="Times New Roman"/>
          <w:b w:val="0"/>
          <w:i w:val="0"/>
          <w:color w:val="000000"/>
          <w:sz w:val="20"/>
          <w:u w:val="none"/>
        </w:rPr>
        <w:t>9.17%</w:t>
      </w:r>
      <w:r>
        <w:rPr>
          <w:rFonts w:ascii="Times New Roman" w:eastAsia="Times New Roman" w:hAnsi="Times New Roman" w:cs="Times New Roman"/>
          <w:b w:val="0"/>
          <w:i w:val="0"/>
          <w:color w:val="000000"/>
          <w:sz w:val="20"/>
          <w:u w:val="none"/>
        </w:rPr>
        <w:t>.  We incurred $</w:t>
      </w:r>
      <w:r>
        <w:rPr>
          <w:rFonts w:ascii="Times New Roman" w:eastAsia="Times New Roman" w:hAnsi="Times New Roman" w:cs="Times New Roman"/>
          <w:b w:val="0"/>
          <w:i w:val="0"/>
          <w:color w:val="000000"/>
          <w:sz w:val="20"/>
          <w:u w:val="none"/>
        </w:rPr>
        <w:t>0.9 million</w:t>
      </w:r>
      <w:r>
        <w:rPr>
          <w:rFonts w:ascii="Times New Roman" w:eastAsia="Times New Roman" w:hAnsi="Times New Roman" w:cs="Times New Roman"/>
          <w:b w:val="0"/>
          <w:i w:val="0"/>
          <w:color w:val="000000"/>
          <w:sz w:val="20"/>
          <w:u w:val="none"/>
        </w:rPr>
        <w:t xml:space="preserve"> in debt issuance costs related to these transactions, which is being </w:t>
      </w:r>
      <w:r>
        <w:rPr>
          <w:rFonts w:ascii="Times New Roman" w:eastAsia="Times New Roman" w:hAnsi="Times New Roman" w:cs="Times New Roman"/>
          <w:b w:val="0"/>
          <w:i w:val="0"/>
          <w:color w:val="000000"/>
          <w:sz w:val="20"/>
          <w:u w:val="none"/>
        </w:rPr>
        <w:t>amortized over the term of the debt.</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color w:val="000000"/>
          <w:sz w:val="28"/>
          <w:u w:val="none"/>
        </w:rPr>
      </w:pPr>
      <w:r>
        <w:rPr>
          <w:rFonts w:ascii="Times New Roman" w:eastAsia="Times New Roman" w:hAnsi="Times New Roman" w:cs="Times New Roman"/>
          <w:b w:val="0"/>
          <w:i w:val="0"/>
          <w:color w:val="000000"/>
          <w:sz w:val="20"/>
          <w:u w:val="none"/>
        </w:rPr>
        <w:t>In June</w:t>
      </w:r>
      <w:r>
        <w:rPr>
          <w:rFonts w:ascii="Times New Roman" w:eastAsia="Times New Roman" w:hAnsi="Times New Roman" w:cs="Times New Roman"/>
          <w:b w:val="0"/>
          <w:i w:val="0"/>
          <w:color w:val="000000"/>
          <w:sz w:val="20"/>
          <w:u w:val="none"/>
        </w:rPr>
        <w:t xml:space="preserve"> and July</w:t>
      </w:r>
      <w:r>
        <w:rPr>
          <w:rFonts w:ascii="Times New Roman" w:eastAsia="Times New Roman" w:hAnsi="Times New Roman" w:cs="Times New Roman"/>
          <w:b w:val="0"/>
          <w:i w:val="0"/>
          <w:color w:val="000000"/>
          <w:sz w:val="20"/>
          <w:u w:val="none"/>
        </w:rPr>
        <w:t xml:space="preserve"> 2025, we sold</w:t>
      </w:r>
      <w:r>
        <w:rPr>
          <w:rFonts w:ascii="Times New Roman" w:eastAsia="Times New Roman" w:hAnsi="Times New Roman" w:cs="Times New Roman"/>
          <w:b w:val="0"/>
          <w:i w:val="0"/>
          <w:color w:val="000000"/>
          <w:sz w:val="20"/>
          <w:u w:val="none"/>
        </w:rPr>
        <w:t xml:space="preserve"> pieces of manufacturing equipment for an aggregate sales price of $</w:t>
      </w:r>
      <w:r>
        <w:rPr>
          <w:rFonts w:ascii="Times New Roman" w:eastAsia="Times New Roman" w:hAnsi="Times New Roman" w:cs="Times New Roman"/>
          <w:b w:val="0"/>
          <w:i w:val="0"/>
          <w:color w:val="000000"/>
          <w:sz w:val="20"/>
          <w:u w:val="none"/>
        </w:rPr>
        <w:t>2.7 million</w:t>
      </w:r>
      <w:r>
        <w:rPr>
          <w:rFonts w:ascii="Times New Roman" w:eastAsia="Times New Roman" w:hAnsi="Times New Roman" w:cs="Times New Roman"/>
          <w:b w:val="0"/>
          <w:i w:val="0"/>
          <w:color w:val="000000"/>
          <w:sz w:val="20"/>
          <w:u w:val="none"/>
        </w:rPr>
        <w:t xml:space="preserve"> and entered into 5-year lease agreements with the purchaser for the equipment.</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In March 2024, we sold multiple pieces of manufacturing equipment for an aggregate sales price of $</w:t>
      </w:r>
      <w:r>
        <w:rPr>
          <w:rFonts w:ascii="Times New Roman" w:eastAsia="Times New Roman" w:hAnsi="Times New Roman" w:cs="Times New Roman"/>
          <w:b w:val="0"/>
          <w:i w:val="0"/>
          <w:color w:val="000000"/>
          <w:sz w:val="20"/>
          <w:u w:val="none"/>
        </w:rPr>
        <w:t>4.9 million</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Concurrent with the sale, we entered into a 5-year lease agreement with the purchaser that includes a repurchase option for this equipment.  In May 2024, we sold additional pieces of manufacturing equipment for an aggregate sales price of $</w:t>
      </w:r>
      <w:r>
        <w:rPr>
          <w:rFonts w:ascii="Times New Roman" w:eastAsia="Times New Roman" w:hAnsi="Times New Roman" w:cs="Times New Roman"/>
          <w:b w:val="0"/>
          <w:i w:val="0"/>
          <w:color w:val="000000"/>
          <w:sz w:val="20"/>
          <w:u w:val="none"/>
        </w:rPr>
        <w:t>3.4 million</w:t>
      </w:r>
      <w:r>
        <w:rPr>
          <w:rFonts w:ascii="Times New Roman" w:eastAsia="Times New Roman" w:hAnsi="Times New Roman" w:cs="Times New Roman"/>
          <w:b w:val="0"/>
          <w:i w:val="0"/>
          <w:color w:val="000000"/>
          <w:sz w:val="20"/>
          <w:u w:val="none"/>
        </w:rPr>
        <w:t xml:space="preserve"> and entered into 5-year and 6-year lease agreements with the purchaser for the equipment.  </w:t>
      </w:r>
      <w:r>
        <w:rPr>
          <w:rFonts w:ascii="Times New Roman" w:eastAsia="Times New Roman" w:hAnsi="Times New Roman" w:cs="Times New Roman"/>
          <w:b w:val="0"/>
          <w:i w:val="0"/>
          <w:color w:val="000000"/>
          <w:sz w:val="20"/>
          <w:u w:val="none"/>
        </w:rPr>
        <w:t xml:space="preserve"> Since these lease agreements allow for us to exercise a purchase option, we have the ability to maintain the risks and rewards of ownership.  Since the transactions did not transfer control of the assets, they cannot be accounted for as sales under ASC 606.  As a result, the assets remain on our </w:t>
      </w:r>
      <w:r>
        <w:rPr>
          <w:rFonts w:ascii="Times New Roman" w:eastAsia="Times New Roman" w:hAnsi="Times New Roman" w:cs="Times New Roman"/>
          <w:b w:val="0"/>
          <w:i w:val="0"/>
          <w:color w:val="000000"/>
          <w:sz w:val="20"/>
          <w:u w:val="none"/>
        </w:rPr>
        <w:t>Condensed Consolidated</w:t>
      </w:r>
      <w:r>
        <w:rPr>
          <w:rFonts w:ascii="Times New Roman" w:eastAsia="Times New Roman" w:hAnsi="Times New Roman" w:cs="Times New Roman"/>
          <w:b w:val="0"/>
          <w:i w:val="0"/>
          <w:color w:val="000000"/>
          <w:sz w:val="20"/>
          <w:u w:val="none"/>
        </w:rPr>
        <w:t xml:space="preserve"> Balance Sheets and will continue to be depreciated over their remaining useful lives.  The $</w:t>
      </w:r>
      <w:r>
        <w:rPr>
          <w:rFonts w:ascii="Times New Roman" w:eastAsia="Times New Roman" w:hAnsi="Times New Roman" w:cs="Times New Roman"/>
          <w:b w:val="0"/>
          <w:i w:val="0"/>
          <w:color w:val="000000"/>
          <w:sz w:val="20"/>
          <w:u w:val="none"/>
        </w:rPr>
        <w:t>11.0 million</w:t>
      </w:r>
      <w:r>
        <w:rPr>
          <w:rFonts w:ascii="Times New Roman" w:eastAsia="Times New Roman" w:hAnsi="Times New Roman" w:cs="Times New Roman"/>
          <w:b w:val="0"/>
          <w:i w:val="0"/>
          <w:color w:val="000000"/>
          <w:sz w:val="20"/>
          <w:u w:val="none"/>
        </w:rPr>
        <w:t xml:space="preserve"> of total gross proceeds from these transactions were recognized as a financing obligation as a component of long-term debt.  The monthly lease payments are being amortized as principal payments and interest expense on a weighted average effective interest rate of </w:t>
      </w:r>
      <w:r>
        <w:rPr>
          <w:rFonts w:ascii="Times New Roman" w:eastAsia="Times New Roman" w:hAnsi="Times New Roman" w:cs="Times New Roman"/>
          <w:b w:val="0"/>
          <w:i w:val="0"/>
          <w:color w:val="000000"/>
          <w:sz w:val="20"/>
          <w:u w:val="none"/>
        </w:rPr>
        <w:t>8.91%</w:t>
      </w:r>
      <w:r>
        <w:rPr>
          <w:rFonts w:ascii="Times New Roman" w:eastAsia="Times New Roman" w:hAnsi="Times New Roman" w:cs="Times New Roman"/>
          <w:b w:val="0"/>
          <w:i w:val="0"/>
          <w:color w:val="000000"/>
          <w:sz w:val="20"/>
          <w:u w:val="none"/>
        </w:rPr>
        <w:t>.</w:t>
      </w:r>
    </w:p>
    <w:p>
      <w:pPr>
        <w:pStyle w:val="Subheading"/>
        <w:keepNext/>
        <w:keepLines/>
        <w:pageBreakBefore w:val="0"/>
        <w:widowControl w:val="0"/>
        <w:numPr>
          <w:ilvl w:val="0"/>
          <w:numId w:val="0"/>
        </w:numPr>
        <w:spacing w:before="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International Loans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color w:val="000000"/>
          <w:sz w:val="28"/>
          <w:u w:val="none"/>
        </w:rPr>
      </w:pPr>
      <w:r>
        <w:rPr>
          <w:rFonts w:ascii="Times New Roman" w:eastAsia="Times New Roman" w:hAnsi="Times New Roman" w:cs="Times New Roman"/>
          <w:b w:val="0"/>
          <w:i w:val="0"/>
          <w:color w:val="000000"/>
          <w:sz w:val="20"/>
          <w:u w:val="none"/>
        </w:rPr>
        <w:t xml:space="preserve">We have fixed rate debt with various financial institutions in France, Poland and China, with maturity dates between </w:t>
      </w:r>
      <w:r>
        <w:rPr>
          <w:rFonts w:ascii="Times New Roman" w:eastAsia="Times New Roman" w:hAnsi="Times New Roman" w:cs="Times New Roman"/>
          <w:b w:val="0"/>
          <w:i w:val="0"/>
          <w:color w:val="000000"/>
          <w:sz w:val="20"/>
          <w:u w:val="none"/>
        </w:rPr>
        <w:t>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2033</w:t>
      </w:r>
      <w:r>
        <w:rPr>
          <w:rFonts w:ascii="Times New Roman" w:eastAsia="Times New Roman" w:hAnsi="Times New Roman" w:cs="Times New Roman"/>
          <w:b w:val="0"/>
          <w:i w:val="0"/>
          <w:color w:val="000000"/>
          <w:sz w:val="20"/>
          <w:u w:val="none"/>
        </w:rPr>
        <w:t xml:space="preserve">.  These loans, which were obtained to fund working capital and equipment purchases, had a weighted average interest rate of </w:t>
      </w:r>
      <w:r>
        <w:rPr>
          <w:rFonts w:ascii="Times New Roman" w:eastAsia="Times New Roman" w:hAnsi="Times New Roman" w:cs="Times New Roman"/>
          <w:b w:val="0"/>
          <w:i w:val="0"/>
          <w:color w:val="000000"/>
          <w:sz w:val="20"/>
          <w:u w:val="none"/>
        </w:rPr>
        <w:t>2.20</w:t>
      </w:r>
      <w:r>
        <w:rPr>
          <w:rFonts w:ascii="Times New Roman" w:eastAsia="Times New Roman" w:hAnsi="Times New Roman" w:cs="Times New Roman"/>
          <w:b w:val="0"/>
          <w:i w:val="0"/>
          <w:color w:val="000000"/>
          <w:sz w:val="20"/>
          <w:u w:val="none"/>
        </w:rPr>
        <w:t xml:space="preserve">% at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16"/>
          <w:u w:val="none"/>
        </w:rPr>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0" w:right="0" w:firstLine="0"/>
        <w:jc w:val="left"/>
        <w:outlineLvl w:val="3"/>
        <w:rPr>
          <w:rFonts w:ascii="Times New Roman" w:eastAsia="Times New Roman" w:hAnsi="Times New Roman" w:cs="Times New Roman"/>
          <w:b/>
          <w:i w:val="0"/>
          <w:color w:val="000000"/>
          <w:sz w:val="20"/>
          <w:u w:val="none"/>
        </w:rPr>
      </w:pPr>
      <w:bookmarkStart w:id="17" w:name="Section19"/>
      <w:bookmarkEnd w:id="17"/>
      <w:r>
        <w:rPr>
          <w:rFonts w:ascii="Times New Roman" w:eastAsia="Times New Roman" w:hAnsi="Times New Roman" w:cs="Times New Roman"/>
          <w:b/>
          <w:i w:val="0"/>
          <w:color w:val="000000"/>
          <w:sz w:val="20"/>
          <w:u w:val="none"/>
        </w:rPr>
        <w:t>Note 9</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Preferred Stock</w:t>
      </w:r>
    </w:p>
    <w:p>
      <w:pPr>
        <w:keepNext/>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val="0"/>
          <w:color w:val="000000"/>
          <w:sz w:val="20"/>
          <w:u w:val="none"/>
        </w:rPr>
        <w:t xml:space="preserve">On March 22, 2021, </w:t>
      </w:r>
      <w:r>
        <w:rPr>
          <w:rFonts w:ascii="Times New Roman" w:eastAsia="Times New Roman" w:hAnsi="Times New Roman" w:cs="Times New Roman"/>
          <w:b w:val="0"/>
          <w:i w:val="0"/>
          <w:color w:val="000000"/>
          <w:sz w:val="20"/>
          <w:u w:val="none"/>
        </w:rPr>
        <w:t>the Company</w:t>
      </w:r>
      <w:r>
        <w:rPr>
          <w:rFonts w:ascii="Times New Roman" w:eastAsia="Times New Roman" w:hAnsi="Times New Roman" w:cs="Times New Roman"/>
          <w:b w:val="0"/>
          <w:i w:val="0"/>
          <w:color w:val="000000"/>
          <w:sz w:val="20"/>
          <w:u w:val="none"/>
        </w:rPr>
        <w:t xml:space="preserve"> completed a private placement of </w:t>
      </w:r>
      <w:r>
        <w:rPr>
          <w:rFonts w:ascii="Times New Roman" w:eastAsia="Times New Roman" w:hAnsi="Times New Roman" w:cs="Times New Roman"/>
          <w:b w:val="0"/>
          <w:i w:val="0"/>
          <w:color w:val="000000"/>
          <w:sz w:val="20"/>
          <w:u w:val="none"/>
        </w:rPr>
        <w:t>65,000</w:t>
      </w:r>
      <w:r>
        <w:rPr>
          <w:rFonts w:ascii="Times New Roman" w:eastAsia="Times New Roman" w:hAnsi="Times New Roman" w:cs="Times New Roman"/>
          <w:b w:val="0"/>
          <w:i w:val="0"/>
          <w:color w:val="000000"/>
          <w:sz w:val="20"/>
          <w:u w:val="none"/>
        </w:rPr>
        <w:t xml:space="preserve"> shares of newly designated Series D Perpetual Preferred Stock, with a par value of </w:t>
      </w:r>
      <w:r>
        <w:rPr>
          <w:rFonts w:ascii="Times New Roman" w:eastAsia="Times New Roman" w:hAnsi="Times New Roman" w:cs="Times New Roman"/>
          <w:b w:val="0"/>
          <w:i w:val="0"/>
          <w:color w:val="000000"/>
          <w:sz w:val="20"/>
          <w:u w:val="none"/>
        </w:rPr>
        <w:t>$0.01</w:t>
      </w:r>
      <w:r>
        <w:rPr>
          <w:rFonts w:ascii="Times New Roman" w:eastAsia="Times New Roman" w:hAnsi="Times New Roman" w:cs="Times New Roman"/>
          <w:b w:val="0"/>
          <w:i w:val="0"/>
          <w:color w:val="000000"/>
          <w:sz w:val="20"/>
          <w:u w:val="none"/>
        </w:rPr>
        <w:t xml:space="preserve"> per share (the “Series D Preferred Stock”), at a price of </w:t>
      </w:r>
      <w:r>
        <w:rPr>
          <w:rFonts w:ascii="Times New Roman" w:eastAsia="Times New Roman" w:hAnsi="Times New Roman" w:cs="Times New Roman"/>
          <w:b w:val="0"/>
          <w:i w:val="0"/>
          <w:color w:val="000000"/>
          <w:sz w:val="20"/>
          <w:u w:val="none"/>
        </w:rPr>
        <w:t>$1,000</w:t>
      </w:r>
      <w:r>
        <w:rPr>
          <w:rFonts w:ascii="Times New Roman" w:eastAsia="Times New Roman" w:hAnsi="Times New Roman" w:cs="Times New Roman"/>
          <w:b w:val="0"/>
          <w:i w:val="0"/>
          <w:color w:val="000000"/>
          <w:sz w:val="20"/>
          <w:u w:val="none"/>
        </w:rPr>
        <w:t xml:space="preserve"> per share.  The Series D Preferred Stock has an initial </w:t>
      </w:r>
      <w:r>
        <w:rPr>
          <w:rFonts w:ascii="Times New Roman" w:eastAsia="Times New Roman" w:hAnsi="Times New Roman" w:cs="Times New Roman"/>
          <w:b w:val="0"/>
          <w:i w:val="0"/>
          <w:color w:val="000000"/>
          <w:sz w:val="20"/>
          <w:u w:val="none"/>
        </w:rPr>
        <w:t>liquidation</w:t>
      </w:r>
      <w:r>
        <w:rPr>
          <w:rFonts w:ascii="Times New Roman" w:eastAsia="Times New Roman" w:hAnsi="Times New Roman" w:cs="Times New Roman"/>
          <w:b w:val="0"/>
          <w:i w:val="0"/>
          <w:color w:val="000000"/>
          <w:sz w:val="20"/>
          <w:u w:val="none"/>
        </w:rPr>
        <w:t xml:space="preserve"> preference of </w:t>
      </w:r>
      <w:r>
        <w:rPr>
          <w:rFonts w:ascii="Times New Roman" w:eastAsia="Times New Roman" w:hAnsi="Times New Roman" w:cs="Times New Roman"/>
          <w:b w:val="0"/>
          <w:i w:val="0"/>
          <w:color w:val="000000"/>
          <w:sz w:val="20"/>
          <w:u w:val="none"/>
        </w:rPr>
        <w:t>$1,000</w:t>
      </w:r>
      <w:r>
        <w:rPr>
          <w:rFonts w:ascii="Times New Roman" w:eastAsia="Times New Roman" w:hAnsi="Times New Roman" w:cs="Times New Roman"/>
          <w:b w:val="0"/>
          <w:i w:val="0"/>
          <w:color w:val="000000"/>
          <w:sz w:val="20"/>
          <w:u w:val="none"/>
        </w:rPr>
        <w:t xml:space="preserve"> per share and is redeemable at our option in cash at a redemption price equal to the liquidation preference then in effect.  Series D Preferred Stock shares earn cash dividends at a rate of </w:t>
      </w:r>
      <w:r>
        <w:rPr>
          <w:rFonts w:ascii="Times New Roman" w:eastAsia="Times New Roman" w:hAnsi="Times New Roman" w:cs="Times New Roman"/>
          <w:b w:val="0"/>
          <w:i w:val="0"/>
          <w:color w:val="000000"/>
          <w:sz w:val="20"/>
          <w:u w:val="none"/>
        </w:rPr>
        <w:t>10.0%</w:t>
      </w:r>
      <w:r>
        <w:rPr>
          <w:rFonts w:ascii="Times New Roman" w:eastAsia="Times New Roman" w:hAnsi="Times New Roman" w:cs="Times New Roman"/>
          <w:b w:val="0"/>
          <w:i w:val="0"/>
          <w:color w:val="000000"/>
          <w:sz w:val="20"/>
          <w:u w:val="none"/>
        </w:rPr>
        <w:t xml:space="preserve"> per year, payable quarterly in arrears, accruing whether or not earned or declared.  If no cash dividend is paid, then the liquidation preference per share effective on the dividend date </w:t>
      </w:r>
      <w:r>
        <w:rPr>
          <w:rFonts w:ascii="Times New Roman" w:eastAsia="Times New Roman" w:hAnsi="Times New Roman" w:cs="Times New Roman"/>
          <w:b w:val="0"/>
          <w:i w:val="0"/>
          <w:color w:val="000000"/>
          <w:sz w:val="20"/>
          <w:u w:val="none"/>
        </w:rPr>
        <w:t>increases to</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12.0%</w:t>
      </w:r>
      <w:r>
        <w:rPr>
          <w:rFonts w:ascii="Times New Roman" w:eastAsia="Times New Roman" w:hAnsi="Times New Roman" w:cs="Times New Roman"/>
          <w:b w:val="0"/>
          <w:i w:val="0"/>
          <w:color w:val="000000"/>
          <w:sz w:val="20"/>
          <w:u w:val="none"/>
        </w:rPr>
        <w:t xml:space="preserve"> per year.  On March 22, 2026, the cash dividend rate and in-kind dividend rate</w:t>
      </w:r>
      <w:r>
        <w:rPr>
          <w:rFonts w:ascii="Times New Roman" w:eastAsia="Times New Roman" w:hAnsi="Times New Roman" w:cs="Times New Roman"/>
          <w:b w:val="0"/>
          <w:i w:val="0"/>
          <w:color w:val="000000"/>
          <w:sz w:val="20"/>
          <w:u w:val="none"/>
        </w:rPr>
        <w:t xml:space="preserve"> increase</w:t>
      </w:r>
      <w:r>
        <w:rPr>
          <w:rFonts w:ascii="Times New Roman" w:eastAsia="Times New Roman" w:hAnsi="Times New Roman" w:cs="Times New Roman"/>
          <w:b w:val="0"/>
          <w:i w:val="0"/>
          <w:color w:val="000000"/>
          <w:sz w:val="20"/>
          <w:u w:val="none"/>
        </w:rPr>
        <w:t>d</w:t>
      </w:r>
      <w:r>
        <w:rPr>
          <w:rFonts w:ascii="Times New Roman" w:eastAsia="Times New Roman" w:hAnsi="Times New Roman" w:cs="Times New Roman"/>
          <w:b w:val="0"/>
          <w:i w:val="0"/>
          <w:color w:val="000000"/>
          <w:sz w:val="20"/>
          <w:u w:val="none"/>
        </w:rPr>
        <w:t xml:space="preserve"> by </w:t>
      </w:r>
      <w:r>
        <w:rPr>
          <w:rFonts w:ascii="Times New Roman" w:eastAsia="Times New Roman" w:hAnsi="Times New Roman" w:cs="Times New Roman"/>
          <w:b w:val="0"/>
          <w:i w:val="0"/>
          <w:color w:val="000000"/>
          <w:sz w:val="20"/>
          <w:u w:val="none"/>
        </w:rPr>
        <w:t>2.5%</w:t>
      </w:r>
      <w:r>
        <w:rPr>
          <w:rFonts w:ascii="Times New Roman" w:eastAsia="Times New Roman" w:hAnsi="Times New Roman" w:cs="Times New Roman"/>
          <w:b w:val="0"/>
          <w:i w:val="0"/>
          <w:color w:val="000000"/>
          <w:sz w:val="20"/>
          <w:u w:val="none"/>
        </w:rPr>
        <w:t>, and</w:t>
      </w:r>
      <w:r>
        <w:rPr>
          <w:rFonts w:ascii="Times New Roman" w:eastAsia="Times New Roman" w:hAnsi="Times New Roman" w:cs="Times New Roman"/>
          <w:b w:val="0"/>
          <w:i w:val="0"/>
          <w:color w:val="000000"/>
          <w:sz w:val="20"/>
          <w:u w:val="none"/>
        </w:rPr>
        <w:t xml:space="preserve"> will increase by 2.5%</w:t>
      </w:r>
      <w:r>
        <w:rPr>
          <w:rFonts w:ascii="Times New Roman" w:eastAsia="Times New Roman" w:hAnsi="Times New Roman" w:cs="Times New Roman"/>
          <w:b w:val="0"/>
          <w:i w:val="0"/>
          <w:color w:val="000000"/>
          <w:sz w:val="20"/>
          <w:u w:val="none"/>
        </w:rPr>
        <w:t xml:space="preserve"> each year thereafter.  Cash dividends are required beginning on September 30, 2027 and are limited based on terms and conditions of the Company’s outstanding credit agreements. </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val="0"/>
          <w:color w:val="000000"/>
          <w:sz w:val="20"/>
          <w:u w:val="none"/>
        </w:rPr>
        <w:t xml:space="preserve">The Series D Preferred Stock is classified as mezzanine equity, between liabilities and stockholders’ equity, because certain features of the Series D Preferred Stock could require redemption of the Series D Preferred Stock upon a change of control event that is considered not solely within our control.  For initial recognition, the Series D Preferred Stock was recognized at a discounted value, net of issuance costs and allocation to warrants and a bifurcated embedded derivative.  The aggregate discount </w:t>
      </w:r>
      <w:r>
        <w:rPr>
          <w:rFonts w:ascii="Times New Roman" w:eastAsia="Times New Roman" w:hAnsi="Times New Roman" w:cs="Times New Roman"/>
          <w:b w:val="0"/>
          <w:i w:val="0"/>
          <w:color w:val="000000"/>
          <w:sz w:val="20"/>
          <w:u w:val="none"/>
        </w:rPr>
        <w:t>was</w:t>
      </w:r>
      <w:r>
        <w:rPr>
          <w:rFonts w:ascii="Times New Roman" w:eastAsia="Times New Roman" w:hAnsi="Times New Roman" w:cs="Times New Roman"/>
          <w:b w:val="0"/>
          <w:i w:val="0"/>
          <w:color w:val="000000"/>
          <w:sz w:val="20"/>
          <w:u w:val="none"/>
        </w:rPr>
        <w:t xml:space="preserve"> amortized as a deemed dividend through March 22, 2026, which is the date the dividend rate</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increased to 14.5% per year</w:t>
      </w:r>
      <w:r>
        <w:rPr>
          <w:rFonts w:ascii="Times New Roman" w:eastAsia="Times New Roman" w:hAnsi="Times New Roman" w:cs="Times New Roman"/>
          <w:b w:val="0"/>
          <w:i w:val="0"/>
          <w:color w:val="000000"/>
          <w:sz w:val="20"/>
          <w:u w:val="none"/>
        </w:rPr>
        <w:t>.  Deemed dividends adjust additional paid-in capital due to the absence of retained earnings.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On A</w:t>
      </w:r>
      <w:r>
        <w:rPr>
          <w:rFonts w:ascii="Times New Roman" w:eastAsia="Times New Roman" w:hAnsi="Times New Roman" w:cs="Times New Roman"/>
          <w:b w:val="0"/>
          <w:i w:val="0"/>
          <w:color w:val="000000"/>
          <w:sz w:val="20"/>
          <w:u w:val="none"/>
        </w:rPr>
        <w:t xml:space="preserve">ugust 5, </w:t>
      </w:r>
      <w:r>
        <w:rPr>
          <w:rFonts w:ascii="Times New Roman" w:eastAsia="Times New Roman" w:hAnsi="Times New Roman" w:cs="Times New Roman"/>
          <w:b w:val="0"/>
          <w:i w:val="0"/>
          <w:color w:val="000000"/>
          <w:sz w:val="20"/>
          <w:u w:val="none"/>
        </w:rPr>
        <w:t>2026, the Company completed t</w:t>
      </w:r>
      <w:r>
        <w:rPr>
          <w:rFonts w:ascii="Times New Roman" w:eastAsia="Times New Roman" w:hAnsi="Times New Roman" w:cs="Times New Roman"/>
          <w:b w:val="0"/>
          <w:i w:val="0"/>
          <w:color w:val="000000"/>
          <w:sz w:val="20"/>
          <w:u w:val="none"/>
        </w:rPr>
        <w:t>he Exchange and the Redemption (</w:t>
      </w:r>
      <w:r>
        <w:rPr>
          <w:rFonts w:ascii="Times New Roman" w:eastAsia="Times New Roman" w:hAnsi="Times New Roman" w:cs="Times New Roman"/>
          <w:b w:val="0"/>
          <w:i w:val="0"/>
          <w:color w:val="000000"/>
          <w:sz w:val="20"/>
          <w:u w:val="none"/>
        </w:rPr>
        <w:t xml:space="preserve">each as defined in Note 18 - Subsequent Events - Series D </w:t>
      </w:r>
      <w:r>
        <w:rPr>
          <w:rFonts w:ascii="Times New Roman" w:eastAsia="Times New Roman" w:hAnsi="Times New Roman" w:cs="Times New Roman"/>
          <w:b w:val="0"/>
          <w:i w:val="0"/>
          <w:color w:val="000000"/>
          <w:sz w:val="20"/>
          <w:u w:val="none"/>
        </w:rPr>
        <w:t>Perpetual</w:t>
      </w:r>
      <w:r>
        <w:rPr>
          <w:rFonts w:ascii="Times New Roman" w:eastAsia="Times New Roman" w:hAnsi="Times New Roman" w:cs="Times New Roman"/>
          <w:b w:val="0"/>
          <w:i w:val="0"/>
          <w:color w:val="000000"/>
          <w:sz w:val="20"/>
          <w:u w:val="none"/>
        </w:rPr>
        <w:t xml:space="preserve"> Preferred Stock Redemption and Exchange).</w:t>
      </w:r>
    </w:p>
    <w:p>
      <w:pPr>
        <w:keepNext/>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the carrying value of the Series D Preferred Stock shares was </w:t>
      </w:r>
      <w:r>
        <w:rPr>
          <w:rFonts w:ascii="Times New Roman" w:eastAsia="Times New Roman" w:hAnsi="Times New Roman" w:cs="Times New Roman"/>
          <w:b w:val="0"/>
          <w:i w:val="0"/>
          <w:color w:val="000000"/>
          <w:sz w:val="20"/>
          <w:u w:val="none"/>
        </w:rPr>
        <w:t>$122.1 million</w:t>
      </w:r>
      <w:r>
        <w:rPr>
          <w:rFonts w:ascii="Times New Roman" w:eastAsia="Times New Roman" w:hAnsi="Times New Roman" w:cs="Times New Roman"/>
          <w:b w:val="0"/>
          <w:i w:val="0"/>
          <w:color w:val="000000"/>
          <w:sz w:val="20"/>
          <w:u w:val="none"/>
        </w:rPr>
        <w:t xml:space="preserve">, which included </w:t>
      </w:r>
      <w:r>
        <w:rPr>
          <w:rFonts w:ascii="Times New Roman" w:eastAsia="Times New Roman" w:hAnsi="Times New Roman" w:cs="Times New Roman"/>
          <w:b w:val="0"/>
          <w:i w:val="0"/>
          <w:color w:val="000000"/>
          <w:sz w:val="20"/>
          <w:u w:val="none"/>
        </w:rPr>
        <w:t>$75.5 million</w:t>
      </w:r>
      <w:r>
        <w:rPr>
          <w:rFonts w:ascii="Times New Roman" w:eastAsia="Times New Roman" w:hAnsi="Times New Roman" w:cs="Times New Roman"/>
          <w:b w:val="0"/>
          <w:i w:val="0"/>
          <w:color w:val="000000"/>
          <w:sz w:val="20"/>
          <w:u w:val="none"/>
        </w:rPr>
        <w:t xml:space="preserve"> of accumulated unpaid and deemed dividends.  </w:t>
      </w:r>
      <w:r>
        <w:rPr>
          <w:rFonts w:ascii="Times New Roman" w:eastAsia="Times New Roman" w:hAnsi="Times New Roman" w:cs="Times New Roman"/>
          <w:b w:val="0"/>
          <w:i w:val="0"/>
          <w:color w:val="000000"/>
          <w:sz w:val="20"/>
          <w:u w:val="none"/>
        </w:rPr>
        <w:t xml:space="preserve">The following table presents the change in the Series D Preferred Stock carrying value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w:t>
      </w:r>
    </w:p>
    <w:tbl>
      <w:tblPr>
        <w:tblStyle w:val="TableNormal0"/>
        <w:tblW w:w="10260" w:type="dxa"/>
        <w:jc w:val="left"/>
        <w:tblInd w:w="0" w:type="dxa"/>
        <w:tblLayout w:type="fixed"/>
      </w:tblPr>
      <w:tblGrid>
        <w:gridCol w:w="8565"/>
        <w:gridCol w:w="1695"/>
      </w:tblGrid>
      <w:tr>
        <w:tblPrEx>
          <w:tblW w:w="10260" w:type="dxa"/>
          <w:tblInd w:w="0" w:type="dxa"/>
          <w:tblLayout w:type="fixed"/>
        </w:tblPrEx>
        <w:trPr>
          <w:trHeight w:hRule="exact" w:val="315"/>
        </w:trPr>
        <w:tc>
          <w:tcPr>
            <w:tcW w:w="856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Balance as of December 31, 2025</w:t>
            </w:r>
          </w:p>
        </w:tc>
        <w:tc>
          <w:tcPr>
            <w:tcW w:w="16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12"/>
                <w:tab w:val="left" w:pos="1627"/>
              </w:tabs>
              <w:spacing w:before="75" w:after="30" w:line="240" w:lineRule="auto"/>
              <w:jc w:val="right"/>
            </w:pPr>
            <w:r>
              <w:rPr>
                <w:rFonts w:ascii="Times New Roman" w:eastAsia="Times New Roman" w:hAnsi="Times New Roman" w:cs="Times New Roman"/>
                <w:b w:val="0"/>
                <w:i w:val="0"/>
                <w:color w:val="000000"/>
                <w:sz w:val="20"/>
                <w:u w:val="none"/>
              </w:rPr>
              <w:t>$</w:t>
              <w:tab/>
              <w:t>112,409</w:t>
              <w:tab/>
            </w:r>
          </w:p>
        </w:tc>
      </w:tr>
      <w:tr>
        <w:tblPrEx>
          <w:tblW w:w="10260" w:type="dxa"/>
          <w:tblInd w:w="0" w:type="dxa"/>
          <w:tblLayout w:type="fixed"/>
        </w:tblPrEx>
        <w:trPr>
          <w:trHeight w:hRule="exact" w:val="315"/>
        </w:trPr>
        <w:tc>
          <w:tcPr>
            <w:tcW w:w="856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Accrual of in-kind dividends</w:t>
            </w:r>
          </w:p>
        </w:tc>
        <w:tc>
          <w:tcPr>
            <w:tcW w:w="16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112"/>
                <w:tab w:val="left" w:pos="1627"/>
              </w:tabs>
              <w:spacing w:before="75" w:after="30" w:line="240" w:lineRule="auto"/>
              <w:jc w:val="right"/>
            </w:pPr>
            <w:r>
              <w:rPr>
                <w:rFonts w:ascii="Times New Roman" w:eastAsia="Times New Roman" w:hAnsi="Times New Roman" w:cs="Times New Roman"/>
                <w:b w:val="0"/>
                <w:i w:val="0"/>
                <w:color w:val="000000"/>
                <w:sz w:val="20"/>
                <w:u w:val="none"/>
              </w:rPr>
              <w:tab/>
              <w:t>7,733</w:t>
              <w:tab/>
            </w:r>
          </w:p>
        </w:tc>
      </w:tr>
      <w:tr>
        <w:tblPrEx>
          <w:tblW w:w="10260" w:type="dxa"/>
          <w:tblInd w:w="0" w:type="dxa"/>
          <w:tblLayout w:type="fixed"/>
        </w:tblPrEx>
        <w:trPr>
          <w:trHeight w:hRule="exact" w:val="315"/>
        </w:trPr>
        <w:tc>
          <w:tcPr>
            <w:tcW w:w="856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Amortization</w:t>
            </w:r>
          </w:p>
        </w:tc>
        <w:tc>
          <w:tcPr>
            <w:tcW w:w="169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12"/>
                <w:tab w:val="left" w:pos="1627"/>
              </w:tabs>
              <w:spacing w:before="75" w:after="30" w:line="240" w:lineRule="auto"/>
              <w:jc w:val="right"/>
            </w:pPr>
            <w:r>
              <w:rPr>
                <w:rFonts w:ascii="Times New Roman" w:eastAsia="Times New Roman" w:hAnsi="Times New Roman" w:cs="Times New Roman"/>
                <w:b w:val="0"/>
                <w:i w:val="0"/>
                <w:color w:val="000000"/>
                <w:sz w:val="20"/>
                <w:u w:val="none"/>
              </w:rPr>
              <w:tab/>
              <w:t>1,986</w:t>
              <w:tab/>
            </w:r>
          </w:p>
        </w:tc>
      </w:tr>
      <w:tr>
        <w:tblPrEx>
          <w:tblW w:w="10260" w:type="dxa"/>
          <w:tblInd w:w="0" w:type="dxa"/>
          <w:tblLayout w:type="fixed"/>
        </w:tblPrEx>
        <w:trPr>
          <w:trHeight w:hRule="exact" w:val="315"/>
        </w:trPr>
        <w:tc>
          <w:tcPr>
            <w:tcW w:w="856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5" w:after="30" w:line="240" w:lineRule="auto"/>
              <w:jc w:val="left"/>
            </w:pPr>
            <w:r>
              <w:rPr>
                <w:rFonts w:ascii="Times New Roman" w:eastAsia="Times New Roman" w:hAnsi="Times New Roman" w:cs="Times New Roman"/>
                <w:b w:val="0"/>
                <w:i w:val="0"/>
                <w:color w:val="000000"/>
                <w:sz w:val="20"/>
                <w:u w:val="none"/>
              </w:rPr>
              <w:t>Balance as of June 30, 2026</w:t>
            </w:r>
          </w:p>
        </w:tc>
        <w:tc>
          <w:tcPr>
            <w:tcW w:w="169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912"/>
                <w:tab w:val="left" w:pos="1627"/>
              </w:tabs>
              <w:spacing w:before="55" w:after="30" w:line="240" w:lineRule="auto"/>
              <w:jc w:val="right"/>
            </w:pPr>
            <w:r>
              <w:rPr>
                <w:rFonts w:ascii="Times New Roman" w:eastAsia="Times New Roman" w:hAnsi="Times New Roman" w:cs="Times New Roman"/>
                <w:b w:val="0"/>
                <w:i w:val="0"/>
                <w:color w:val="000000"/>
                <w:sz w:val="20"/>
                <w:u w:val="none"/>
              </w:rPr>
              <w:t>$</w:t>
              <w:tab/>
              <w:t>122,128</w:t>
              <w:tab/>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
          <w:highlight w:val="yellow"/>
          <w:u w:val="none"/>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
          <w:highlight w:val="yellow"/>
          <w:u w:val="none"/>
        </w:rPr>
        <w:sectPr>
          <w:type w:val="continuous"/>
          <w:pgSz w:w="12240" w:h="15840"/>
          <w:pgMar w:top="810" w:right="990" w:bottom="810" w:left="990" w:header="270" w:footer="270"/>
          <w:cols w:space="708"/>
        </w:sectPr>
      </w:pPr>
    </w:p>
    <w:p>
      <w:pPr>
        <w:keepNext/>
        <w:keepLines/>
        <w:pageBreakBefore w:val="0"/>
        <w:widowControl w:val="0"/>
        <w:numPr>
          <w:ilvl w:val="0"/>
          <w:numId w:val="0"/>
        </w:numPr>
        <w:spacing w:before="240" w:after="60" w:line="288" w:lineRule="auto"/>
        <w:ind w:left="0" w:right="0" w:firstLine="0"/>
        <w:jc w:val="left"/>
        <w:outlineLvl w:val="3"/>
        <w:rPr>
          <w:rFonts w:ascii="Times New Roman" w:eastAsia="Times New Roman" w:hAnsi="Times New Roman" w:cs="Times New Roman"/>
          <w:b/>
          <w:i w:val="0"/>
          <w:sz w:val="20"/>
        </w:rPr>
      </w:pPr>
      <w:bookmarkStart w:id="18" w:name="Section20"/>
      <w:bookmarkEnd w:id="18"/>
      <w:r>
        <w:rPr>
          <w:rFonts w:ascii="Times New Roman" w:eastAsia="Times New Roman" w:hAnsi="Times New Roman" w:cs="Times New Roman"/>
          <w:b/>
          <w:i w:val="0"/>
          <w:color w:val="000000"/>
          <w:sz w:val="20"/>
          <w:u w:val="none"/>
        </w:rPr>
        <w:t>Note 10</w:t>
      </w:r>
      <w:r>
        <w:rPr>
          <w:rFonts w:ascii="Times New Roman" w:eastAsia="Times New Roman" w:hAnsi="Times New Roman" w:cs="Times New Roman"/>
          <w:b/>
          <w:i w:val="0"/>
          <w:sz w:val="20"/>
        </w:rPr>
        <w:t>.</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Leases</w:t>
      </w:r>
    </w:p>
    <w:p>
      <w:pPr>
        <w:keepNext/>
        <w:keepLines w:val="0"/>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following table contains supplemental cash flow information related to leases.  </w:t>
      </w:r>
    </w:p>
    <w:tbl>
      <w:tblPr>
        <w:tblStyle w:val="TableNormal0"/>
        <w:tblW w:w="10260" w:type="dxa"/>
        <w:jc w:val="left"/>
        <w:tblInd w:w="0" w:type="dxa"/>
        <w:tblLayout w:type="fixed"/>
      </w:tblPr>
      <w:tblGrid>
        <w:gridCol w:w="7545"/>
        <w:gridCol w:w="1305"/>
        <w:gridCol w:w="105"/>
        <w:gridCol w:w="1305"/>
      </w:tblGrid>
      <w:tr>
        <w:tblPrEx>
          <w:tblW w:w="10260" w:type="dxa"/>
          <w:tblInd w:w="0" w:type="dxa"/>
          <w:tblLayout w:type="fixed"/>
        </w:tblPrEx>
        <w:trPr>
          <w:trHeight w:hRule="exact" w:val="405"/>
        </w:trPr>
        <w:tc>
          <w:tcPr>
            <w:tcW w:w="754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271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 xml:space="preserve">Six Months Ended </w:t>
            </w:r>
          </w:p>
          <w:p>
            <w:pPr>
              <w:spacing w:after="30" w:line="240" w:lineRule="auto"/>
              <w:jc w:val="center"/>
            </w:pPr>
            <w:r>
              <w:rPr>
                <w:rFonts w:ascii="Times New Roman" w:eastAsia="Times New Roman" w:hAnsi="Times New Roman" w:cs="Times New Roman"/>
                <w:b/>
                <w:i w:val="0"/>
                <w:color w:val="000000"/>
                <w:sz w:val="16"/>
                <w:u w:val="none"/>
              </w:rPr>
              <w:t>June 30,</w:t>
            </w:r>
          </w:p>
        </w:tc>
      </w:tr>
      <w:tr>
        <w:tblPrEx>
          <w:tblW w:w="10260" w:type="dxa"/>
          <w:tblInd w:w="0" w:type="dxa"/>
          <w:tblLayout w:type="fixed"/>
        </w:tblPrEx>
        <w:trPr>
          <w:trHeight w:hRule="exact" w:val="255"/>
        </w:trPr>
        <w:tc>
          <w:tcPr>
            <w:tcW w:w="754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2026</w:t>
            </w:r>
          </w:p>
        </w:tc>
        <w:tc>
          <w:tcPr>
            <w:tcW w:w="10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2025</w:t>
            </w:r>
          </w:p>
        </w:tc>
      </w:tr>
      <w:tr>
        <w:tblPrEx>
          <w:tblW w:w="10260" w:type="dxa"/>
          <w:tblInd w:w="0" w:type="dxa"/>
          <w:tblLayout w:type="fixed"/>
        </w:tblPrEx>
        <w:trPr>
          <w:trHeight w:hRule="exact" w:val="300"/>
        </w:trPr>
        <w:tc>
          <w:tcPr>
            <w:tcW w:w="754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Cash paid for amounts included in the measurement of lease liabilities:</w:t>
            </w: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300"/>
        </w:trPr>
        <w:tc>
          <w:tcPr>
            <w:tcW w:w="754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135"/>
              <w:jc w:val="left"/>
            </w:pPr>
            <w:r>
              <w:rPr>
                <w:rFonts w:ascii="Times New Roman" w:eastAsia="Times New Roman" w:hAnsi="Times New Roman" w:cs="Times New Roman"/>
                <w:b w:val="0"/>
                <w:i w:val="0"/>
                <w:color w:val="000000"/>
                <w:sz w:val="20"/>
                <w:u w:val="none"/>
              </w:rPr>
              <w:t>Operating cash flows used in operating leases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w:t>
              <w:tab/>
              <w:t>4,262</w:t>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w:t>
              <w:tab/>
              <w:t>4,315</w:t>
              <w:tab/>
            </w:r>
          </w:p>
        </w:tc>
      </w:tr>
      <w:tr>
        <w:tblPrEx>
          <w:tblW w:w="10260" w:type="dxa"/>
          <w:tblInd w:w="0" w:type="dxa"/>
          <w:tblLayout w:type="fixed"/>
        </w:tblPrEx>
        <w:trPr>
          <w:trHeight w:hRule="exact" w:val="300"/>
        </w:trPr>
        <w:tc>
          <w:tcPr>
            <w:tcW w:w="754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ind w:left="135"/>
              <w:jc w:val="left"/>
            </w:pPr>
            <w:r>
              <w:rPr>
                <w:rFonts w:ascii="Times New Roman" w:eastAsia="Times New Roman" w:hAnsi="Times New Roman" w:cs="Times New Roman"/>
                <w:b w:val="0"/>
                <w:i w:val="0"/>
                <w:color w:val="000000"/>
                <w:sz w:val="20"/>
                <w:u w:val="none"/>
              </w:rPr>
              <w:t>Operating cash flows used in finance leases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219</w:t>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256</w:t>
              <w:tab/>
            </w:r>
          </w:p>
        </w:tc>
      </w:tr>
      <w:tr>
        <w:tblPrEx>
          <w:tblW w:w="10260" w:type="dxa"/>
          <w:tblInd w:w="0" w:type="dxa"/>
          <w:tblLayout w:type="fixed"/>
        </w:tblPrEx>
        <w:trPr>
          <w:trHeight w:hRule="exact" w:val="300"/>
        </w:trPr>
        <w:tc>
          <w:tcPr>
            <w:tcW w:w="754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135"/>
              <w:jc w:val="left"/>
            </w:pPr>
            <w:r>
              <w:rPr>
                <w:rFonts w:ascii="Times New Roman" w:eastAsia="Times New Roman" w:hAnsi="Times New Roman" w:cs="Times New Roman"/>
                <w:b w:val="0"/>
                <w:i w:val="0"/>
                <w:color w:val="000000"/>
                <w:sz w:val="20"/>
                <w:u w:val="none"/>
              </w:rPr>
              <w:t>Financing cash flows used in finance leases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2,225</w:t>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1,960</w:t>
              <w:tab/>
            </w:r>
          </w:p>
        </w:tc>
      </w:tr>
      <w:tr>
        <w:tblPrEx>
          <w:tblW w:w="10260" w:type="dxa"/>
          <w:tblInd w:w="0" w:type="dxa"/>
          <w:tblLayout w:type="fixed"/>
        </w:tblPrEx>
        <w:trPr>
          <w:trHeight w:hRule="exact" w:val="300"/>
        </w:trPr>
        <w:tc>
          <w:tcPr>
            <w:tcW w:w="754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75" w:after="30" w:line="240" w:lineRule="auto"/>
              <w:jc w:val="left"/>
            </w:pPr>
            <w:r>
              <w:rPr>
                <w:rFonts w:ascii="Times New Roman" w:eastAsia="Times New Roman" w:hAnsi="Times New Roman" w:cs="Times New Roman"/>
                <w:b w:val="0"/>
                <w:i w:val="0"/>
                <w:color w:val="000000"/>
                <w:sz w:val="20"/>
                <w:u w:val="none"/>
              </w:rPr>
              <w:t>Right-of-use assets obtained in exchange for new finance lease liabilities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2,313</w:t>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276</w:t>
              <w:tab/>
            </w:r>
          </w:p>
        </w:tc>
      </w:tr>
    </w:tbl>
    <w:p>
      <w:pPr>
        <w:keepNext w:val="0"/>
        <w:keepLines/>
        <w:pageBreakBefore w:val="0"/>
        <w:widowControl w:val="0"/>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80" w:after="120" w:line="288" w:lineRule="auto"/>
        <w:ind w:left="0" w:right="0" w:firstLine="0"/>
        <w:jc w:val="left"/>
        <w:outlineLvl w:val="9"/>
        <w:rPr>
          <w:rFonts w:ascii="Times New Roman" w:eastAsia="Times New Roman" w:hAnsi="Times New Roman" w:cs="Times New Roman"/>
          <w:b w:val="0"/>
          <w:i/>
          <w:color w:val="000000"/>
          <w:sz w:val="16"/>
          <w:u w:val="none"/>
        </w:rPr>
      </w:pPr>
      <w:r>
        <w:rPr>
          <w:rFonts w:ascii="Times New Roman" w:eastAsia="Times New Roman" w:hAnsi="Times New Roman" w:cs="Times New Roman"/>
          <w:b w:val="0"/>
          <w:i w:val="0"/>
          <w:color w:val="000000"/>
          <w:sz w:val="20"/>
          <w:u w:val="none"/>
        </w:rPr>
        <w:t xml:space="preserve">We recognized sublease income of </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1.9 million</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in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xml:space="preserve">, respectively, which is recognized in the </w:t>
      </w:r>
      <w:r>
        <w:rPr>
          <w:rFonts w:ascii="Times New Roman" w:eastAsia="Times New Roman" w:hAnsi="Times New Roman" w:cs="Times New Roman"/>
          <w:b w:val="0"/>
          <w:i w:val="0"/>
          <w:color w:val="000000"/>
          <w:sz w:val="20"/>
          <w:u w:val="none"/>
        </w:rPr>
        <w:t>Other operating income, net</w:t>
      </w:r>
      <w:r>
        <w:rPr>
          <w:rFonts w:ascii="Times New Roman" w:eastAsia="Times New Roman" w:hAnsi="Times New Roman" w:cs="Times New Roman"/>
          <w:b w:val="0"/>
          <w:i w:val="0"/>
          <w:color w:val="000000"/>
          <w:sz w:val="20"/>
          <w:u w:val="none"/>
        </w:rPr>
        <w:t xml:space="preserve"> line in the </w:t>
      </w:r>
      <w:r>
        <w:rPr>
          <w:rFonts w:ascii="Times New Roman" w:eastAsia="Times New Roman" w:hAnsi="Times New Roman" w:cs="Times New Roman"/>
          <w:b w:val="0"/>
          <w:i w:val="0"/>
          <w:color w:val="000000"/>
          <w:sz w:val="20"/>
          <w:u w:val="none"/>
        </w:rPr>
        <w:t>Condensed Consolidated Statements of Operations and Comprehensive Income (Loss)</w:t>
      </w:r>
      <w:r>
        <w:rPr>
          <w:rFonts w:ascii="Times New Roman" w:eastAsia="Times New Roman" w:hAnsi="Times New Roman" w:cs="Times New Roman"/>
          <w:b w:val="0"/>
          <w:i w:val="0"/>
          <w:color w:val="000000"/>
          <w:sz w:val="20"/>
          <w:u w:val="none"/>
        </w:rPr>
        <w:t>.</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following table presents finance </w:t>
      </w:r>
      <w:r>
        <w:rPr>
          <w:rFonts w:ascii="Times New Roman" w:eastAsia="Times New Roman" w:hAnsi="Times New Roman" w:cs="Times New Roman"/>
          <w:b w:val="0"/>
          <w:i w:val="0"/>
          <w:color w:val="000000"/>
          <w:sz w:val="20"/>
          <w:u w:val="none"/>
        </w:rPr>
        <w:t>lease-related</w:t>
      </w:r>
      <w:r>
        <w:rPr>
          <w:rFonts w:ascii="Times New Roman" w:eastAsia="Times New Roman" w:hAnsi="Times New Roman" w:cs="Times New Roman"/>
          <w:b w:val="0"/>
          <w:i w:val="0"/>
          <w:color w:val="000000"/>
          <w:sz w:val="20"/>
          <w:u w:val="none"/>
        </w:rPr>
        <w:t xml:space="preserve"> assets and liabilities recorded on the </w:t>
      </w:r>
      <w:r>
        <w:rPr>
          <w:rFonts w:ascii="Times New Roman" w:eastAsia="Times New Roman" w:hAnsi="Times New Roman" w:cs="Times New Roman"/>
          <w:b w:val="0"/>
          <w:i w:val="0"/>
          <w:color w:val="000000"/>
          <w:sz w:val="20"/>
          <w:u w:val="none"/>
        </w:rPr>
        <w:t>Condensed Consolidated Balance Sheets</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 xml:space="preserve"> </w:t>
      </w:r>
    </w:p>
    <w:tbl>
      <w:tblPr>
        <w:tblStyle w:val="TableNormal0"/>
        <w:tblW w:w="10260" w:type="dxa"/>
        <w:jc w:val="left"/>
        <w:tblInd w:w="0" w:type="dxa"/>
        <w:tblLayout w:type="fixed"/>
      </w:tblPr>
      <w:tblGrid>
        <w:gridCol w:w="3630"/>
        <w:gridCol w:w="75"/>
        <w:gridCol w:w="3495"/>
        <w:gridCol w:w="75"/>
        <w:gridCol w:w="1455"/>
        <w:gridCol w:w="75"/>
        <w:gridCol w:w="1455"/>
      </w:tblGrid>
      <w:tr>
        <w:tblPrEx>
          <w:tblW w:w="10260" w:type="dxa"/>
          <w:tblInd w:w="0" w:type="dxa"/>
          <w:tblLayout w:type="fixed"/>
        </w:tblPrEx>
        <w:trPr>
          <w:trHeight w:hRule="exact" w:val="255"/>
        </w:trPr>
        <w:tc>
          <w:tcPr>
            <w:tcW w:w="3630"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16"/>
              </w:rPr>
            </w:pP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16"/>
              </w:rPr>
            </w:pPr>
          </w:p>
        </w:tc>
        <w:tc>
          <w:tcPr>
            <w:tcW w:w="34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Financial Statement Line Item</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16"/>
              </w:rPr>
            </w:pPr>
          </w:p>
        </w:tc>
        <w:tc>
          <w:tcPr>
            <w:tcW w:w="145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June 30, 2026</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rFonts w:ascii="Times New Roman" w:eastAsia="Times New Roman" w:hAnsi="Times New Roman" w:cs="Times New Roman"/>
                <w:sz w:val="16"/>
              </w:rPr>
            </w:pPr>
          </w:p>
        </w:tc>
        <w:tc>
          <w:tcPr>
            <w:tcW w:w="145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December 31, 2025</w:t>
            </w:r>
          </w:p>
        </w:tc>
      </w:tr>
      <w:tr>
        <w:tblPrEx>
          <w:tblW w:w="10260" w:type="dxa"/>
          <w:tblInd w:w="0" w:type="dxa"/>
          <w:tblLayout w:type="fixed"/>
        </w:tblPrEx>
        <w:trPr>
          <w:trHeight w:hRule="exact" w:val="300"/>
        </w:trPr>
        <w:tc>
          <w:tcPr>
            <w:tcW w:w="363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Finance lease assets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3495" w:type="dxa"/>
            <w:tcBorders>
              <w:top w:val="single" w:sz="8" w:space="0" w:color="000000"/>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Property, plant and equipment, net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72"/>
                <w:tab w:val="left" w:pos="1387"/>
              </w:tabs>
              <w:spacing w:before="55" w:after="30" w:line="240" w:lineRule="auto"/>
              <w:jc w:val="right"/>
            </w:pPr>
            <w:r>
              <w:rPr>
                <w:rFonts w:ascii="Times New Roman" w:eastAsia="Times New Roman" w:hAnsi="Times New Roman" w:cs="Times New Roman"/>
                <w:b w:val="0"/>
                <w:i w:val="0"/>
                <w:color w:val="000000"/>
                <w:sz w:val="20"/>
                <w:u w:val="none"/>
              </w:rPr>
              <w:tab/>
              <w:t>19,087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72"/>
                <w:tab w:val="left" w:pos="1387"/>
              </w:tabs>
              <w:spacing w:before="55" w:after="30" w:line="240" w:lineRule="auto"/>
              <w:jc w:val="right"/>
            </w:pPr>
            <w:r>
              <w:rPr>
                <w:rFonts w:ascii="Times New Roman" w:eastAsia="Times New Roman" w:hAnsi="Times New Roman" w:cs="Times New Roman"/>
                <w:b w:val="0"/>
                <w:i w:val="0"/>
                <w:color w:val="000000"/>
                <w:sz w:val="20"/>
                <w:u w:val="none"/>
              </w:rPr>
              <w:tab/>
              <w:t>18,108</w:t>
              <w:tab/>
            </w:r>
          </w:p>
        </w:tc>
      </w:tr>
      <w:tr>
        <w:tblPrEx>
          <w:tblW w:w="10260" w:type="dxa"/>
          <w:tblInd w:w="0" w:type="dxa"/>
          <w:tblLayout w:type="fixed"/>
        </w:tblPrEx>
        <w:trPr>
          <w:trHeight w:hRule="exact" w:val="300"/>
        </w:trPr>
        <w:tc>
          <w:tcPr>
            <w:tcW w:w="363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349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exact" w:val="300"/>
        </w:trPr>
        <w:tc>
          <w:tcPr>
            <w:tcW w:w="363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Finance lease current 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349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Other current 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 w:val="left" w:pos="1387"/>
              </w:tabs>
              <w:spacing w:before="75" w:after="30" w:line="240" w:lineRule="auto"/>
              <w:jc w:val="right"/>
            </w:pPr>
            <w:r>
              <w:rPr>
                <w:rFonts w:ascii="Times New Roman" w:eastAsia="Times New Roman" w:hAnsi="Times New Roman" w:cs="Times New Roman"/>
                <w:b w:val="0"/>
                <w:i w:val="0"/>
                <w:color w:val="000000"/>
                <w:sz w:val="20"/>
                <w:u w:val="none"/>
              </w:rPr>
              <w:tab/>
              <w:t>4,428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 w:val="left" w:pos="1387"/>
              </w:tabs>
              <w:spacing w:before="75" w:after="30" w:line="240" w:lineRule="auto"/>
              <w:jc w:val="right"/>
            </w:pPr>
            <w:r>
              <w:rPr>
                <w:rFonts w:ascii="Times New Roman" w:eastAsia="Times New Roman" w:hAnsi="Times New Roman" w:cs="Times New Roman"/>
                <w:b w:val="0"/>
                <w:i w:val="0"/>
                <w:color w:val="000000"/>
                <w:sz w:val="20"/>
                <w:u w:val="none"/>
              </w:rPr>
              <w:tab/>
              <w:t>4,163</w:t>
              <w:tab/>
            </w:r>
          </w:p>
        </w:tc>
      </w:tr>
      <w:tr>
        <w:tblPrEx>
          <w:tblW w:w="10260" w:type="dxa"/>
          <w:tblInd w:w="0" w:type="dxa"/>
          <w:tblLayout w:type="fixed"/>
        </w:tblPrEx>
        <w:trPr>
          <w:trHeight w:hRule="exact" w:val="300"/>
        </w:trPr>
        <w:tc>
          <w:tcPr>
            <w:tcW w:w="363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Finance lease non-current liabilities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34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Other non-current liabilities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72"/>
                <w:tab w:val="left" w:pos="1387"/>
              </w:tabs>
              <w:spacing w:before="75" w:after="30" w:line="240" w:lineRule="auto"/>
              <w:jc w:val="right"/>
            </w:pPr>
            <w:r>
              <w:rPr>
                <w:rFonts w:ascii="Times New Roman" w:eastAsia="Times New Roman" w:hAnsi="Times New Roman" w:cs="Times New Roman"/>
                <w:b w:val="0"/>
                <w:i w:val="0"/>
                <w:color w:val="000000"/>
                <w:sz w:val="20"/>
                <w:u w:val="none"/>
              </w:rPr>
              <w:tab/>
              <w:t>3,985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45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72"/>
                <w:tab w:val="left" w:pos="1387"/>
              </w:tabs>
              <w:spacing w:before="75" w:after="30" w:line="240" w:lineRule="auto"/>
              <w:jc w:val="right"/>
            </w:pPr>
            <w:r>
              <w:rPr>
                <w:rFonts w:ascii="Times New Roman" w:eastAsia="Times New Roman" w:hAnsi="Times New Roman" w:cs="Times New Roman"/>
                <w:b w:val="0"/>
                <w:i w:val="0"/>
                <w:color w:val="000000"/>
                <w:sz w:val="20"/>
                <w:u w:val="none"/>
              </w:rPr>
              <w:tab/>
              <w:t>4,110</w:t>
              <w:tab/>
            </w:r>
          </w:p>
        </w:tc>
      </w:tr>
      <w:tr>
        <w:tblPrEx>
          <w:tblW w:w="10260" w:type="dxa"/>
          <w:tblInd w:w="0" w:type="dxa"/>
          <w:tblLayout w:type="fixed"/>
        </w:tblPrEx>
        <w:trPr>
          <w:trHeight w:hRule="exact" w:val="300"/>
        </w:trPr>
        <w:tc>
          <w:tcPr>
            <w:tcW w:w="3630"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55" w:after="30" w:line="240" w:lineRule="auto"/>
              <w:jc w:val="left"/>
            </w:pPr>
            <w:r>
              <w:rPr>
                <w:rFonts w:ascii="Times New Roman" w:eastAsia="Times New Roman" w:hAnsi="Times New Roman" w:cs="Times New Roman"/>
                <w:b w:val="0"/>
                <w:i w:val="0"/>
                <w:color w:val="000000"/>
                <w:sz w:val="20"/>
                <w:u w:val="none"/>
              </w:rPr>
              <w:t>Total finance lease 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349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5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72"/>
                <w:tab w:val="left" w:pos="1387"/>
              </w:tabs>
              <w:spacing w:before="55" w:after="30" w:line="240" w:lineRule="auto"/>
              <w:jc w:val="right"/>
            </w:pPr>
            <w:r>
              <w:rPr>
                <w:rFonts w:ascii="Times New Roman" w:eastAsia="Times New Roman" w:hAnsi="Times New Roman" w:cs="Times New Roman"/>
                <w:b w:val="0"/>
                <w:i w:val="0"/>
                <w:color w:val="000000"/>
                <w:sz w:val="20"/>
                <w:u w:val="none"/>
              </w:rPr>
              <w:t>$</w:t>
              <w:tab/>
              <w:t>8,413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45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72"/>
                <w:tab w:val="left" w:pos="1387"/>
              </w:tabs>
              <w:spacing w:before="55" w:after="30" w:line="240" w:lineRule="auto"/>
              <w:jc w:val="right"/>
            </w:pPr>
            <w:r>
              <w:rPr>
                <w:rFonts w:ascii="Times New Roman" w:eastAsia="Times New Roman" w:hAnsi="Times New Roman" w:cs="Times New Roman"/>
                <w:b w:val="0"/>
                <w:i w:val="0"/>
                <w:color w:val="000000"/>
                <w:sz w:val="20"/>
                <w:u w:val="none"/>
              </w:rPr>
              <w:t>$</w:t>
              <w:tab/>
              <w:t>8,273</w:t>
              <w:tab/>
            </w:r>
          </w:p>
        </w:tc>
      </w:tr>
    </w:tbl>
    <w:p>
      <w:pPr>
        <w:keepNext w:val="0"/>
        <w:keepLines w:val="0"/>
        <w:pageBreakBefore w:val="0"/>
        <w:widowControl/>
        <w:numPr>
          <w:ilvl w:val="0"/>
          <w:numId w:val="0"/>
        </w:numPr>
        <w:spacing w:before="0" w:after="180" w:line="288" w:lineRule="auto"/>
        <w:ind w:left="0" w:right="0" w:firstLine="0"/>
        <w:jc w:val="left"/>
        <w:outlineLvl w:val="9"/>
        <w:rPr>
          <w:rFonts w:ascii="Times New Roman" w:eastAsia="Times New Roman" w:hAnsi="Times New Roman" w:cs="Times New Roman"/>
          <w:b w:val="0"/>
          <w:i w:val="0"/>
          <w:color w:val="000000"/>
          <w:sz w:val="2"/>
          <w:highlight w:val="yellow"/>
          <w:u w:val="none"/>
        </w:rPr>
      </w:pPr>
    </w:p>
    <w:p>
      <w:pPr>
        <w:keepNext w:val="0"/>
        <w:keepLines w:val="0"/>
        <w:pageBreakBefore w:val="0"/>
        <w:widowControl/>
        <w:numPr>
          <w:ilvl w:val="0"/>
          <w:numId w:val="0"/>
        </w:numPr>
        <w:spacing w:before="0" w:after="180" w:line="288" w:lineRule="auto"/>
        <w:ind w:left="0" w:right="0" w:firstLine="0"/>
        <w:jc w:val="left"/>
        <w:outlineLvl w:val="9"/>
        <w:rPr>
          <w:rFonts w:ascii="Times New Roman" w:eastAsia="Times New Roman" w:hAnsi="Times New Roman" w:cs="Times New Roman"/>
          <w:b w:val="0"/>
          <w:i w:val="0"/>
          <w:color w:val="000000"/>
          <w:sz w:val="2"/>
          <w:highlight w:val="yellow"/>
          <w:u w:val="none"/>
        </w:rPr>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0" w:right="0" w:firstLine="0"/>
        <w:jc w:val="left"/>
        <w:outlineLvl w:val="3"/>
        <w:rPr>
          <w:rFonts w:ascii="Times New Roman" w:eastAsia="Times New Roman" w:hAnsi="Times New Roman" w:cs="Times New Roman"/>
          <w:b/>
          <w:i w:val="0"/>
          <w:color w:val="000000"/>
          <w:sz w:val="20"/>
          <w:u w:val="none"/>
        </w:rPr>
      </w:pPr>
      <w:bookmarkStart w:id="19" w:name="Section21"/>
      <w:bookmarkEnd w:id="19"/>
      <w:r>
        <w:rPr>
          <w:rFonts w:ascii="Times New Roman" w:eastAsia="Times New Roman" w:hAnsi="Times New Roman" w:cs="Times New Roman"/>
          <w:b/>
          <w:i w:val="0"/>
          <w:color w:val="000000"/>
          <w:sz w:val="20"/>
          <w:u w:val="none"/>
        </w:rPr>
        <w:t>Note 11</w:t>
      </w:r>
      <w:r>
        <w:rPr>
          <w:rFonts w:ascii="Times New Roman" w:eastAsia="Times New Roman" w:hAnsi="Times New Roman" w:cs="Times New Roman"/>
          <w:b/>
          <w:i w:val="0"/>
          <w:color w:val="000000"/>
          <w:sz w:val="20"/>
          <w:u w:val="none"/>
        </w:rPr>
        <w:t>.</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Commitments and Contingencies</w:t>
      </w:r>
    </w:p>
    <w:p>
      <w:pPr>
        <w:pStyle w:val="Subheading"/>
        <w:keepNext/>
        <w:keepLines w:val="0"/>
        <w:pageBreakBefore w:val="0"/>
        <w:widowControl/>
        <w:numPr>
          <w:ilvl w:val="0"/>
          <w:numId w:val="0"/>
        </w:numPr>
        <w:spacing w:before="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 xml:space="preserve">Brazil ICMS Tax Matter </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Prior to the acquisition of Autocam Corporation (“Autocam”) in 2014, Autocam’s Brazilian subsidiary (“Autocam Brazil”) received notification from the Brazilian tax authority regarding ICMS (state value added tax) tax credits claimed on intermediary materials (e.g., tooling and perishable items) used in the manufacturing process.  The Brazilian tax authority notification disallowed state ICMS tax credits claimed on intermediary materials based on the argument that these items are not intrinsically related to the manufacturing processes.  Autocam Brazil filed an administrative defense with the Brazilian tax authority arguing, among other matters, that it should qualify for an ICMS tax credit, contending that the intermediary materials are directly related to the manufacturing process.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We believe that we have substantial legal and factual defenses, and we </w:t>
      </w:r>
      <w:r>
        <w:rPr>
          <w:rFonts w:ascii="Times New Roman" w:eastAsia="Times New Roman" w:hAnsi="Times New Roman" w:cs="Times New Roman"/>
          <w:b w:val="0"/>
          <w:i w:val="0"/>
          <w:color w:val="000000"/>
          <w:sz w:val="20"/>
          <w:u w:val="none"/>
        </w:rPr>
        <w:t>continue</w:t>
      </w:r>
      <w:r>
        <w:rPr>
          <w:rFonts w:ascii="Times New Roman" w:eastAsia="Times New Roman" w:hAnsi="Times New Roman" w:cs="Times New Roman"/>
          <w:b w:val="0"/>
          <w:i w:val="0"/>
          <w:color w:val="000000"/>
          <w:sz w:val="20"/>
          <w:u w:val="none"/>
        </w:rPr>
        <w:t xml:space="preserve"> to defend our interests in this matter vigorously. The matter encompasses several lawsuits filed with the Brazilian courts requesting declaratory actions that no tax is due or seeking a stay of execution on the collection of the tax. We have obtained multiple favorable decisions and one unfavorable decision.  Although we anticipate a favorable resolution to the remaining matters, we can provide no assurances that we will be successful in achieving dismissal of all pending cases.  The U.S. dollar amount that would be owed in the event of an unfavorable decision is subject to interest, penalties, and currency impacts and therefore is dependent on the timing of the decision.  For the remaining open lawsuits, we currently believe the cumulative potential liability in the event of unfavorable decisions on all matters will be less than </w:t>
      </w:r>
      <w:r>
        <w:rPr>
          <w:rFonts w:ascii="Times New Roman" w:eastAsia="Times New Roman" w:hAnsi="Times New Roman" w:cs="Times New Roman"/>
          <w:b w:val="0"/>
          <w:i w:val="0"/>
          <w:color w:val="000000"/>
          <w:sz w:val="20"/>
          <w:u w:val="none"/>
        </w:rPr>
        <w:t>$2.0 million</w:t>
      </w:r>
      <w:r>
        <w:rPr>
          <w:rFonts w:ascii="Times New Roman" w:eastAsia="Times New Roman" w:hAnsi="Times New Roman" w:cs="Times New Roman"/>
          <w:b w:val="0"/>
          <w:i w:val="0"/>
          <w:color w:val="000000"/>
          <w:sz w:val="20"/>
          <w:u w:val="none"/>
        </w:rPr>
        <w:t>, inclusive of interest and penalties.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We are entitled to indemnification from the former shareholders of Autocam, subject to the limitations and procedures set forth in the agreement and plan of merger relating to the Autocam acquisition.  Accordingly, we do not expect such losses, if any, to have a material impact on our business, operations or financial results.</w:t>
      </w:r>
    </w:p>
    <w:p>
      <w:pPr>
        <w:pStyle w:val="Subheading"/>
        <w:keepNext/>
        <w:keepLines w:val="0"/>
        <w:pageBreakBefore w:val="0"/>
        <w:widowControl/>
        <w:numPr>
          <w:ilvl w:val="0"/>
          <w:numId w:val="0"/>
        </w:numPr>
        <w:spacing w:before="18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Other Legal Matters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All other legal proceedings are of an ordinary and routine nature and are incidental to our operations.  Management believes that such proceedings should not, individually or in the aggregate, have a material adverse effect on our business, financial condition, results of operations, or cash flows.  In making that determination, we analyze the facts and circumstances of each case at least quarterly in consultation with our attorneys and determine a range of reasonably possible outcomes.</w:t>
      </w:r>
    </w:p>
    <w:p>
      <w:pPr>
        <w:keepNext w:val="0"/>
        <w:keepLines w:val="0"/>
        <w:pageBreakBefore w:val="0"/>
        <w:widowControl/>
        <w:numPr>
          <w:ilvl w:val="0"/>
          <w:numId w:val="0"/>
        </w:numPr>
        <w:spacing w:before="0" w:after="120" w:line="288" w:lineRule="auto"/>
        <w:ind w:left="0" w:right="0" w:firstLine="0"/>
        <w:jc w:val="left"/>
        <w:outlineLvl w:val="9"/>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0" w:right="0" w:firstLine="0"/>
        <w:jc w:val="left"/>
        <w:outlineLvl w:val="3"/>
        <w:rPr>
          <w:rFonts w:ascii="Times New Roman" w:eastAsia="Times New Roman" w:hAnsi="Times New Roman" w:cs="Times New Roman"/>
          <w:b/>
          <w:i w:val="0"/>
          <w:color w:val="000000"/>
          <w:sz w:val="20"/>
          <w:u w:val="none"/>
        </w:rPr>
      </w:pPr>
      <w:bookmarkStart w:id="20" w:name="Section22"/>
      <w:bookmarkEnd w:id="20"/>
      <w:r>
        <w:rPr>
          <w:rFonts w:ascii="Times New Roman" w:eastAsia="Times New Roman" w:hAnsi="Times New Roman" w:cs="Times New Roman"/>
          <w:b/>
          <w:i w:val="0"/>
          <w:color w:val="000000"/>
          <w:sz w:val="20"/>
          <w:u w:val="none"/>
        </w:rPr>
        <w:t>Note 12</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Income Taxes</w:t>
      </w:r>
    </w:p>
    <w:p>
      <w:pPr>
        <w:keepNext w:val="0"/>
        <w:keepLines w:val="0"/>
        <w:pageBreakBefore w:val="0"/>
        <w:widowControl/>
        <w:numPr>
          <w:ilvl w:val="0"/>
          <w:numId w:val="0"/>
        </w:numPr>
        <w:tabs>
          <w:tab w:val="left" w:pos="0"/>
        </w:tabs>
        <w:spacing w:before="0" w:after="120" w:line="288" w:lineRule="auto"/>
        <w:ind w:left="0" w:right="0" w:firstLine="0"/>
        <w:jc w:val="left"/>
        <w:outlineLvl w:val="9"/>
        <w:rPr>
          <w:rFonts w:ascii="Times New Roman" w:eastAsia="Times New Roman" w:hAnsi="Times New Roman" w:cs="Times New Roman"/>
          <w:b w:val="0"/>
          <w:i w:val="0"/>
          <w:color w:val="000000"/>
          <w:sz w:val="32"/>
          <w:highlight w:val="yellow"/>
          <w:u w:val="none"/>
        </w:rPr>
      </w:pPr>
      <w:r>
        <w:rPr>
          <w:rFonts w:ascii="Times New Roman" w:eastAsia="Times New Roman" w:hAnsi="Times New Roman" w:cs="Times New Roman"/>
          <w:b w:val="0"/>
          <w:i w:val="0"/>
          <w:color w:val="000000"/>
          <w:sz w:val="20"/>
          <w:u w:val="none"/>
        </w:rPr>
        <w:t xml:space="preserve">Our effective tax rate was </w:t>
      </w:r>
      <w:r>
        <w:rPr>
          <w:rFonts w:ascii="Times New Roman" w:eastAsia="Times New Roman" w:hAnsi="Times New Roman" w:cs="Times New Roman"/>
          <w:b w:val="0"/>
          <w:i w:val="0"/>
          <w:color w:val="000000"/>
          <w:sz w:val="20"/>
          <w:u w:val="none"/>
        </w:rPr>
        <w:t>(4.2)%</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(7.1)%</w:t>
      </w:r>
      <w:r>
        <w:rPr>
          <w:rFonts w:ascii="Times New Roman" w:eastAsia="Times New Roman" w:hAnsi="Times New Roman" w:cs="Times New Roman"/>
          <w:b w:val="0"/>
          <w:i w:val="0"/>
          <w:color w:val="000000"/>
          <w:sz w:val="20"/>
          <w:u w:val="none"/>
        </w:rPr>
        <w:t xml:space="preserve"> for the </w:t>
      </w:r>
      <w:r>
        <w:rPr>
          <w:rFonts w:ascii="Times New Roman" w:eastAsia="Times New Roman" w:hAnsi="Times New Roman" w:cs="Times New Roman"/>
          <w:b w:val="0"/>
          <w:i w:val="0"/>
          <w:color w:val="000000"/>
          <w:sz w:val="20"/>
          <w:u w:val="none"/>
        </w:rPr>
        <w:t>three and 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respectively, and </w:t>
      </w:r>
      <w:r>
        <w:rPr>
          <w:rFonts w:ascii="Times New Roman" w:eastAsia="Times New Roman" w:hAnsi="Times New Roman" w:cs="Times New Roman"/>
          <w:b w:val="0"/>
          <w:i w:val="0"/>
          <w:color w:val="000000"/>
          <w:sz w:val="20"/>
          <w:u w:val="none"/>
        </w:rPr>
        <w:t>(8.1)%</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(12.0)%</w:t>
      </w:r>
      <w:r>
        <w:rPr>
          <w:rFonts w:ascii="Times New Roman" w:eastAsia="Times New Roman" w:hAnsi="Times New Roman" w:cs="Times New Roman"/>
          <w:b w:val="0"/>
          <w:i w:val="0"/>
          <w:color w:val="000000"/>
          <w:sz w:val="20"/>
          <w:u w:val="none"/>
        </w:rPr>
        <w:t xml:space="preserve"> for the </w:t>
      </w:r>
      <w:r>
        <w:rPr>
          <w:rFonts w:ascii="Times New Roman" w:eastAsia="Times New Roman" w:hAnsi="Times New Roman" w:cs="Times New Roman"/>
          <w:b w:val="0"/>
          <w:i w:val="0"/>
          <w:color w:val="000000"/>
          <w:sz w:val="20"/>
          <w:u w:val="none"/>
        </w:rPr>
        <w:t>three and 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color w:val="000000"/>
          <w:sz w:val="20"/>
          <w:u w:val="none"/>
        </w:rPr>
        <w:t xml:space="preserve">, respectively.  The effective tax rate for the </w:t>
      </w:r>
      <w:r>
        <w:rPr>
          <w:rFonts w:ascii="Times New Roman" w:eastAsia="Times New Roman" w:hAnsi="Times New Roman" w:cs="Times New Roman"/>
          <w:b w:val="0"/>
          <w:i w:val="0"/>
          <w:color w:val="000000"/>
          <w:sz w:val="20"/>
          <w:u w:val="none"/>
        </w:rPr>
        <w:t>three and 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differs from the U.S. federal statutory tax rate of </w:t>
      </w:r>
      <w:r>
        <w:rPr>
          <w:rFonts w:ascii="Times New Roman" w:eastAsia="Times New Roman" w:hAnsi="Times New Roman" w:cs="Times New Roman"/>
          <w:b w:val="0"/>
          <w:i w:val="0"/>
          <w:color w:val="000000"/>
          <w:sz w:val="20"/>
          <w:u w:val="none"/>
        </w:rPr>
        <w:t>21%</w:t>
      </w:r>
      <w:r>
        <w:rPr>
          <w:rFonts w:ascii="Times New Roman" w:eastAsia="Times New Roman" w:hAnsi="Times New Roman" w:cs="Times New Roman"/>
          <w:b w:val="0"/>
          <w:i w:val="0"/>
          <w:color w:val="000000"/>
          <w:sz w:val="20"/>
          <w:u w:val="none"/>
        </w:rPr>
        <w:t xml:space="preserve"> primarily due to the accrual of tax on non-permanently reinvested unremitted earnings of foreign subsidiaries and by limitation of the amount of tax benefit recorded for losses in certain jurisdictions where we believe it is more likely than not that a future tax benefit may not be realized</w:t>
      </w:r>
      <w:r>
        <w:rPr>
          <w:rFonts w:ascii="Times New Roman" w:eastAsia="Times New Roman" w:hAnsi="Times New Roman" w:cs="Times New Roman"/>
          <w:b w:val="0"/>
          <w:i w:val="0"/>
          <w:color w:val="000000"/>
          <w:sz w:val="20"/>
          <w:u w:val="none"/>
        </w:rPr>
        <w:t>.</w:t>
      </w:r>
    </w:p>
    <w:p>
      <w:pPr>
        <w:keepNext w:val="0"/>
        <w:keepLines w:val="0"/>
        <w:pageBreakBefore w:val="0"/>
        <w:widowControl/>
        <w:numPr>
          <w:ilvl w:val="0"/>
          <w:numId w:val="0"/>
        </w:numPr>
        <w:tabs>
          <w:tab w:val="left" w:pos="0"/>
        </w:tabs>
        <w:spacing w:before="0" w:after="120" w:line="288" w:lineRule="auto"/>
        <w:ind w:left="0" w:right="0" w:firstLine="0"/>
        <w:jc w:val="left"/>
        <w:outlineLvl w:val="9"/>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0" w:right="0" w:firstLine="0"/>
        <w:jc w:val="left"/>
        <w:outlineLvl w:val="3"/>
        <w:rPr>
          <w:rFonts w:ascii="Times New Roman" w:eastAsia="Times New Roman" w:hAnsi="Times New Roman" w:cs="Times New Roman"/>
          <w:b/>
          <w:i w:val="0"/>
          <w:color w:val="000000"/>
          <w:sz w:val="20"/>
          <w:u w:val="none"/>
        </w:rPr>
      </w:pPr>
      <w:bookmarkStart w:id="21" w:name="Section23"/>
      <w:bookmarkEnd w:id="21"/>
      <w:r>
        <w:rPr>
          <w:rFonts w:ascii="Times New Roman" w:eastAsia="Times New Roman" w:hAnsi="Times New Roman" w:cs="Times New Roman"/>
          <w:b/>
          <w:i w:val="0"/>
          <w:color w:val="000000"/>
          <w:sz w:val="20"/>
          <w:u w:val="none"/>
        </w:rPr>
        <w:t>Note 13</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Net Loss Per Common Share</w:t>
      </w:r>
      <w:r>
        <w:rPr>
          <w:rFonts w:ascii="Times New Roman" w:eastAsia="Times New Roman" w:hAnsi="Times New Roman" w:cs="Times New Roman"/>
          <w:b/>
          <w:i w:val="0"/>
          <w:color w:val="000000"/>
          <w:sz w:val="20"/>
          <w:u w:val="none"/>
        </w:rPr>
        <w:t xml:space="preserve"> </w:t>
      </w: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 summarizes the computation of basic and diluted net loss per common share.</w:t>
      </w:r>
    </w:p>
    <w:tbl>
      <w:tblPr>
        <w:tblStyle w:val="TableNormal0"/>
        <w:tblW w:w="10260" w:type="dxa"/>
        <w:jc w:val="left"/>
        <w:tblInd w:w="0" w:type="dxa"/>
        <w:tblLayout w:type="fixed"/>
      </w:tblPr>
      <w:tblGrid>
        <w:gridCol w:w="5235"/>
        <w:gridCol w:w="1200"/>
        <w:gridCol w:w="75"/>
        <w:gridCol w:w="1200"/>
        <w:gridCol w:w="75"/>
        <w:gridCol w:w="1200"/>
        <w:gridCol w:w="75"/>
        <w:gridCol w:w="1200"/>
      </w:tblGrid>
      <w:tr>
        <w:tblPrEx>
          <w:tblW w:w="10260" w:type="dxa"/>
          <w:tblInd w:w="0" w:type="dxa"/>
          <w:tblLayout w:type="fixed"/>
        </w:tblPrEx>
        <w:trPr>
          <w:trHeight w:hRule="exact" w:val="375"/>
        </w:trPr>
        <w:tc>
          <w:tcPr>
            <w:tcW w:w="523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16"/>
                <w:u w:val="none"/>
              </w:rPr>
              <w:t> </w:t>
            </w:r>
          </w:p>
        </w:tc>
        <w:tc>
          <w:tcPr>
            <w:tcW w:w="247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 xml:space="preserve">Three Months Ended </w:t>
            </w:r>
          </w:p>
          <w:p>
            <w:pPr>
              <w:spacing w:after="30" w:line="240" w:lineRule="auto"/>
              <w:jc w:val="center"/>
            </w:pPr>
            <w:r>
              <w:rPr>
                <w:rFonts w:ascii="Times New Roman" w:eastAsia="Times New Roman" w:hAnsi="Times New Roman" w:cs="Times New Roman"/>
                <w:b/>
                <w:i w:val="0"/>
                <w:color w:val="000000"/>
                <w:sz w:val="16"/>
                <w:u w:val="none"/>
              </w:rPr>
              <w:t>June 30,</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47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 xml:space="preserve">Six Months Ended </w:t>
            </w:r>
          </w:p>
          <w:p>
            <w:pPr>
              <w:spacing w:after="30" w:line="240" w:lineRule="auto"/>
              <w:jc w:val="center"/>
            </w:pPr>
            <w:r>
              <w:rPr>
                <w:rFonts w:ascii="Times New Roman" w:eastAsia="Times New Roman" w:hAnsi="Times New Roman" w:cs="Times New Roman"/>
                <w:b/>
                <w:i w:val="0"/>
                <w:color w:val="000000"/>
                <w:sz w:val="16"/>
                <w:u w:val="none"/>
              </w:rPr>
              <w:t>June 30,</w:t>
            </w:r>
          </w:p>
        </w:tc>
      </w:tr>
      <w:tr>
        <w:tblPrEx>
          <w:tblW w:w="10260" w:type="dxa"/>
          <w:tblInd w:w="0" w:type="dxa"/>
          <w:tblLayout w:type="fixed"/>
        </w:tblPrEx>
        <w:trPr>
          <w:trHeight w:hRule="auto" w:val="0"/>
        </w:trPr>
        <w:tc>
          <w:tcPr>
            <w:tcW w:w="5235" w:type="dxa"/>
            <w:tcBorders>
              <w:top w:val="nil"/>
              <w:left w:val="nil"/>
              <w:bottom w:val="nil"/>
              <w:right w:val="nil"/>
            </w:tcBorders>
            <w:tcMar>
              <w:top w:w="0" w:type="dxa"/>
              <w:left w:w="53" w:type="dxa"/>
              <w:bottom w:w="0" w:type="dxa"/>
              <w:right w:w="53" w:type="dxa"/>
            </w:tcMar>
            <w:vAlign w:val="bottom"/>
          </w:tcPr>
          <w:p>
            <w:pPr>
              <w:keepNext/>
              <w:pageBreakBefore w:val="0"/>
              <w:spacing w:before="45" w:after="20" w:line="240" w:lineRule="auto"/>
              <w:jc w:val="left"/>
            </w:pPr>
            <w:r>
              <w:rPr>
                <w:rFonts w:ascii="Times New Roman" w:eastAsia="Times New Roman" w:hAnsi="Times New Roman" w:cs="Times New Roman"/>
                <w:b w:val="0"/>
                <w:i w:val="0"/>
                <w:color w:val="000000"/>
                <w:sz w:val="16"/>
                <w:u w:val="none"/>
              </w:rPr>
              <w:t> </w:t>
            </w:r>
          </w:p>
        </w:tc>
        <w:tc>
          <w:tcPr>
            <w:tcW w:w="12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2025</w:t>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45" w:after="20" w:line="240" w:lineRule="auto"/>
              <w:ind w:left="360" w:hanging="360"/>
              <w:jc w:val="left"/>
            </w:pPr>
            <w:r>
              <w:rPr>
                <w:rFonts w:ascii="Times New Roman" w:eastAsia="Times New Roman" w:hAnsi="Times New Roman" w:cs="Times New Roman"/>
                <w:b w:val="0"/>
                <w:i w:val="0"/>
                <w:color w:val="000000"/>
                <w:sz w:val="20"/>
                <w:u w:val="none"/>
              </w:rPr>
              <w:t>Numerator:</w:t>
            </w:r>
          </w:p>
        </w:tc>
        <w:tc>
          <w:tcPr>
            <w:tcW w:w="12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Net loss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w:t>
              <w:tab/>
              <w:t>(2,267)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w:t>
              <w:tab/>
              <w:t>(8,102)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w:t>
              <w:tab/>
              <w:t>(9,095)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31"/>
              </w:tabs>
              <w:spacing w:before="65" w:after="20" w:line="240" w:lineRule="auto"/>
              <w:jc w:val="right"/>
            </w:pPr>
            <w:r>
              <w:rPr>
                <w:rFonts w:ascii="Times New Roman" w:eastAsia="Times New Roman" w:hAnsi="Times New Roman" w:cs="Times New Roman"/>
                <w:b w:val="0"/>
                <w:i w:val="0"/>
                <w:color w:val="000000"/>
                <w:sz w:val="20"/>
                <w:u w:val="none"/>
              </w:rPr>
              <w:t>$</w:t>
              <w:tab/>
              <w:t>(14,787)</w:t>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Adjustment for preferred stock cumulative dividends and deemed dividends</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(4,281)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(4,614)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(9,719)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(9,021)</w:t>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45" w:after="20" w:line="240" w:lineRule="auto"/>
              <w:ind w:left="360" w:hanging="360"/>
              <w:jc w:val="left"/>
            </w:pPr>
            <w:r>
              <w:rPr>
                <w:rFonts w:ascii="Times New Roman" w:eastAsia="Times New Roman" w:hAnsi="Times New Roman" w:cs="Times New Roman"/>
                <w:b w:val="0"/>
                <w:i w:val="0"/>
                <w:color w:val="000000"/>
                <w:sz w:val="20"/>
                <w:u w:val="none"/>
              </w:rPr>
              <w:t>Numerator for basic and diluted net loss per common share</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w:t>
              <w:tab/>
              <w:t>(6,548)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431"/>
              </w:tabs>
              <w:spacing w:before="45" w:after="20" w:line="240" w:lineRule="auto"/>
              <w:jc w:val="right"/>
            </w:pPr>
            <w:r>
              <w:rPr>
                <w:rFonts w:ascii="Times New Roman" w:eastAsia="Times New Roman" w:hAnsi="Times New Roman" w:cs="Times New Roman"/>
                <w:b w:val="0"/>
                <w:i w:val="0"/>
                <w:color w:val="000000"/>
                <w:sz w:val="20"/>
                <w:u w:val="none"/>
              </w:rPr>
              <w:t>$</w:t>
              <w:tab/>
              <w:t>(12,716)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431"/>
              </w:tabs>
              <w:spacing w:before="45" w:after="20" w:line="240" w:lineRule="auto"/>
              <w:jc w:val="right"/>
            </w:pPr>
            <w:r>
              <w:rPr>
                <w:rFonts w:ascii="Times New Roman" w:eastAsia="Times New Roman" w:hAnsi="Times New Roman" w:cs="Times New Roman"/>
                <w:b w:val="0"/>
                <w:i w:val="0"/>
                <w:color w:val="000000"/>
                <w:sz w:val="20"/>
                <w:u w:val="none"/>
              </w:rPr>
              <w:t>$</w:t>
              <w:tab/>
              <w:t>(18,814)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431"/>
              </w:tabs>
              <w:spacing w:before="45" w:after="20" w:line="240" w:lineRule="auto"/>
              <w:jc w:val="right"/>
            </w:pPr>
            <w:r>
              <w:rPr>
                <w:rFonts w:ascii="Times New Roman" w:eastAsia="Times New Roman" w:hAnsi="Times New Roman" w:cs="Times New Roman"/>
                <w:b w:val="0"/>
                <w:i w:val="0"/>
                <w:color w:val="000000"/>
                <w:sz w:val="20"/>
                <w:u w:val="none"/>
              </w:rPr>
              <w:t>$</w:t>
              <w:tab/>
              <w:t>(23,808)</w:t>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Denominator:</w:t>
            </w:r>
          </w:p>
        </w:tc>
        <w:tc>
          <w:tcPr>
            <w:tcW w:w="120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Weighted average common shares outstanding</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52,677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50,404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51,538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50,197</w:t>
              <w:tab/>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Adjustment for participating securities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(2,421)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(2,429)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(2,273)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(2,401)</w:t>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65" w:after="20" w:line="240" w:lineRule="auto"/>
              <w:ind w:left="540" w:hanging="360"/>
              <w:jc w:val="left"/>
            </w:pPr>
            <w:r>
              <w:rPr>
                <w:rFonts w:ascii="Times New Roman" w:eastAsia="Times New Roman" w:hAnsi="Times New Roman" w:cs="Times New Roman"/>
                <w:b w:val="0"/>
                <w:i w:val="0"/>
                <w:color w:val="000000"/>
                <w:sz w:val="20"/>
                <w:u w:val="none"/>
              </w:rPr>
              <w:t>Adjustment for warrants outstanding (1)</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1,458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65" w:after="20" w:line="240" w:lineRule="auto"/>
              <w:jc w:val="right"/>
            </w:pPr>
            <w:r>
              <w:rPr>
                <w:rFonts w:ascii="Times New Roman" w:eastAsia="Times New Roman" w:hAnsi="Times New Roman" w:cs="Times New Roman"/>
                <w:b w:val="0"/>
                <w:i w:val="0"/>
                <w:color w:val="000000"/>
                <w:sz w:val="20"/>
                <w:u w:val="none"/>
              </w:rPr>
              <w:tab/>
              <w:t>717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1,459</w:t>
              <w:tab/>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45" w:after="20" w:line="240" w:lineRule="auto"/>
              <w:ind w:left="360" w:hanging="360"/>
              <w:jc w:val="left"/>
            </w:pPr>
            <w:r>
              <w:rPr>
                <w:rFonts w:ascii="Times New Roman" w:eastAsia="Times New Roman" w:hAnsi="Times New Roman" w:cs="Times New Roman"/>
                <w:b w:val="0"/>
                <w:i w:val="0"/>
                <w:color w:val="000000"/>
                <w:sz w:val="20"/>
                <w:u w:val="none"/>
              </w:rPr>
              <w:t>Shares used to calculate basic and diluted net loss per common share</w:t>
            </w: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517"/>
                <w:tab w:val="left" w:pos="1132"/>
              </w:tabs>
              <w:spacing w:before="45" w:after="20" w:line="240" w:lineRule="auto"/>
              <w:jc w:val="right"/>
            </w:pPr>
            <w:r>
              <w:rPr>
                <w:rFonts w:ascii="Times New Roman" w:eastAsia="Times New Roman" w:hAnsi="Times New Roman" w:cs="Times New Roman"/>
                <w:b w:val="0"/>
                <w:i w:val="0"/>
                <w:color w:val="000000"/>
                <w:sz w:val="20"/>
                <w:u w:val="none"/>
              </w:rPr>
              <w:tab/>
              <w:t>50,256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517"/>
                <w:tab w:val="left" w:pos="1132"/>
              </w:tabs>
              <w:spacing w:before="45" w:after="20" w:line="240" w:lineRule="auto"/>
              <w:jc w:val="right"/>
            </w:pPr>
            <w:r>
              <w:rPr>
                <w:rFonts w:ascii="Times New Roman" w:eastAsia="Times New Roman" w:hAnsi="Times New Roman" w:cs="Times New Roman"/>
                <w:b w:val="0"/>
                <w:i w:val="0"/>
                <w:color w:val="000000"/>
                <w:sz w:val="20"/>
                <w:u w:val="none"/>
              </w:rPr>
              <w:tab/>
              <w:t>49,433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517"/>
                <w:tab w:val="left" w:pos="1132"/>
              </w:tabs>
              <w:spacing w:before="45" w:after="20" w:line="240" w:lineRule="auto"/>
              <w:jc w:val="right"/>
            </w:pPr>
            <w:r>
              <w:rPr>
                <w:rFonts w:ascii="Times New Roman" w:eastAsia="Times New Roman" w:hAnsi="Times New Roman" w:cs="Times New Roman"/>
                <w:b w:val="0"/>
                <w:i w:val="0"/>
                <w:color w:val="000000"/>
                <w:sz w:val="20"/>
                <w:u w:val="none"/>
              </w:rPr>
              <w:tab/>
              <w:t>49,982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keepNext/>
              <w:pageBreakBefore w:val="0"/>
              <w:tabs>
                <w:tab w:val="left" w:pos="517"/>
                <w:tab w:val="left" w:pos="1132"/>
              </w:tabs>
              <w:spacing w:before="45" w:after="20" w:line="240" w:lineRule="auto"/>
              <w:jc w:val="right"/>
            </w:pPr>
            <w:r>
              <w:rPr>
                <w:rFonts w:ascii="Times New Roman" w:eastAsia="Times New Roman" w:hAnsi="Times New Roman" w:cs="Times New Roman"/>
                <w:b w:val="0"/>
                <w:i w:val="0"/>
                <w:color w:val="000000"/>
                <w:sz w:val="20"/>
                <w:u w:val="none"/>
              </w:rPr>
              <w:tab/>
              <w:t>49,255</w:t>
              <w:tab/>
            </w: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double" w:sz="8" w:space="0" w:color="000000"/>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r>
      <w:tr>
        <w:tblPrEx>
          <w:tblW w:w="10260" w:type="dxa"/>
          <w:tblInd w:w="0" w:type="dxa"/>
          <w:tblLayout w:type="fixed"/>
        </w:tblPrEx>
        <w:trPr>
          <w:trHeight w:hRule="auto" w:val="0"/>
        </w:trPr>
        <w:tc>
          <w:tcPr>
            <w:tcW w:w="523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Basic and diluted net loss per common share</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31"/>
              </w:tabs>
              <w:spacing w:before="65" w:after="20" w:line="240" w:lineRule="auto"/>
              <w:jc w:val="right"/>
            </w:pPr>
            <w:r>
              <w:rPr>
                <w:rFonts w:ascii="Times New Roman" w:eastAsia="Times New Roman" w:hAnsi="Times New Roman" w:cs="Times New Roman"/>
                <w:b w:val="0"/>
                <w:i w:val="0"/>
                <w:color w:val="000000"/>
                <w:sz w:val="20"/>
                <w:u w:val="none"/>
              </w:rPr>
              <w:t>$</w:t>
              <w:tab/>
              <w:t>(0.13)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rPr>
                <w:sz w:val="20"/>
              </w:rPr>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31"/>
              </w:tabs>
              <w:spacing w:before="65" w:after="20" w:line="240" w:lineRule="auto"/>
              <w:jc w:val="right"/>
            </w:pPr>
            <w:r>
              <w:rPr>
                <w:rFonts w:ascii="Times New Roman" w:eastAsia="Times New Roman" w:hAnsi="Times New Roman" w:cs="Times New Roman"/>
                <w:b w:val="0"/>
                <w:i w:val="0"/>
                <w:color w:val="000000"/>
                <w:sz w:val="20"/>
                <w:u w:val="none"/>
              </w:rPr>
              <w:t>$</w:t>
              <w:tab/>
              <w:t>(0.26)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31"/>
              </w:tabs>
              <w:spacing w:before="65" w:after="20" w:line="240" w:lineRule="auto"/>
              <w:jc w:val="right"/>
            </w:pPr>
            <w:r>
              <w:rPr>
                <w:rFonts w:ascii="Times New Roman" w:eastAsia="Times New Roman" w:hAnsi="Times New Roman" w:cs="Times New Roman"/>
                <w:b w:val="0"/>
                <w:i w:val="0"/>
                <w:color w:val="000000"/>
                <w:sz w:val="20"/>
                <w:u w:val="none"/>
              </w:rPr>
              <w:t>$</w:t>
              <w:tab/>
              <w:t>(0.38)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31"/>
              </w:tabs>
              <w:spacing w:before="65" w:after="20" w:line="240" w:lineRule="auto"/>
              <w:jc w:val="right"/>
            </w:pPr>
            <w:r>
              <w:rPr>
                <w:rFonts w:ascii="Times New Roman" w:eastAsia="Times New Roman" w:hAnsi="Times New Roman" w:cs="Times New Roman"/>
                <w:b w:val="0"/>
                <w:i w:val="0"/>
                <w:color w:val="000000"/>
                <w:sz w:val="20"/>
                <w:u w:val="none"/>
              </w:rPr>
              <w:t>$</w:t>
              <w:tab/>
              <w:t>(0.48)</w:t>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16"/>
          <w:u w:val="none"/>
        </w:rPr>
      </w:pPr>
      <w:r>
        <w:rPr>
          <w:rFonts w:ascii="Times New Roman" w:eastAsia="Times New Roman" w:hAnsi="Times New Roman" w:cs="Times New Roman"/>
          <w:b w:val="0"/>
          <w:i w:val="0"/>
          <w:color w:val="000000"/>
          <w:sz w:val="16"/>
          <w:u w:val="none"/>
        </w:rPr>
        <w:t>_______________________________</w:t>
      </w:r>
    </w:p>
    <w:p>
      <w:pPr>
        <w:keepNext w:val="0"/>
        <w:keepLines w:val="0"/>
        <w:pageBreakBefore w:val="0"/>
        <w:widowControl/>
        <w:numPr>
          <w:ilvl w:val="0"/>
          <w:numId w:val="0"/>
        </w:numPr>
        <w:spacing w:before="60" w:after="240" w:line="288" w:lineRule="auto"/>
        <w:ind w:left="108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(1) </w:t>
      </w:r>
      <w:r>
        <w:rPr>
          <w:rFonts w:ascii="Times New Roman" w:eastAsia="Times New Roman" w:hAnsi="Times New Roman" w:cs="Times New Roman"/>
          <w:b w:val="0"/>
          <w:i w:val="0"/>
          <w:color w:val="000000"/>
          <w:sz w:val="20"/>
          <w:u w:val="none"/>
        </w:rPr>
        <w:tab/>
      </w:r>
      <w:r>
        <w:rPr>
          <w:rFonts w:ascii="Times New Roman" w:eastAsia="Times New Roman" w:hAnsi="Times New Roman" w:cs="Times New Roman"/>
          <w:b w:val="0"/>
          <w:i w:val="0"/>
          <w:color w:val="000000"/>
          <w:sz w:val="20"/>
          <w:u w:val="none"/>
        </w:rPr>
        <w:t>Outstanding warrants that are exercisable at an exercise price of $</w:t>
      </w:r>
      <w:r>
        <w:rPr>
          <w:rFonts w:ascii="Times New Roman" w:eastAsia="Times New Roman" w:hAnsi="Times New Roman" w:cs="Times New Roman"/>
          <w:b w:val="0"/>
          <w:i w:val="0"/>
          <w:color w:val="000000"/>
          <w:sz w:val="20"/>
          <w:u w:val="none"/>
        </w:rPr>
        <w:t>0.01</w:t>
      </w:r>
      <w:r>
        <w:rPr>
          <w:rFonts w:ascii="Times New Roman" w:eastAsia="Times New Roman" w:hAnsi="Times New Roman" w:cs="Times New Roman"/>
          <w:b w:val="0"/>
          <w:i w:val="0"/>
          <w:color w:val="000000"/>
          <w:sz w:val="20"/>
          <w:u w:val="none"/>
        </w:rPr>
        <w:t xml:space="preserve"> per share are included in shares outstanding for calculation of basic earnings per share (see </w:t>
      </w:r>
      <w:r>
        <w:rPr>
          <w:rFonts w:ascii="Times New Roman" w:eastAsia="Times New Roman" w:hAnsi="Times New Roman" w:cs="Times New Roman"/>
          <w:b w:val="0"/>
          <w:i w:val="0"/>
          <w:color w:val="000000"/>
          <w:sz w:val="20"/>
          <w:u w:val="none"/>
        </w:rPr>
        <w:t>Note 16</w:t>
      </w:r>
      <w:r>
        <w:rPr>
          <w:rFonts w:ascii="Times New Roman" w:eastAsia="Times New Roman" w:hAnsi="Times New Roman" w:cs="Times New Roman"/>
          <w:b w:val="0"/>
          <w:i w:val="0"/>
          <w:color w:val="000000"/>
          <w:sz w:val="20"/>
          <w:u w:val="none"/>
        </w:rPr>
        <w:t>).</w:t>
      </w: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On July 2, 2026, </w:t>
      </w:r>
      <w:r>
        <w:rPr>
          <w:rFonts w:ascii="Times New Roman" w:eastAsia="Times New Roman" w:hAnsi="Times New Roman" w:cs="Times New Roman"/>
          <w:b w:val="0"/>
          <w:i w:val="0"/>
          <w:color w:val="000000"/>
          <w:sz w:val="20"/>
          <w:u w:val="none"/>
        </w:rPr>
        <w:t xml:space="preserve">the Company </w:t>
      </w:r>
      <w:r>
        <w:rPr>
          <w:rFonts w:ascii="Times New Roman" w:eastAsia="Times New Roman" w:hAnsi="Times New Roman" w:cs="Times New Roman"/>
          <w:b w:val="0"/>
          <w:i w:val="0"/>
          <w:color w:val="000000"/>
          <w:sz w:val="20"/>
          <w:u w:val="none"/>
        </w:rPr>
        <w:t>closed</w:t>
      </w:r>
      <w:r>
        <w:rPr>
          <w:rFonts w:ascii="Times New Roman" w:eastAsia="Times New Roman" w:hAnsi="Times New Roman" w:cs="Times New Roman"/>
          <w:b w:val="0"/>
          <w:i w:val="0"/>
          <w:color w:val="000000"/>
          <w:sz w:val="20"/>
          <w:u w:val="none"/>
        </w:rPr>
        <w:t xml:space="preserve"> the </w:t>
      </w:r>
      <w:r>
        <w:rPr>
          <w:rFonts w:ascii="Times New Roman" w:eastAsia="Times New Roman" w:hAnsi="Times New Roman" w:cs="Times New Roman"/>
          <w:b w:val="0"/>
          <w:i w:val="0"/>
          <w:color w:val="000000"/>
          <w:sz w:val="20"/>
          <w:u w:val="none"/>
        </w:rPr>
        <w:t>Private Placement (as defined in Note 18 - Subsequent Events -</w:t>
      </w:r>
      <w:r>
        <w:rPr>
          <w:rFonts w:ascii="Times New Roman" w:eastAsia="Times New Roman" w:hAnsi="Times New Roman" w:cs="Times New Roman"/>
          <w:b w:val="0"/>
          <w:i w:val="0"/>
          <w:color w:val="000000"/>
          <w:sz w:val="20"/>
          <w:u w:val="none"/>
        </w:rPr>
        <w:t xml:space="preserve"> Private Placement), which result</w:t>
      </w:r>
      <w:r>
        <w:rPr>
          <w:rFonts w:ascii="Times New Roman" w:eastAsia="Times New Roman" w:hAnsi="Times New Roman" w:cs="Times New Roman"/>
          <w:b w:val="0"/>
          <w:i w:val="0"/>
          <w:color w:val="000000"/>
          <w:sz w:val="20"/>
          <w:u w:val="none"/>
        </w:rPr>
        <w:t>ed</w:t>
      </w:r>
      <w:r>
        <w:rPr>
          <w:rFonts w:ascii="Times New Roman" w:eastAsia="Times New Roman" w:hAnsi="Times New Roman" w:cs="Times New Roman"/>
          <w:b w:val="0"/>
          <w:i w:val="0"/>
          <w:color w:val="000000"/>
          <w:sz w:val="20"/>
          <w:u w:val="none"/>
        </w:rPr>
        <w:t xml:space="preserve"> in the Company issuing</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24,509,804</w:t>
      </w:r>
      <w:r>
        <w:rPr>
          <w:rFonts w:ascii="Times New Roman" w:eastAsia="Times New Roman" w:hAnsi="Times New Roman" w:cs="Times New Roman"/>
          <w:b w:val="0"/>
          <w:i w:val="0"/>
          <w:color w:val="000000"/>
          <w:sz w:val="20"/>
          <w:u w:val="none"/>
        </w:rPr>
        <w:t xml:space="preserve"> shares of the Company</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s common stoc</w:t>
      </w:r>
      <w:r>
        <w:rPr>
          <w:rFonts w:ascii="Times New Roman" w:eastAsia="Times New Roman" w:hAnsi="Times New Roman" w:cs="Times New Roman"/>
          <w:b w:val="0"/>
          <w:i w:val="0"/>
          <w:color w:val="000000"/>
          <w:sz w:val="20"/>
          <w:u w:val="none"/>
        </w:rPr>
        <w:t>k</w:t>
      </w:r>
      <w:r>
        <w:rPr>
          <w:rFonts w:ascii="Times New Roman" w:eastAsia="Times New Roman" w:hAnsi="Times New Roman" w:cs="Times New Roman"/>
          <w:b w:val="0"/>
          <w:i w:val="0"/>
          <w:color w:val="000000"/>
          <w:sz w:val="20"/>
          <w:u w:val="none"/>
        </w:rPr>
        <w:t>.</w:t>
      </w: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On August 5, 2026, the Company completed the Exchange (as defined in Note 18 – Subsequent Events – Series D Perpetual Preferred Stock Redemption and Exchange), which resulted in the Company issuing 5,500,000 shares of newly issued common stock in exchange for</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9,850</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shares of Series D Preferred Stock.</w:t>
      </w: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following table presents securities that could be potentially dilutive in the future that were excluded from the calculation of diluted net loss per common share because they had an anti-dilutive effect.  </w:t>
      </w:r>
    </w:p>
    <w:tbl>
      <w:tblPr>
        <w:tblStyle w:val="TableNormal0"/>
        <w:tblW w:w="10260" w:type="dxa"/>
        <w:jc w:val="left"/>
        <w:tblInd w:w="0" w:type="dxa"/>
        <w:tblLayout w:type="fixed"/>
      </w:tblPr>
      <w:tblGrid>
        <w:gridCol w:w="5205"/>
        <w:gridCol w:w="1200"/>
        <w:gridCol w:w="75"/>
        <w:gridCol w:w="1200"/>
        <w:gridCol w:w="105"/>
        <w:gridCol w:w="1200"/>
        <w:gridCol w:w="75"/>
        <w:gridCol w:w="1200"/>
      </w:tblGrid>
      <w:tr>
        <w:tblPrEx>
          <w:tblW w:w="10260" w:type="dxa"/>
          <w:tblInd w:w="0" w:type="dxa"/>
          <w:tblLayout w:type="fixed"/>
        </w:tblPrEx>
        <w:trPr>
          <w:trHeight w:hRule="auto" w:val="0"/>
        </w:trPr>
        <w:tc>
          <w:tcPr>
            <w:tcW w:w="52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47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line="240" w:lineRule="auto"/>
              <w:jc w:val="center"/>
            </w:pPr>
            <w:r>
              <w:rPr>
                <w:rFonts w:ascii="Times New Roman" w:eastAsia="Times New Roman" w:hAnsi="Times New Roman" w:cs="Times New Roman"/>
                <w:b/>
                <w:i w:val="0"/>
                <w:color w:val="000000"/>
                <w:sz w:val="16"/>
                <w:u w:val="none"/>
              </w:rPr>
              <w:t xml:space="preserve">Three Months Ended </w:t>
            </w:r>
          </w:p>
          <w:p>
            <w:pPr>
              <w:spacing w:after="20" w:line="240" w:lineRule="auto"/>
              <w:jc w:val="center"/>
            </w:pPr>
            <w:r>
              <w:rPr>
                <w:rFonts w:ascii="Times New Roman" w:eastAsia="Times New Roman" w:hAnsi="Times New Roman" w:cs="Times New Roman"/>
                <w:b/>
                <w:i w:val="0"/>
                <w:color w:val="000000"/>
                <w:sz w:val="16"/>
                <w:u w:val="none"/>
              </w:rPr>
              <w:t>June 30,</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247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line="240" w:lineRule="auto"/>
              <w:jc w:val="center"/>
            </w:pPr>
            <w:r>
              <w:rPr>
                <w:rFonts w:ascii="Times New Roman" w:eastAsia="Times New Roman" w:hAnsi="Times New Roman" w:cs="Times New Roman"/>
                <w:b/>
                <w:i w:val="0"/>
                <w:color w:val="000000"/>
                <w:sz w:val="16"/>
                <w:u w:val="none"/>
              </w:rPr>
              <w:t xml:space="preserve">Six Months Ended </w:t>
            </w:r>
          </w:p>
          <w:p>
            <w:pPr>
              <w:spacing w:after="20" w:line="240" w:lineRule="auto"/>
              <w:jc w:val="center"/>
            </w:pPr>
            <w:r>
              <w:rPr>
                <w:rFonts w:ascii="Times New Roman" w:eastAsia="Times New Roman" w:hAnsi="Times New Roman" w:cs="Times New Roman"/>
                <w:b/>
                <w:i w:val="0"/>
                <w:color w:val="000000"/>
                <w:sz w:val="16"/>
                <w:u w:val="none"/>
              </w:rPr>
              <w:t>June 30,</w:t>
            </w:r>
          </w:p>
        </w:tc>
      </w:tr>
      <w:tr>
        <w:tblPrEx>
          <w:tblW w:w="10260" w:type="dxa"/>
          <w:tblInd w:w="0" w:type="dxa"/>
          <w:tblLayout w:type="fixed"/>
        </w:tblPrEx>
        <w:trPr>
          <w:trHeight w:hRule="auto" w:val="0"/>
        </w:trPr>
        <w:tc>
          <w:tcPr>
            <w:tcW w:w="52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tcMar>
              <w:top w:w="0" w:type="dxa"/>
              <w:left w:w="53" w:type="dxa"/>
              <w:bottom w:w="0" w:type="dxa"/>
              <w:right w:w="15"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single" w:sz="8" w:space="0" w:color="000000"/>
              <w:right w:val="nil"/>
            </w:tcBorders>
            <w:tcMar>
              <w:top w:w="0" w:type="dxa"/>
              <w:left w:w="53" w:type="dxa"/>
              <w:bottom w:w="0" w:type="dxa"/>
              <w:right w:w="15"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2025</w:t>
            </w:r>
          </w:p>
        </w:tc>
        <w:tc>
          <w:tcPr>
            <w:tcW w:w="10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tcMar>
              <w:top w:w="0" w:type="dxa"/>
              <w:left w:w="53" w:type="dxa"/>
              <w:bottom w:w="0" w:type="dxa"/>
              <w:right w:w="15"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single" w:sz="8" w:space="0" w:color="000000"/>
              <w:right w:val="nil"/>
            </w:tcBorders>
            <w:tcMar>
              <w:top w:w="0" w:type="dxa"/>
              <w:left w:w="53" w:type="dxa"/>
              <w:bottom w:w="0" w:type="dxa"/>
              <w:right w:w="15"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2025</w:t>
            </w:r>
          </w:p>
        </w:tc>
      </w:tr>
      <w:tr>
        <w:tblPrEx>
          <w:tblW w:w="10260" w:type="dxa"/>
          <w:tblInd w:w="0" w:type="dxa"/>
          <w:tblLayout w:type="fixed"/>
        </w:tblPrEx>
        <w:trPr>
          <w:trHeight w:hRule="auto" w:val="0"/>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45" w:after="20" w:line="240" w:lineRule="auto"/>
              <w:jc w:val="left"/>
            </w:pPr>
            <w:r>
              <w:rPr>
                <w:rFonts w:ascii="Times New Roman" w:eastAsia="Times New Roman" w:hAnsi="Times New Roman" w:cs="Times New Roman"/>
                <w:b w:val="0"/>
                <w:i w:val="0"/>
                <w:color w:val="000000"/>
                <w:sz w:val="20"/>
                <w:u w:val="none"/>
              </w:rPr>
              <w:t>Stock options</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67"/>
                <w:tab w:val="left" w:pos="1132"/>
              </w:tabs>
              <w:spacing w:before="45" w:after="20" w:line="240" w:lineRule="auto"/>
              <w:jc w:val="right"/>
            </w:pPr>
            <w:r>
              <w:rPr>
                <w:rFonts w:ascii="Times New Roman" w:eastAsia="Times New Roman" w:hAnsi="Times New Roman" w:cs="Times New Roman"/>
                <w:b w:val="0"/>
                <w:i w:val="0"/>
                <w:color w:val="000000"/>
                <w:sz w:val="20"/>
                <w:u w:val="none"/>
              </w:rPr>
              <w:tab/>
              <w:t>62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45" w:after="20" w:line="240" w:lineRule="auto"/>
              <w:jc w:val="right"/>
            </w:pPr>
            <w:r>
              <w:rPr>
                <w:rFonts w:ascii="Times New Roman" w:eastAsia="Times New Roman" w:hAnsi="Times New Roman" w:cs="Times New Roman"/>
                <w:b w:val="0"/>
                <w:i w:val="0"/>
                <w:color w:val="000000"/>
                <w:sz w:val="20"/>
                <w:u w:val="none"/>
              </w:rPr>
              <w:tab/>
              <w:t>134</w:t>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67"/>
                <w:tab w:val="left" w:pos="1132"/>
              </w:tabs>
              <w:spacing w:before="45" w:after="20" w:line="240" w:lineRule="auto"/>
              <w:jc w:val="right"/>
            </w:pPr>
            <w:r>
              <w:rPr>
                <w:rFonts w:ascii="Times New Roman" w:eastAsia="Times New Roman" w:hAnsi="Times New Roman" w:cs="Times New Roman"/>
                <w:b w:val="0"/>
                <w:i w:val="0"/>
                <w:color w:val="000000"/>
                <w:sz w:val="20"/>
                <w:u w:val="none"/>
              </w:rPr>
              <w:tab/>
              <w:t>68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45" w:after="20" w:line="240" w:lineRule="auto"/>
              <w:jc w:val="right"/>
            </w:pPr>
            <w:r>
              <w:rPr>
                <w:rFonts w:ascii="Times New Roman" w:eastAsia="Times New Roman" w:hAnsi="Times New Roman" w:cs="Times New Roman"/>
                <w:b w:val="0"/>
                <w:i w:val="0"/>
                <w:color w:val="000000"/>
                <w:sz w:val="20"/>
                <w:u w:val="none"/>
              </w:rPr>
              <w:tab/>
              <w:t>151</w:t>
              <w:tab/>
            </w:r>
          </w:p>
        </w:tc>
      </w:tr>
      <w:tr>
        <w:tblPrEx>
          <w:tblW w:w="10260" w:type="dxa"/>
          <w:tblInd w:w="0" w:type="dxa"/>
          <w:tblLayout w:type="fixed"/>
        </w:tblPrEx>
        <w:trPr>
          <w:trHeight w:hRule="auto" w:val="0"/>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Warrants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1,215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1,500</w:t>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1,292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1,500</w:t>
              <w:tab/>
            </w:r>
          </w:p>
        </w:tc>
      </w:tr>
      <w:tr>
        <w:tblPrEx>
          <w:tblW w:w="10260" w:type="dxa"/>
          <w:tblInd w:w="0" w:type="dxa"/>
          <w:tblLayout w:type="fixed"/>
        </w:tblPrEx>
        <w:trPr>
          <w:trHeight w:hRule="auto" w:val="0"/>
        </w:trPr>
        <w:tc>
          <w:tcPr>
            <w:tcW w:w="520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Performance share units</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65" w:after="20" w:line="240" w:lineRule="auto"/>
              <w:jc w:val="right"/>
            </w:pPr>
            <w:r>
              <w:rPr>
                <w:rFonts w:ascii="Times New Roman" w:eastAsia="Times New Roman" w:hAnsi="Times New Roman" w:cs="Times New Roman"/>
                <w:b w:val="0"/>
                <w:i w:val="0"/>
                <w:color w:val="000000"/>
                <w:sz w:val="20"/>
                <w:u w:val="none"/>
              </w:rPr>
              <w:tab/>
              <w:t>820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65" w:after="20" w:line="240" w:lineRule="auto"/>
              <w:jc w:val="right"/>
            </w:pPr>
            <w:r>
              <w:rPr>
                <w:rFonts w:ascii="Times New Roman" w:eastAsia="Times New Roman" w:hAnsi="Times New Roman" w:cs="Times New Roman"/>
                <w:b w:val="0"/>
                <w:i w:val="0"/>
                <w:color w:val="000000"/>
                <w:sz w:val="20"/>
                <w:u w:val="none"/>
              </w:rPr>
              <w:tab/>
              <w:t>820</w:t>
              <w:tab/>
            </w:r>
          </w:p>
        </w:tc>
        <w:tc>
          <w:tcPr>
            <w:tcW w:w="10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65" w:after="20" w:line="240" w:lineRule="auto"/>
              <w:jc w:val="right"/>
            </w:pPr>
            <w:r>
              <w:rPr>
                <w:rFonts w:ascii="Times New Roman" w:eastAsia="Times New Roman" w:hAnsi="Times New Roman" w:cs="Times New Roman"/>
                <w:b w:val="0"/>
                <w:i w:val="0"/>
                <w:color w:val="000000"/>
                <w:sz w:val="20"/>
                <w:u w:val="none"/>
              </w:rPr>
              <w:tab/>
              <w:t>820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65" w:after="20" w:line="240" w:lineRule="auto"/>
              <w:jc w:val="right"/>
            </w:pPr>
            <w:r>
              <w:rPr>
                <w:rFonts w:ascii="Times New Roman" w:eastAsia="Times New Roman" w:hAnsi="Times New Roman" w:cs="Times New Roman"/>
                <w:b w:val="0"/>
                <w:i w:val="0"/>
                <w:color w:val="000000"/>
                <w:sz w:val="20"/>
                <w:u w:val="none"/>
              </w:rPr>
              <w:tab/>
              <w:t>820</w:t>
              <w:tab/>
            </w:r>
          </w:p>
        </w:tc>
      </w:tr>
      <w:tr>
        <w:tblPrEx>
          <w:tblW w:w="10260" w:type="dxa"/>
          <w:tblInd w:w="0" w:type="dxa"/>
          <w:tblLayout w:type="fixed"/>
        </w:tblPrEx>
        <w:trPr>
          <w:trHeight w:hRule="auto" w:val="0"/>
        </w:trPr>
        <w:tc>
          <w:tcPr>
            <w:tcW w:w="520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45" w:after="20" w:line="240" w:lineRule="auto"/>
              <w:jc w:val="left"/>
            </w:pPr>
            <w:r>
              <w:rPr>
                <w:rFonts w:ascii="Times New Roman" w:eastAsia="Times New Roman" w:hAnsi="Times New Roman" w:cs="Times New Roman"/>
                <w:b w:val="0"/>
                <w:i w:val="0"/>
                <w:color w:val="000000"/>
                <w:sz w:val="20"/>
                <w:u w:val="none"/>
              </w:rPr>
              <w:t>Total antidilutive securities</w:t>
            </w: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617"/>
                <w:tab w:val="left" w:pos="1132"/>
              </w:tabs>
              <w:spacing w:before="45" w:after="20" w:line="240" w:lineRule="auto"/>
              <w:jc w:val="right"/>
            </w:pPr>
            <w:r>
              <w:rPr>
                <w:rFonts w:ascii="Times New Roman" w:eastAsia="Times New Roman" w:hAnsi="Times New Roman" w:cs="Times New Roman"/>
                <w:b w:val="0"/>
                <w:i w:val="0"/>
                <w:color w:val="000000"/>
                <w:sz w:val="20"/>
                <w:u w:val="none"/>
              </w:rPr>
              <w:tab/>
              <w:t>2,097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617"/>
                <w:tab w:val="left" w:pos="1132"/>
              </w:tabs>
              <w:spacing w:before="45" w:after="20" w:line="240" w:lineRule="auto"/>
              <w:jc w:val="right"/>
            </w:pPr>
            <w:r>
              <w:rPr>
                <w:rFonts w:ascii="Times New Roman" w:eastAsia="Times New Roman" w:hAnsi="Times New Roman" w:cs="Times New Roman"/>
                <w:b w:val="0"/>
                <w:i w:val="0"/>
                <w:color w:val="000000"/>
                <w:sz w:val="20"/>
                <w:u w:val="none"/>
              </w:rPr>
              <w:tab/>
              <w:t>2,454</w:t>
              <w:tab/>
            </w:r>
          </w:p>
        </w:tc>
        <w:tc>
          <w:tcPr>
            <w:tcW w:w="10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617"/>
                <w:tab w:val="left" w:pos="1132"/>
              </w:tabs>
              <w:spacing w:before="45" w:after="20" w:line="240" w:lineRule="auto"/>
              <w:jc w:val="right"/>
            </w:pPr>
            <w:r>
              <w:rPr>
                <w:rFonts w:ascii="Times New Roman" w:eastAsia="Times New Roman" w:hAnsi="Times New Roman" w:cs="Times New Roman"/>
                <w:b w:val="0"/>
                <w:i w:val="0"/>
                <w:color w:val="000000"/>
                <w:sz w:val="20"/>
                <w:u w:val="none"/>
              </w:rPr>
              <w:tab/>
              <w:t>2,180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617"/>
                <w:tab w:val="left" w:pos="1132"/>
              </w:tabs>
              <w:spacing w:before="45" w:after="20" w:line="240" w:lineRule="auto"/>
              <w:jc w:val="right"/>
            </w:pPr>
            <w:r>
              <w:rPr>
                <w:rFonts w:ascii="Times New Roman" w:eastAsia="Times New Roman" w:hAnsi="Times New Roman" w:cs="Times New Roman"/>
                <w:b w:val="0"/>
                <w:i w:val="0"/>
                <w:color w:val="000000"/>
                <w:sz w:val="20"/>
                <w:u w:val="none"/>
              </w:rPr>
              <w:tab/>
              <w:t>2,471</w:t>
              <w:tab/>
            </w:r>
          </w:p>
        </w:tc>
      </w:tr>
    </w:tbl>
    <w:p>
      <w:pPr>
        <w:keepNext w:val="0"/>
        <w:keepLines w:val="0"/>
        <w:pageBreakBefore w:val="0"/>
        <w:widowControl/>
        <w:numPr>
          <w:ilvl w:val="0"/>
          <w:numId w:val="0"/>
        </w:numPr>
        <w:spacing w:before="20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Stock options excluded from the calculations of diluted net loss per</w:t>
      </w:r>
      <w:r>
        <w:rPr>
          <w:rFonts w:ascii="Times New Roman" w:eastAsia="Times New Roman" w:hAnsi="Times New Roman" w:cs="Times New Roman"/>
          <w:b w:val="0"/>
          <w:i w:val="0"/>
          <w:color w:val="000000"/>
          <w:sz w:val="20"/>
          <w:u w:val="none"/>
        </w:rPr>
        <w:t xml:space="preserve"> common</w:t>
      </w:r>
      <w:r>
        <w:rPr>
          <w:rFonts w:ascii="Times New Roman" w:eastAsia="Times New Roman" w:hAnsi="Times New Roman" w:cs="Times New Roman"/>
          <w:b w:val="0"/>
          <w:i w:val="0"/>
          <w:color w:val="000000"/>
          <w:sz w:val="20"/>
          <w:u w:val="none"/>
        </w:rPr>
        <w:t xml:space="preserve"> share have a per share exercise price ranging from </w:t>
      </w:r>
      <w:r>
        <w:rPr>
          <w:rFonts w:ascii="Times New Roman" w:eastAsia="Times New Roman" w:hAnsi="Times New Roman" w:cs="Times New Roman"/>
          <w:b w:val="0"/>
          <w:i w:val="0"/>
          <w:color w:val="000000"/>
          <w:sz w:val="20"/>
          <w:u w:val="none"/>
        </w:rPr>
        <w:t>$7.93</w:t>
      </w:r>
      <w:r>
        <w:rPr>
          <w:rFonts w:ascii="Times New Roman" w:eastAsia="Times New Roman" w:hAnsi="Times New Roman" w:cs="Times New Roman"/>
          <w:b w:val="0"/>
          <w:i w:val="0"/>
          <w:color w:val="000000"/>
          <w:sz w:val="20"/>
          <w:u w:val="none"/>
        </w:rPr>
        <w:t xml:space="preserve"> to </w:t>
      </w:r>
      <w:r>
        <w:rPr>
          <w:rFonts w:ascii="Times New Roman" w:eastAsia="Times New Roman" w:hAnsi="Times New Roman" w:cs="Times New Roman"/>
          <w:b w:val="0"/>
          <w:i w:val="0"/>
          <w:color w:val="000000"/>
          <w:sz w:val="20"/>
          <w:u w:val="none"/>
        </w:rPr>
        <w:t>$24.55</w:t>
      </w:r>
      <w:r>
        <w:rPr>
          <w:rFonts w:ascii="Times New Roman" w:eastAsia="Times New Roman" w:hAnsi="Times New Roman" w:cs="Times New Roman"/>
          <w:b w:val="0"/>
          <w:i w:val="0"/>
          <w:color w:val="000000"/>
          <w:sz w:val="20"/>
          <w:u w:val="none"/>
        </w:rPr>
        <w:t xml:space="preserve"> for the </w:t>
      </w:r>
      <w:r>
        <w:rPr>
          <w:rFonts w:ascii="Times New Roman" w:eastAsia="Times New Roman" w:hAnsi="Times New Roman" w:cs="Times New Roman"/>
          <w:b w:val="0"/>
          <w:i w:val="0"/>
          <w:color w:val="000000"/>
          <w:sz w:val="20"/>
          <w:u w:val="none"/>
        </w:rPr>
        <w:t>three and 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Warrants excluded from the calculation of diluted net loss per </w:t>
      </w:r>
      <w:r>
        <w:rPr>
          <w:rFonts w:ascii="Times New Roman" w:eastAsia="Times New Roman" w:hAnsi="Times New Roman" w:cs="Times New Roman"/>
          <w:b w:val="0"/>
          <w:i w:val="0"/>
          <w:color w:val="000000"/>
          <w:sz w:val="20"/>
          <w:u w:val="none"/>
        </w:rPr>
        <w:t xml:space="preserve">common </w:t>
      </w:r>
      <w:r>
        <w:rPr>
          <w:rFonts w:ascii="Times New Roman" w:eastAsia="Times New Roman" w:hAnsi="Times New Roman" w:cs="Times New Roman"/>
          <w:b w:val="0"/>
          <w:i w:val="0"/>
          <w:color w:val="000000"/>
          <w:sz w:val="20"/>
          <w:u w:val="none"/>
        </w:rPr>
        <w:t xml:space="preserve">share have a per share exercise price of </w:t>
      </w:r>
      <w:r>
        <w:rPr>
          <w:rFonts w:ascii="Times New Roman" w:eastAsia="Times New Roman" w:hAnsi="Times New Roman" w:cs="Times New Roman"/>
          <w:b w:val="0"/>
          <w:i w:val="0"/>
          <w:color w:val="000000"/>
          <w:sz w:val="20"/>
          <w:u w:val="none"/>
        </w:rPr>
        <w:t>$11.03</w:t>
      </w:r>
      <w:r>
        <w:rPr>
          <w:rFonts w:ascii="Times New Roman" w:eastAsia="Times New Roman" w:hAnsi="Times New Roman" w:cs="Times New Roman"/>
          <w:b w:val="0"/>
          <w:i w:val="0"/>
          <w:color w:val="000000"/>
          <w:sz w:val="20"/>
          <w:u w:val="none"/>
        </w:rPr>
        <w:t xml:space="preserve"> (see </w:t>
      </w:r>
      <w:r>
        <w:rPr>
          <w:rFonts w:ascii="Times New Roman" w:eastAsia="Times New Roman" w:hAnsi="Times New Roman" w:cs="Times New Roman"/>
          <w:b w:val="0"/>
          <w:i w:val="0"/>
          <w:color w:val="000000"/>
          <w:sz w:val="20"/>
          <w:u w:val="none"/>
        </w:rPr>
        <w:t>Note 16</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 xml:space="preserve">  Performance share units are potentially dilutive when the related performance criterion has been met.  </w:t>
      </w:r>
    </w:p>
    <w:p>
      <w:pPr>
        <w:keepNext w:val="0"/>
        <w:keepLines w:val="0"/>
        <w:pageBreakBefore w:val="0"/>
        <w:widowControl/>
        <w:numPr>
          <w:ilvl w:val="0"/>
          <w:numId w:val="0"/>
        </w:numPr>
        <w:spacing w:before="200" w:after="0" w:line="288" w:lineRule="auto"/>
        <w:ind w:left="0" w:right="0" w:firstLine="0"/>
        <w:jc w:val="left"/>
        <w:outlineLvl w:val="9"/>
        <w:rPr>
          <w:rFonts w:ascii="Times New Roman" w:eastAsia="Times New Roman" w:hAnsi="Times New Roman" w:cs="Times New Roman"/>
          <w:b w:val="0"/>
          <w:i w:val="0"/>
          <w:color w:val="000000"/>
          <w:sz w:val="20"/>
          <w:u w:val="none"/>
        </w:rPr>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120" w:line="288" w:lineRule="auto"/>
        <w:ind w:left="0" w:right="0" w:firstLine="0"/>
        <w:jc w:val="left"/>
        <w:outlineLvl w:val="3"/>
        <w:rPr>
          <w:rFonts w:ascii="Times New Roman" w:eastAsia="Times New Roman" w:hAnsi="Times New Roman" w:cs="Times New Roman"/>
          <w:b/>
          <w:i w:val="0"/>
          <w:color w:val="000000"/>
          <w:sz w:val="20"/>
          <w:u w:val="none"/>
        </w:rPr>
      </w:pPr>
      <w:bookmarkStart w:id="22" w:name="Section24"/>
      <w:bookmarkEnd w:id="22"/>
      <w:r>
        <w:rPr>
          <w:rFonts w:ascii="Times New Roman" w:eastAsia="Times New Roman" w:hAnsi="Times New Roman" w:cs="Times New Roman"/>
          <w:b/>
          <w:i w:val="0"/>
          <w:color w:val="000000"/>
          <w:sz w:val="20"/>
          <w:u w:val="none"/>
        </w:rPr>
        <w:t>Note 14</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Share-Based Compensation</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following table lists the components of share-based compensation expense by type of award, which is recognized in the “Selling, general, and administrative expense” line in the </w:t>
      </w:r>
      <w:r>
        <w:rPr>
          <w:rFonts w:ascii="Times New Roman" w:eastAsia="Times New Roman" w:hAnsi="Times New Roman" w:cs="Times New Roman"/>
          <w:b w:val="0"/>
          <w:i w:val="0"/>
          <w:color w:val="000000"/>
          <w:sz w:val="20"/>
          <w:u w:val="none"/>
        </w:rPr>
        <w:t>Condensed Consolidated Statements of Operations and Comprehensive Income (Loss)</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4"/>
          <w:u w:val="none"/>
        </w:rPr>
        <w:t> </w:t>
      </w:r>
    </w:p>
    <w:tbl>
      <w:tblPr>
        <w:tblStyle w:val="TableNormal0"/>
        <w:tblW w:w="10260" w:type="dxa"/>
        <w:jc w:val="left"/>
        <w:tblInd w:w="0" w:type="dxa"/>
        <w:tblLayout w:type="fixed"/>
      </w:tblPr>
      <w:tblGrid>
        <w:gridCol w:w="5235"/>
        <w:gridCol w:w="1200"/>
        <w:gridCol w:w="75"/>
        <w:gridCol w:w="1200"/>
        <w:gridCol w:w="75"/>
        <w:gridCol w:w="1200"/>
        <w:gridCol w:w="75"/>
        <w:gridCol w:w="1200"/>
      </w:tblGrid>
      <w:tr>
        <w:tblPrEx>
          <w:tblW w:w="10260" w:type="dxa"/>
          <w:tblInd w:w="0" w:type="dxa"/>
          <w:tblLayout w:type="fixed"/>
        </w:tblPrEx>
        <w:trPr>
          <w:trHeight w:hRule="exact" w:val="405"/>
        </w:trPr>
        <w:tc>
          <w:tcPr>
            <w:tcW w:w="523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16"/>
                <w:u w:val="none"/>
              </w:rPr>
              <w:t> </w:t>
            </w:r>
          </w:p>
        </w:tc>
        <w:tc>
          <w:tcPr>
            <w:tcW w:w="2475" w:type="dxa"/>
            <w:gridSpan w:val="3"/>
            <w:tcBorders>
              <w:top w:val="nil"/>
              <w:left w:val="nil"/>
              <w:bottom w:val="nil"/>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 xml:space="preserve">Three Months Ended </w:t>
            </w:r>
          </w:p>
          <w:p>
            <w:pPr>
              <w:spacing w:after="30" w:line="240" w:lineRule="auto"/>
              <w:jc w:val="center"/>
            </w:pPr>
            <w:r>
              <w:rPr>
                <w:rFonts w:ascii="Times New Roman" w:eastAsia="Times New Roman" w:hAnsi="Times New Roman" w:cs="Times New Roman"/>
                <w:b/>
                <w:i w:val="0"/>
                <w:color w:val="000000"/>
                <w:sz w:val="16"/>
                <w:u w:val="none"/>
              </w:rPr>
              <w:t>June 30,</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247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 xml:space="preserve">Six Months Ended </w:t>
            </w:r>
          </w:p>
          <w:p>
            <w:pPr>
              <w:spacing w:after="30" w:line="240" w:lineRule="auto"/>
              <w:jc w:val="center"/>
            </w:pPr>
            <w:r>
              <w:rPr>
                <w:rFonts w:ascii="Times New Roman" w:eastAsia="Times New Roman" w:hAnsi="Times New Roman" w:cs="Times New Roman"/>
                <w:b/>
                <w:i w:val="0"/>
                <w:color w:val="000000"/>
                <w:sz w:val="16"/>
                <w:u w:val="none"/>
              </w:rPr>
              <w:t>June 30,</w:t>
            </w:r>
          </w:p>
        </w:tc>
      </w:tr>
      <w:tr>
        <w:tblPrEx>
          <w:tblW w:w="10260" w:type="dxa"/>
          <w:tblInd w:w="0" w:type="dxa"/>
          <w:tblLayout w:type="fixed"/>
        </w:tblPrEx>
        <w:trPr>
          <w:trHeight w:hRule="exact" w:val="240"/>
        </w:trPr>
        <w:tc>
          <w:tcPr>
            <w:tcW w:w="5235" w:type="dxa"/>
            <w:tcBorders>
              <w:top w:val="nil"/>
              <w:left w:val="nil"/>
              <w:bottom w:val="nil"/>
              <w:right w:val="nil"/>
            </w:tcBorders>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16"/>
                <w:u w:val="none"/>
              </w:rPr>
              <w:t> </w:t>
            </w: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2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2025</w:t>
            </w:r>
          </w:p>
        </w:tc>
      </w:tr>
      <w:tr>
        <w:tblPrEx>
          <w:tblW w:w="10260" w:type="dxa"/>
          <w:tblInd w:w="0" w:type="dxa"/>
          <w:tblLayout w:type="fixed"/>
        </w:tblPrEx>
        <w:trPr>
          <w:trHeight w:hRule="exact" w:val="300"/>
        </w:trPr>
        <w:tc>
          <w:tcPr>
            <w:tcW w:w="523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Restricted stock</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435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470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920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1,020</w:t>
              <w:tab/>
            </w:r>
          </w:p>
        </w:tc>
      </w:tr>
      <w:tr>
        <w:tblPrEx>
          <w:tblW w:w="10260" w:type="dxa"/>
          <w:tblInd w:w="0" w:type="dxa"/>
          <w:tblLayout w:type="fixed"/>
        </w:tblPrEx>
        <w:trPr>
          <w:trHeight w:hRule="exact" w:val="300"/>
        </w:trPr>
        <w:tc>
          <w:tcPr>
            <w:tcW w:w="523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Performance share units</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67"/>
                <w:tab w:val="left" w:pos="1132"/>
              </w:tabs>
              <w:spacing w:before="75" w:after="30" w:line="240" w:lineRule="auto"/>
              <w:jc w:val="right"/>
            </w:pPr>
            <w:r>
              <w:rPr>
                <w:rFonts w:ascii="Times New Roman" w:eastAsia="Times New Roman" w:hAnsi="Times New Roman" w:cs="Times New Roman"/>
                <w:b w:val="0"/>
                <w:i w:val="0"/>
                <w:color w:val="000000"/>
                <w:sz w:val="20"/>
                <w:u w:val="none"/>
              </w:rPr>
              <w:tab/>
              <w:t>373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67"/>
                <w:tab w:val="left" w:pos="1132"/>
              </w:tabs>
              <w:spacing w:before="75" w:after="30" w:line="240" w:lineRule="auto"/>
              <w:jc w:val="right"/>
            </w:pPr>
            <w:r>
              <w:rPr>
                <w:rFonts w:ascii="Times New Roman" w:eastAsia="Times New Roman" w:hAnsi="Times New Roman" w:cs="Times New Roman"/>
                <w:b w:val="0"/>
                <w:i w:val="0"/>
                <w:color w:val="000000"/>
                <w:sz w:val="20"/>
                <w:u w:val="none"/>
              </w:rPr>
              <w:tab/>
              <w:t>331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67"/>
                <w:tab w:val="left" w:pos="1132"/>
              </w:tabs>
              <w:spacing w:before="75" w:after="30" w:line="240" w:lineRule="auto"/>
              <w:jc w:val="right"/>
            </w:pPr>
            <w:r>
              <w:rPr>
                <w:rFonts w:ascii="Times New Roman" w:eastAsia="Times New Roman" w:hAnsi="Times New Roman" w:cs="Times New Roman"/>
                <w:b w:val="0"/>
                <w:i w:val="0"/>
                <w:color w:val="000000"/>
                <w:sz w:val="20"/>
                <w:u w:val="none"/>
              </w:rPr>
              <w:tab/>
              <w:t>689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67"/>
                <w:tab w:val="left" w:pos="1132"/>
              </w:tabs>
              <w:spacing w:before="75" w:after="30" w:line="240" w:lineRule="auto"/>
              <w:jc w:val="right"/>
            </w:pPr>
            <w:r>
              <w:rPr>
                <w:rFonts w:ascii="Times New Roman" w:eastAsia="Times New Roman" w:hAnsi="Times New Roman" w:cs="Times New Roman"/>
                <w:b w:val="0"/>
                <w:i w:val="0"/>
                <w:color w:val="000000"/>
                <w:sz w:val="20"/>
                <w:u w:val="none"/>
              </w:rPr>
              <w:tab/>
              <w:t>620</w:t>
              <w:tab/>
            </w:r>
          </w:p>
        </w:tc>
      </w:tr>
      <w:tr>
        <w:tblPrEx>
          <w:tblW w:w="10260" w:type="dxa"/>
          <w:tblInd w:w="0" w:type="dxa"/>
          <w:tblLayout w:type="fixed"/>
        </w:tblPrEx>
        <w:trPr>
          <w:trHeight w:hRule="exact" w:val="300"/>
        </w:trPr>
        <w:tc>
          <w:tcPr>
            <w:tcW w:w="5235" w:type="dxa"/>
            <w:tcBorders>
              <w:top w:val="nil"/>
              <w:left w:val="nil"/>
              <w:bottom w:val="nil"/>
              <w:right w:val="nil"/>
            </w:tcBorders>
            <w:shd w:val="clear" w:color="auto" w:fill="CCEEFF"/>
            <w:tcMar>
              <w:top w:w="0" w:type="dxa"/>
              <w:left w:w="53" w:type="dxa"/>
              <w:bottom w:w="0" w:type="dxa"/>
              <w:right w:w="53" w:type="dxa"/>
            </w:tcMar>
            <w:vAlign w:val="top"/>
          </w:tcPr>
          <w:p>
            <w:pPr>
              <w:pageBreakBefore w:val="0"/>
              <w:spacing w:before="55" w:after="30" w:line="240" w:lineRule="auto"/>
              <w:jc w:val="left"/>
            </w:pPr>
            <w:r>
              <w:rPr>
                <w:rFonts w:ascii="Times New Roman" w:eastAsia="Times New Roman" w:hAnsi="Times New Roman" w:cs="Times New Roman"/>
                <w:b w:val="0"/>
                <w:i w:val="0"/>
                <w:color w:val="000000"/>
                <w:sz w:val="20"/>
                <w:u w:val="none"/>
              </w:rPr>
              <w:t>Share-based compensation expense</w:t>
            </w: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6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808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6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801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1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1,609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1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1,640</w:t>
              <w:tab/>
            </w:r>
          </w:p>
        </w:tc>
      </w:tr>
    </w:tbl>
    <w:p>
      <w:pPr>
        <w:pStyle w:val="Subheading"/>
        <w:keepNext/>
        <w:keepLines/>
        <w:pageBreakBefore w:val="0"/>
        <w:widowControl w:val="0"/>
        <w:numPr>
          <w:ilvl w:val="0"/>
          <w:numId w:val="0"/>
        </w:numPr>
        <w:spacing w:before="180" w:after="60" w:line="288" w:lineRule="auto"/>
        <w:ind w:left="0" w:right="0" w:firstLine="0"/>
        <w:jc w:val="left"/>
        <w:outlineLvl w:val="9"/>
        <w:rPr>
          <w:rFonts w:ascii="Times New Roman" w:eastAsia="Times New Roman" w:hAnsi="Times New Roman" w:cs="Times New Roman"/>
          <w:b w:val="0"/>
          <w:i/>
          <w:color w:val="000000"/>
          <w:sz w:val="16"/>
          <w:u w:val="none"/>
        </w:rPr>
      </w:pPr>
      <w:r>
        <w:rPr>
          <w:rFonts w:ascii="Times New Roman" w:eastAsia="Times New Roman" w:hAnsi="Times New Roman" w:cs="Times New Roman"/>
          <w:b w:val="0"/>
          <w:i/>
          <w:color w:val="000000"/>
          <w:sz w:val="20"/>
          <w:u w:val="none"/>
        </w:rPr>
        <w:t>Restricted Stock</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color w:val="000000"/>
          <w:sz w:val="20"/>
          <w:highlight w:val="yellow"/>
          <w:u w:val="none"/>
        </w:rPr>
      </w:pPr>
      <w:r>
        <w:rPr>
          <w:rFonts w:ascii="Times New Roman" w:eastAsia="Times New Roman" w:hAnsi="Times New Roman" w:cs="Times New Roman"/>
          <w:b w:val="0"/>
          <w:i w:val="0"/>
          <w:color w:val="000000"/>
          <w:sz w:val="20"/>
          <w:u w:val="none"/>
        </w:rPr>
        <w:t xml:space="preserve">The following table presents the status of unvested restricted stock awards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and activity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color w:val="000000"/>
          <w:sz w:val="20"/>
          <w:u w:val="none"/>
        </w:rPr>
        <w:t xml:space="preserve"> then ended.</w:t>
      </w:r>
    </w:p>
    <w:tbl>
      <w:tblPr>
        <w:tblStyle w:val="TableNormal0"/>
        <w:tblW w:w="10155" w:type="dxa"/>
        <w:jc w:val="left"/>
        <w:tblInd w:w="0" w:type="dxa"/>
        <w:tblLayout w:type="fixed"/>
      </w:tblPr>
      <w:tblGrid>
        <w:gridCol w:w="7185"/>
        <w:gridCol w:w="1500"/>
        <w:gridCol w:w="75"/>
        <w:gridCol w:w="1395"/>
      </w:tblGrid>
      <w:tr>
        <w:tblPrEx>
          <w:tblW w:w="10155" w:type="dxa"/>
          <w:tblInd w:w="0" w:type="dxa"/>
          <w:tblLayout w:type="fixed"/>
        </w:tblPrEx>
        <w:trPr>
          <w:trHeight w:hRule="exact" w:val="585"/>
        </w:trPr>
        <w:tc>
          <w:tcPr>
            <w:tcW w:w="718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5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Nonvested</w:t>
            </w:r>
          </w:p>
          <w:p>
            <w:pPr>
              <w:spacing w:line="240" w:lineRule="auto"/>
              <w:jc w:val="center"/>
            </w:pPr>
            <w:r>
              <w:rPr>
                <w:rFonts w:ascii="Times New Roman" w:eastAsia="Times New Roman" w:hAnsi="Times New Roman" w:cs="Times New Roman"/>
                <w:b/>
                <w:i w:val="0"/>
                <w:color w:val="000000"/>
                <w:sz w:val="16"/>
                <w:u w:val="none"/>
              </w:rPr>
              <w:t>Restricted</w:t>
            </w:r>
          </w:p>
          <w:p>
            <w:pPr>
              <w:spacing w:after="30" w:line="240" w:lineRule="auto"/>
              <w:jc w:val="center"/>
            </w:pPr>
            <w:r>
              <w:rPr>
                <w:rFonts w:ascii="Times New Roman" w:eastAsia="Times New Roman" w:hAnsi="Times New Roman" w:cs="Times New Roman"/>
                <w:b/>
                <w:i w:val="0"/>
                <w:color w:val="000000"/>
                <w:sz w:val="16"/>
                <w:u w:val="none"/>
              </w:rPr>
              <w:t>Shares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9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Weighted Average Grant-Date</w:t>
            </w:r>
          </w:p>
          <w:p>
            <w:pPr>
              <w:spacing w:after="30" w:line="240" w:lineRule="auto"/>
              <w:jc w:val="center"/>
            </w:pPr>
            <w:r>
              <w:rPr>
                <w:rFonts w:ascii="Times New Roman" w:eastAsia="Times New Roman" w:hAnsi="Times New Roman" w:cs="Times New Roman"/>
                <w:b/>
                <w:i w:val="0"/>
                <w:color w:val="000000"/>
                <w:sz w:val="16"/>
                <w:u w:val="none"/>
              </w:rPr>
              <w:t>Fair Value</w:t>
            </w:r>
          </w:p>
        </w:tc>
      </w:tr>
      <w:tr>
        <w:tblPrEx>
          <w:tblW w:w="10155" w:type="dxa"/>
          <w:tblInd w:w="0" w:type="dxa"/>
          <w:tblLayout w:type="fixed"/>
        </w:tblPrEx>
        <w:trPr>
          <w:trHeight w:hRule="exact" w:val="285"/>
        </w:trPr>
        <w:tc>
          <w:tcPr>
            <w:tcW w:w="718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Unvested at January 1, 2026</w:t>
            </w: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17"/>
                <w:tab w:val="left" w:pos="1432"/>
              </w:tabs>
              <w:spacing w:before="55" w:after="30" w:line="240" w:lineRule="auto"/>
              <w:jc w:val="right"/>
            </w:pPr>
            <w:r>
              <w:rPr>
                <w:rFonts w:ascii="Times New Roman" w:eastAsia="Times New Roman" w:hAnsi="Times New Roman" w:cs="Times New Roman"/>
                <w:b w:val="0"/>
                <w:i w:val="0"/>
                <w:color w:val="000000"/>
                <w:sz w:val="20"/>
                <w:u w:val="none"/>
              </w:rPr>
              <w:tab/>
              <w:t>2,027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9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12"/>
                <w:tab w:val="left" w:pos="1327"/>
              </w:tabs>
              <w:spacing w:before="55" w:after="30" w:line="240" w:lineRule="auto"/>
              <w:jc w:val="right"/>
            </w:pPr>
            <w:r>
              <w:rPr>
                <w:rFonts w:ascii="Times New Roman" w:eastAsia="Times New Roman" w:hAnsi="Times New Roman" w:cs="Times New Roman"/>
                <w:b w:val="0"/>
                <w:i w:val="0"/>
                <w:color w:val="000000"/>
                <w:sz w:val="20"/>
                <w:u w:val="none"/>
              </w:rPr>
              <w:t>$</w:t>
              <w:tab/>
              <w:t>2.08</w:t>
              <w:tab/>
            </w:r>
          </w:p>
        </w:tc>
      </w:tr>
      <w:tr>
        <w:tblPrEx>
          <w:tblW w:w="10155" w:type="dxa"/>
          <w:tblInd w:w="0" w:type="dxa"/>
          <w:tblLayout w:type="fixed"/>
        </w:tblPrEx>
        <w:trPr>
          <w:trHeight w:hRule="exact" w:val="285"/>
        </w:trPr>
        <w:tc>
          <w:tcPr>
            <w:tcW w:w="718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ind w:left="120"/>
              <w:jc w:val="left"/>
            </w:pPr>
            <w:r>
              <w:rPr>
                <w:rFonts w:ascii="Times New Roman" w:eastAsia="Times New Roman" w:hAnsi="Times New Roman" w:cs="Times New Roman"/>
                <w:b w:val="0"/>
                <w:i w:val="0"/>
                <w:color w:val="000000"/>
                <w:sz w:val="20"/>
                <w:u w:val="none"/>
              </w:rPr>
              <w:t>Granted</w:t>
            </w: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17"/>
                <w:tab w:val="left" w:pos="1432"/>
              </w:tabs>
              <w:spacing w:before="75" w:after="30" w:line="240" w:lineRule="auto"/>
              <w:jc w:val="right"/>
            </w:pPr>
            <w:r>
              <w:rPr>
                <w:rFonts w:ascii="Times New Roman" w:eastAsia="Times New Roman" w:hAnsi="Times New Roman" w:cs="Times New Roman"/>
                <w:b w:val="0"/>
                <w:i w:val="0"/>
                <w:color w:val="000000"/>
                <w:sz w:val="20"/>
                <w:u w:val="none"/>
              </w:rPr>
              <w:tab/>
              <w:t>1,095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12"/>
                <w:tab w:val="left" w:pos="1327"/>
              </w:tabs>
              <w:spacing w:before="75" w:after="30" w:line="240" w:lineRule="auto"/>
              <w:jc w:val="right"/>
            </w:pPr>
            <w:r>
              <w:rPr>
                <w:rFonts w:ascii="Times New Roman" w:eastAsia="Times New Roman" w:hAnsi="Times New Roman" w:cs="Times New Roman"/>
                <w:b w:val="0"/>
                <w:i w:val="0"/>
                <w:color w:val="000000"/>
                <w:sz w:val="20"/>
                <w:u w:val="none"/>
              </w:rPr>
              <w:tab/>
              <w:t>1.24</w:t>
              <w:tab/>
            </w:r>
          </w:p>
        </w:tc>
      </w:tr>
      <w:tr>
        <w:tblPrEx>
          <w:tblW w:w="10155" w:type="dxa"/>
          <w:tblInd w:w="0" w:type="dxa"/>
          <w:tblLayout w:type="fixed"/>
        </w:tblPrEx>
        <w:trPr>
          <w:trHeight w:hRule="exact" w:val="285"/>
        </w:trPr>
        <w:tc>
          <w:tcPr>
            <w:tcW w:w="718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ind w:left="120"/>
              <w:jc w:val="left"/>
            </w:pPr>
            <w:r>
              <w:rPr>
                <w:rFonts w:ascii="Times New Roman" w:eastAsia="Times New Roman" w:hAnsi="Times New Roman" w:cs="Times New Roman"/>
                <w:b w:val="0"/>
                <w:i w:val="0"/>
                <w:color w:val="000000"/>
                <w:sz w:val="20"/>
                <w:u w:val="none"/>
              </w:rPr>
              <w:t>Vested</w:t>
            </w:r>
          </w:p>
        </w:tc>
        <w:tc>
          <w:tcPr>
            <w:tcW w:w="15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81"/>
              </w:tabs>
              <w:spacing w:before="75" w:after="30" w:line="240" w:lineRule="auto"/>
              <w:jc w:val="right"/>
            </w:pPr>
            <w:r>
              <w:rPr>
                <w:rFonts w:ascii="Times New Roman" w:eastAsia="Times New Roman" w:hAnsi="Times New Roman" w:cs="Times New Roman"/>
                <w:b w:val="0"/>
                <w:i w:val="0"/>
                <w:color w:val="000000"/>
                <w:sz w:val="20"/>
                <w:u w:val="none"/>
              </w:rPr>
              <w:tab/>
              <w:t>(859)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9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912"/>
                <w:tab w:val="left" w:pos="1327"/>
              </w:tabs>
              <w:spacing w:before="75" w:after="30" w:line="240" w:lineRule="auto"/>
              <w:jc w:val="right"/>
            </w:pPr>
            <w:r>
              <w:rPr>
                <w:rFonts w:ascii="Times New Roman" w:eastAsia="Times New Roman" w:hAnsi="Times New Roman" w:cs="Times New Roman"/>
                <w:b w:val="0"/>
                <w:i w:val="0"/>
                <w:color w:val="000000"/>
                <w:sz w:val="20"/>
                <w:u w:val="none"/>
              </w:rPr>
              <w:tab/>
              <w:t>2.14</w:t>
              <w:tab/>
            </w:r>
          </w:p>
        </w:tc>
      </w:tr>
      <w:tr>
        <w:tblPrEx>
          <w:tblW w:w="10155" w:type="dxa"/>
          <w:tblInd w:w="0" w:type="dxa"/>
          <w:tblLayout w:type="fixed"/>
        </w:tblPrEx>
        <w:trPr>
          <w:trHeight w:hRule="exact" w:val="285"/>
        </w:trPr>
        <w:tc>
          <w:tcPr>
            <w:tcW w:w="718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ind w:left="120"/>
              <w:jc w:val="left"/>
            </w:pPr>
            <w:r>
              <w:rPr>
                <w:rFonts w:ascii="Times New Roman" w:eastAsia="Times New Roman" w:hAnsi="Times New Roman" w:cs="Times New Roman"/>
                <w:b w:val="0"/>
                <w:i w:val="0"/>
                <w:color w:val="000000"/>
                <w:sz w:val="20"/>
                <w:u w:val="none"/>
              </w:rPr>
              <w:t>Forfeited</w:t>
            </w:r>
          </w:p>
        </w:tc>
        <w:tc>
          <w:tcPr>
            <w:tcW w:w="15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081"/>
              </w:tabs>
              <w:spacing w:before="75" w:after="30" w:line="240" w:lineRule="auto"/>
              <w:jc w:val="right"/>
            </w:pPr>
            <w:r>
              <w:rPr>
                <w:rFonts w:ascii="Times New Roman" w:eastAsia="Times New Roman" w:hAnsi="Times New Roman" w:cs="Times New Roman"/>
                <w:b w:val="0"/>
                <w:i w:val="0"/>
                <w:color w:val="000000"/>
                <w:sz w:val="20"/>
                <w:u w:val="none"/>
              </w:rPr>
              <w:tab/>
              <w:t>(69)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9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12"/>
                <w:tab w:val="left" w:pos="1327"/>
              </w:tabs>
              <w:spacing w:before="75" w:after="30" w:line="240" w:lineRule="auto"/>
              <w:jc w:val="right"/>
            </w:pPr>
            <w:r>
              <w:rPr>
                <w:rFonts w:ascii="Times New Roman" w:eastAsia="Times New Roman" w:hAnsi="Times New Roman" w:cs="Times New Roman"/>
                <w:b w:val="0"/>
                <w:i w:val="0"/>
                <w:color w:val="000000"/>
                <w:sz w:val="20"/>
                <w:u w:val="none"/>
              </w:rPr>
              <w:tab/>
              <w:t>2.55</w:t>
              <w:tab/>
            </w:r>
          </w:p>
        </w:tc>
      </w:tr>
      <w:tr>
        <w:tblPrEx>
          <w:tblW w:w="10155" w:type="dxa"/>
          <w:tblInd w:w="0" w:type="dxa"/>
          <w:tblLayout w:type="fixed"/>
        </w:tblPrEx>
        <w:trPr>
          <w:trHeight w:hRule="exact" w:val="285"/>
        </w:trPr>
        <w:tc>
          <w:tcPr>
            <w:tcW w:w="7185" w:type="dxa"/>
            <w:tcBorders>
              <w:top w:val="nil"/>
              <w:left w:val="nil"/>
              <w:bottom w:val="nil"/>
              <w:right w:val="nil"/>
            </w:tcBorders>
            <w:shd w:val="clear" w:color="auto" w:fill="CCEEFF"/>
            <w:tcMar>
              <w:top w:w="0" w:type="dxa"/>
              <w:left w:w="53" w:type="dxa"/>
              <w:bottom w:w="0" w:type="dxa"/>
              <w:right w:w="53" w:type="dxa"/>
            </w:tcMar>
            <w:vAlign w:val="top"/>
          </w:tcPr>
          <w:p>
            <w:pPr>
              <w:pageBreakBefore w:val="0"/>
              <w:spacing w:before="55" w:after="30" w:line="240" w:lineRule="auto"/>
              <w:jc w:val="left"/>
            </w:pPr>
            <w:r>
              <w:rPr>
                <w:rFonts w:ascii="Times New Roman" w:eastAsia="Times New Roman" w:hAnsi="Times New Roman" w:cs="Times New Roman"/>
                <w:b w:val="0"/>
                <w:i w:val="0"/>
                <w:color w:val="000000"/>
                <w:sz w:val="20"/>
                <w:u w:val="none"/>
              </w:rPr>
              <w:t>Unvested at June 30, 2026</w:t>
            </w:r>
          </w:p>
        </w:tc>
        <w:tc>
          <w:tcPr>
            <w:tcW w:w="15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917"/>
                <w:tab w:val="left" w:pos="1432"/>
              </w:tabs>
              <w:spacing w:before="55" w:after="30" w:line="240" w:lineRule="auto"/>
              <w:jc w:val="right"/>
            </w:pPr>
            <w:r>
              <w:rPr>
                <w:rFonts w:ascii="Times New Roman" w:eastAsia="Times New Roman" w:hAnsi="Times New Roman" w:cs="Times New Roman"/>
                <w:b w:val="0"/>
                <w:i w:val="0"/>
                <w:color w:val="000000"/>
                <w:sz w:val="20"/>
                <w:u w:val="none"/>
              </w:rPr>
              <w:tab/>
              <w:t>2,194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95" w:type="dxa"/>
            <w:tcBorders>
              <w:top w:val="nil"/>
              <w:left w:val="nil"/>
              <w:bottom w:val="nil"/>
              <w:right w:val="nil"/>
            </w:tcBorders>
            <w:shd w:val="clear" w:color="auto" w:fill="CCEEFF"/>
            <w:tcMar>
              <w:top w:w="0" w:type="dxa"/>
              <w:left w:w="0" w:type="dxa"/>
              <w:bottom w:w="0" w:type="dxa"/>
              <w:right w:w="15" w:type="dxa"/>
            </w:tcMar>
            <w:vAlign w:val="bottom"/>
          </w:tcPr>
          <w:p>
            <w:pPr>
              <w:pageBreakBefore w:val="0"/>
              <w:tabs>
                <w:tab w:val="left" w:pos="912"/>
                <w:tab w:val="left" w:pos="1327"/>
              </w:tabs>
              <w:spacing w:before="55" w:after="30" w:line="240" w:lineRule="auto"/>
              <w:jc w:val="right"/>
            </w:pPr>
            <w:r>
              <w:rPr>
                <w:rFonts w:ascii="Times New Roman" w:eastAsia="Times New Roman" w:hAnsi="Times New Roman" w:cs="Times New Roman"/>
                <w:b w:val="0"/>
                <w:i w:val="0"/>
                <w:color w:val="000000"/>
                <w:sz w:val="20"/>
                <w:u w:val="none"/>
              </w:rPr>
              <w:t>$</w:t>
              <w:tab/>
              <w:t>1.66</w:t>
              <w:tab/>
            </w:r>
          </w:p>
        </w:tc>
      </w:tr>
    </w:tbl>
    <w:p>
      <w:pPr>
        <w:keepNext w:val="0"/>
        <w:keepLines w:val="0"/>
        <w:pageBreakBefore w:val="0"/>
        <w:widowControl/>
        <w:numPr>
          <w:ilvl w:val="0"/>
          <w:numId w:val="0"/>
        </w:numPr>
        <w:spacing w:before="120" w:after="12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val="0"/>
          <w:color w:val="000000"/>
          <w:sz w:val="20"/>
          <w:u w:val="none"/>
        </w:rPr>
        <w:t xml:space="preserve">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we granted </w:t>
      </w:r>
      <w:r>
        <w:rPr>
          <w:rFonts w:ascii="Times New Roman" w:eastAsia="Times New Roman" w:hAnsi="Times New Roman" w:cs="Times New Roman"/>
          <w:b w:val="0"/>
          <w:i w:val="0"/>
          <w:color w:val="000000"/>
          <w:sz w:val="20"/>
          <w:u w:val="none"/>
        </w:rPr>
        <w:t>1,095,000</w:t>
      </w:r>
      <w:r>
        <w:rPr>
          <w:rFonts w:ascii="Times New Roman" w:eastAsia="Times New Roman" w:hAnsi="Times New Roman" w:cs="Times New Roman"/>
          <w:b w:val="0"/>
          <w:i w:val="0"/>
          <w:color w:val="000000"/>
          <w:sz w:val="20"/>
          <w:u w:val="none"/>
        </w:rPr>
        <w:t xml:space="preserve"> shares of restricted stock to non-executive directors, officers and certain other employees.  The shares of these restricted stock awards vest pro-rata generally over </w:t>
      </w:r>
      <w:r>
        <w:rPr>
          <w:rFonts w:ascii="Times New Roman" w:eastAsia="Times New Roman" w:hAnsi="Times New Roman" w:cs="Times New Roman"/>
          <w:b w:val="0"/>
          <w:i w:val="0"/>
          <w:color w:val="000000"/>
          <w:sz w:val="20"/>
          <w:u w:val="none"/>
        </w:rPr>
        <w:t>three years</w:t>
      </w:r>
      <w:r>
        <w:rPr>
          <w:rFonts w:ascii="Times New Roman" w:eastAsia="Times New Roman" w:hAnsi="Times New Roman" w:cs="Times New Roman"/>
          <w:b w:val="0"/>
          <w:i w:val="0"/>
          <w:color w:val="000000"/>
          <w:sz w:val="20"/>
          <w:u w:val="none"/>
        </w:rPr>
        <w:t xml:space="preserve"> for employees and over </w:t>
      </w:r>
      <w:r>
        <w:rPr>
          <w:rFonts w:ascii="Times New Roman" w:eastAsia="Times New Roman" w:hAnsi="Times New Roman" w:cs="Times New Roman"/>
          <w:b w:val="0"/>
          <w:i w:val="0"/>
          <w:color w:val="000000"/>
          <w:sz w:val="20"/>
          <w:u w:val="none"/>
        </w:rPr>
        <w:t>one year</w:t>
      </w:r>
      <w:r>
        <w:rPr>
          <w:rFonts w:ascii="Times New Roman" w:eastAsia="Times New Roman" w:hAnsi="Times New Roman" w:cs="Times New Roman"/>
          <w:b w:val="0"/>
          <w:i w:val="0"/>
          <w:color w:val="000000"/>
          <w:sz w:val="20"/>
          <w:u w:val="none"/>
        </w:rPr>
        <w:t xml:space="preserve"> for non-executive directors.  Total grant date fair value of restricted stock that vested in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was </w:t>
      </w:r>
      <w:r>
        <w:rPr>
          <w:rFonts w:ascii="Times New Roman" w:eastAsia="Times New Roman" w:hAnsi="Times New Roman" w:cs="Times New Roman"/>
          <w:b w:val="0"/>
          <w:i w:val="0"/>
          <w:color w:val="000000"/>
          <w:sz w:val="20"/>
          <w:u w:val="none"/>
        </w:rPr>
        <w:t>$1.8 million</w:t>
      </w:r>
      <w:r>
        <w:rPr>
          <w:rFonts w:ascii="Times New Roman" w:eastAsia="Times New Roman" w:hAnsi="Times New Roman" w:cs="Times New Roman"/>
          <w:b w:val="0"/>
          <w:i w:val="0"/>
          <w:color w:val="000000"/>
          <w:sz w:val="20"/>
          <w:u w:val="none"/>
        </w:rPr>
        <w:t>.</w:t>
      </w:r>
    </w:p>
    <w:p>
      <w:pPr>
        <w:pStyle w:val="Subheading"/>
        <w:keepNext/>
        <w:keepLines w:val="0"/>
        <w:pageBreakBefore w:val="0"/>
        <w:widowControl/>
        <w:numPr>
          <w:ilvl w:val="0"/>
          <w:numId w:val="0"/>
        </w:numPr>
        <w:spacing w:before="18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Performance Share Units</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color w:val="000000"/>
          <w:sz w:val="20"/>
          <w:highlight w:val="yellow"/>
          <w:u w:val="none"/>
        </w:rPr>
      </w:pPr>
      <w:r>
        <w:rPr>
          <w:rFonts w:ascii="Times New Roman" w:eastAsia="Times New Roman" w:hAnsi="Times New Roman" w:cs="Times New Roman"/>
          <w:b w:val="0"/>
          <w:i w:val="0"/>
          <w:color w:val="000000"/>
          <w:sz w:val="20"/>
          <w:u w:val="none"/>
        </w:rPr>
        <w:t xml:space="preserve">Performance Share Units (“PSUs”) are a form of long-term incentive compensation awarded to executive officers and certain other key employees designed to directly align the interests of employees to the interests of our stockholders, and to create long-term stockholder value.  </w:t>
      </w:r>
      <w:r>
        <w:rPr>
          <w:rFonts w:ascii="Times New Roman" w:eastAsia="Times New Roman" w:hAnsi="Times New Roman" w:cs="Times New Roman"/>
          <w:b w:val="0"/>
          <w:i w:val="0"/>
          <w:color w:val="000000"/>
          <w:sz w:val="20"/>
          <w:u w:val="none"/>
        </w:rPr>
        <w:t xml:space="preserve">The following table presents the status of unvested PSUs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and activity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color w:val="000000"/>
          <w:sz w:val="20"/>
          <w:u w:val="none"/>
        </w:rPr>
        <w:t xml:space="preserve"> then ended. </w:t>
      </w:r>
    </w:p>
    <w:tbl>
      <w:tblPr>
        <w:tblStyle w:val="TableNormal0"/>
        <w:tblW w:w="10260" w:type="dxa"/>
        <w:jc w:val="left"/>
        <w:tblInd w:w="0" w:type="dxa"/>
        <w:tblLayout w:type="fixed"/>
      </w:tblPr>
      <w:tblGrid>
        <w:gridCol w:w="7185"/>
        <w:gridCol w:w="1500"/>
        <w:gridCol w:w="75"/>
        <w:gridCol w:w="1500"/>
      </w:tblGrid>
      <w:tr>
        <w:tblPrEx>
          <w:tblW w:w="10260" w:type="dxa"/>
          <w:tblInd w:w="0" w:type="dxa"/>
          <w:tblLayout w:type="fixed"/>
        </w:tblPrEx>
        <w:trPr>
          <w:trHeight w:hRule="exact" w:val="525"/>
        </w:trPr>
        <w:tc>
          <w:tcPr>
            <w:tcW w:w="718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16"/>
                <w:u w:val="none"/>
              </w:rPr>
              <w:t> </w:t>
            </w:r>
          </w:p>
        </w:tc>
        <w:tc>
          <w:tcPr>
            <w:tcW w:w="15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Nonvested PSU Awards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5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Weighted Average Grant-Date</w:t>
            </w:r>
          </w:p>
          <w:p>
            <w:pPr>
              <w:spacing w:after="30" w:line="240" w:lineRule="auto"/>
              <w:jc w:val="center"/>
            </w:pPr>
            <w:r>
              <w:rPr>
                <w:rFonts w:ascii="Times New Roman" w:eastAsia="Times New Roman" w:hAnsi="Times New Roman" w:cs="Times New Roman"/>
                <w:b/>
                <w:i w:val="0"/>
                <w:color w:val="000000"/>
                <w:sz w:val="16"/>
                <w:u w:val="none"/>
              </w:rPr>
              <w:t>Fair Value</w:t>
            </w:r>
          </w:p>
        </w:tc>
      </w:tr>
      <w:tr>
        <w:tblPrEx>
          <w:tblW w:w="10260" w:type="dxa"/>
          <w:tblInd w:w="0" w:type="dxa"/>
          <w:tblLayout w:type="fixed"/>
        </w:tblPrEx>
        <w:trPr>
          <w:trHeight w:hRule="exact" w:val="255"/>
        </w:trPr>
        <w:tc>
          <w:tcPr>
            <w:tcW w:w="718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Nonvested at January 1, 2026</w:t>
            </w: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17"/>
                <w:tab w:val="left" w:pos="1432"/>
              </w:tabs>
              <w:spacing w:before="55" w:after="30" w:line="240" w:lineRule="auto"/>
              <w:jc w:val="right"/>
            </w:pPr>
            <w:r>
              <w:rPr>
                <w:rFonts w:ascii="Times New Roman" w:eastAsia="Times New Roman" w:hAnsi="Times New Roman" w:cs="Times New Roman"/>
                <w:b w:val="0"/>
                <w:i w:val="0"/>
                <w:color w:val="000000"/>
                <w:sz w:val="20"/>
                <w:u w:val="none"/>
              </w:rPr>
              <w:tab/>
              <w:t>3,877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1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1.48</w:t>
              <w:tab/>
            </w:r>
          </w:p>
        </w:tc>
      </w:tr>
      <w:tr>
        <w:tblPrEx>
          <w:tblW w:w="10260" w:type="dxa"/>
          <w:tblInd w:w="0" w:type="dxa"/>
          <w:tblLayout w:type="fixed"/>
        </w:tblPrEx>
        <w:trPr>
          <w:trHeight w:hRule="exact" w:val="255"/>
        </w:trPr>
        <w:tc>
          <w:tcPr>
            <w:tcW w:w="718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ind w:left="135"/>
              <w:jc w:val="left"/>
            </w:pPr>
            <w:r>
              <w:rPr>
                <w:rFonts w:ascii="Times New Roman" w:eastAsia="Times New Roman" w:hAnsi="Times New Roman" w:cs="Times New Roman"/>
                <w:b w:val="0"/>
                <w:i w:val="0"/>
                <w:color w:val="000000"/>
                <w:sz w:val="20"/>
                <w:u w:val="none"/>
              </w:rPr>
              <w:t>Granted</w:t>
            </w: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67"/>
                <w:tab w:val="left" w:pos="1432"/>
              </w:tabs>
              <w:spacing w:before="75" w:after="30" w:line="240" w:lineRule="auto"/>
              <w:jc w:val="right"/>
            </w:pPr>
            <w:r>
              <w:rPr>
                <w:rFonts w:ascii="Times New Roman" w:eastAsia="Times New Roman" w:hAnsi="Times New Roman" w:cs="Times New Roman"/>
                <w:b w:val="0"/>
                <w:i w:val="0"/>
                <w:color w:val="000000"/>
                <w:sz w:val="20"/>
                <w:u w:val="none"/>
              </w:rPr>
              <w:tab/>
              <w:t>558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1017"/>
                <w:tab w:val="left" w:pos="1432"/>
              </w:tabs>
              <w:spacing w:before="75" w:after="30" w:line="240" w:lineRule="auto"/>
              <w:jc w:val="right"/>
            </w:pPr>
            <w:r>
              <w:rPr>
                <w:rFonts w:ascii="Times New Roman" w:eastAsia="Times New Roman" w:hAnsi="Times New Roman" w:cs="Times New Roman"/>
                <w:b w:val="0"/>
                <w:i w:val="0"/>
                <w:color w:val="000000"/>
                <w:sz w:val="20"/>
                <w:u w:val="none"/>
              </w:rPr>
              <w:tab/>
              <w:t>1.39</w:t>
              <w:tab/>
            </w:r>
          </w:p>
        </w:tc>
      </w:tr>
      <w:tr>
        <w:tblPrEx>
          <w:tblW w:w="10260" w:type="dxa"/>
          <w:tblInd w:w="0" w:type="dxa"/>
          <w:tblLayout w:type="fixed"/>
        </w:tblPrEx>
        <w:trPr>
          <w:trHeight w:hRule="exact" w:val="255"/>
        </w:trPr>
        <w:tc>
          <w:tcPr>
            <w:tcW w:w="718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ind w:left="135"/>
              <w:jc w:val="left"/>
            </w:pPr>
            <w:r>
              <w:rPr>
                <w:rFonts w:ascii="Times New Roman" w:eastAsia="Times New Roman" w:hAnsi="Times New Roman" w:cs="Times New Roman"/>
                <w:b w:val="0"/>
                <w:i w:val="0"/>
                <w:color w:val="000000"/>
                <w:sz w:val="20"/>
                <w:u w:val="none"/>
              </w:rPr>
              <w:t>Vested</w:t>
            </w:r>
          </w:p>
        </w:tc>
        <w:tc>
          <w:tcPr>
            <w:tcW w:w="15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981"/>
              </w:tabs>
              <w:spacing w:before="75" w:after="30" w:line="240" w:lineRule="auto"/>
              <w:jc w:val="right"/>
            </w:pPr>
            <w:r>
              <w:rPr>
                <w:rFonts w:ascii="Times New Roman" w:eastAsia="Times New Roman" w:hAnsi="Times New Roman" w:cs="Times New Roman"/>
                <w:b w:val="0"/>
                <w:i w:val="0"/>
                <w:color w:val="000000"/>
                <w:sz w:val="20"/>
                <w:u w:val="none"/>
              </w:rPr>
              <w:tab/>
              <w:t>(124)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17"/>
                <w:tab w:val="left" w:pos="1432"/>
              </w:tabs>
              <w:spacing w:before="75" w:after="30" w:line="240" w:lineRule="auto"/>
              <w:jc w:val="right"/>
            </w:pPr>
            <w:r>
              <w:rPr>
                <w:rFonts w:ascii="Times New Roman" w:eastAsia="Times New Roman" w:hAnsi="Times New Roman" w:cs="Times New Roman"/>
                <w:b w:val="0"/>
                <w:i w:val="0"/>
                <w:color w:val="000000"/>
                <w:sz w:val="20"/>
                <w:u w:val="none"/>
              </w:rPr>
              <w:tab/>
              <w:t>1.23</w:t>
              <w:tab/>
            </w:r>
          </w:p>
        </w:tc>
      </w:tr>
      <w:tr>
        <w:tblPrEx>
          <w:tblW w:w="10260" w:type="dxa"/>
          <w:tblInd w:w="0" w:type="dxa"/>
          <w:tblLayout w:type="fixed"/>
        </w:tblPrEx>
        <w:trPr>
          <w:trHeight w:hRule="exact" w:val="255"/>
        </w:trPr>
        <w:tc>
          <w:tcPr>
            <w:tcW w:w="7185" w:type="dxa"/>
            <w:tcBorders>
              <w:top w:val="nil"/>
              <w:left w:val="nil"/>
              <w:bottom w:val="nil"/>
              <w:right w:val="nil"/>
            </w:tcBorders>
            <w:shd w:val="clear" w:color="auto" w:fill="FFFFFF"/>
            <w:tcMar>
              <w:top w:w="0" w:type="dxa"/>
              <w:left w:w="53" w:type="dxa"/>
              <w:bottom w:w="0" w:type="dxa"/>
              <w:right w:w="53" w:type="dxa"/>
            </w:tcMar>
            <w:vAlign w:val="top"/>
          </w:tcPr>
          <w:p>
            <w:pPr>
              <w:pageBreakBefore w:val="0"/>
              <w:spacing w:before="55" w:after="30" w:line="240" w:lineRule="auto"/>
              <w:jc w:val="left"/>
            </w:pPr>
            <w:r>
              <w:rPr>
                <w:rFonts w:ascii="Times New Roman" w:eastAsia="Times New Roman" w:hAnsi="Times New Roman" w:cs="Times New Roman"/>
                <w:b w:val="0"/>
                <w:i w:val="0"/>
                <w:color w:val="000000"/>
                <w:sz w:val="20"/>
                <w:u w:val="none"/>
              </w:rPr>
              <w:t>Nonvested at June 30, 2026</w:t>
            </w:r>
          </w:p>
        </w:tc>
        <w:tc>
          <w:tcPr>
            <w:tcW w:w="1500"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917"/>
                <w:tab w:val="left" w:pos="1432"/>
              </w:tabs>
              <w:spacing w:before="55" w:after="30" w:line="240" w:lineRule="auto"/>
              <w:jc w:val="right"/>
            </w:pPr>
            <w:r>
              <w:rPr>
                <w:rFonts w:ascii="Times New Roman" w:eastAsia="Times New Roman" w:hAnsi="Times New Roman" w:cs="Times New Roman"/>
                <w:b w:val="0"/>
                <w:i w:val="0"/>
                <w:color w:val="000000"/>
                <w:sz w:val="20"/>
                <w:u w:val="none"/>
              </w:rPr>
              <w:tab/>
              <w:t>4,311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5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101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1.48</w:t>
              <w:tab/>
            </w:r>
          </w:p>
        </w:tc>
      </w:tr>
    </w:tbl>
    <w:p>
      <w:pPr>
        <w:keepNext/>
        <w:keepLines w:val="0"/>
        <w:pageBreakBefore w:val="0"/>
        <w:widowControl/>
        <w:numPr>
          <w:ilvl w:val="0"/>
          <w:numId w:val="0"/>
        </w:numPr>
        <w:spacing w:before="120" w:after="12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val="0"/>
          <w:color w:val="000000"/>
          <w:sz w:val="20"/>
          <w:u w:val="none"/>
        </w:rPr>
        <w:t xml:space="preserve">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we granted </w:t>
      </w:r>
      <w:r>
        <w:rPr>
          <w:rFonts w:ascii="Times New Roman" w:eastAsia="Times New Roman" w:hAnsi="Times New Roman" w:cs="Times New Roman"/>
          <w:b w:val="0"/>
          <w:i w:val="0"/>
          <w:color w:val="000000"/>
          <w:sz w:val="20"/>
          <w:u w:val="none"/>
        </w:rPr>
        <w:t>558,000</w:t>
      </w:r>
      <w:r>
        <w:rPr>
          <w:rFonts w:ascii="Times New Roman" w:eastAsia="Times New Roman" w:hAnsi="Times New Roman" w:cs="Times New Roman"/>
          <w:b w:val="0"/>
          <w:i w:val="0"/>
          <w:color w:val="000000"/>
          <w:sz w:val="20"/>
          <w:u w:val="none"/>
        </w:rPr>
        <w:t xml:space="preserve"> PSUs to certain executive officers, which vest, if at all, upon our achieving a specified relative total shareholder return, which will be measured against the total shareholder return of a specified index during the three-year performance period that ends December 31, </w:t>
      </w:r>
      <w:r>
        <w:rPr>
          <w:rFonts w:ascii="Times New Roman" w:eastAsia="Times New Roman" w:hAnsi="Times New Roman" w:cs="Times New Roman"/>
          <w:b w:val="0"/>
          <w:i w:val="0"/>
          <w:color w:val="000000"/>
          <w:sz w:val="20"/>
          <w:u w:val="none"/>
        </w:rPr>
        <w:t>2028</w:t>
      </w:r>
      <w:r>
        <w:rPr>
          <w:rFonts w:ascii="Times New Roman" w:eastAsia="Times New Roman" w:hAnsi="Times New Roman" w:cs="Times New Roman"/>
          <w:b w:val="0"/>
          <w:i w:val="0"/>
          <w:color w:val="000000"/>
          <w:sz w:val="20"/>
          <w:u w:val="none"/>
        </w:rPr>
        <w:t xml:space="preserve">.  </w:t>
      </w:r>
    </w:p>
    <w:p>
      <w:pPr>
        <w:keepNext w:val="0"/>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val="0"/>
          <w:i/>
          <w:color w:val="000000"/>
          <w:sz w:val="20"/>
          <w:highlight w:val="yellow"/>
          <w:u w:val="none"/>
        </w:rPr>
      </w:pPr>
      <w:r>
        <w:rPr>
          <w:rFonts w:ascii="Times New Roman" w:eastAsia="Times New Roman" w:hAnsi="Times New Roman" w:cs="Times New Roman"/>
          <w:b w:val="0"/>
          <w:i w:val="0"/>
          <w:color w:val="000000"/>
          <w:sz w:val="20"/>
          <w:u w:val="none"/>
        </w:rPr>
        <w:t xml:space="preserve">We estimated the grant date fair value of the PSU awards using the Monte Carlo simulation model, as the total shareholder return metric and changes in stock price are considered market conditions under ASC Topic 718, </w:t>
      </w:r>
      <w:r>
        <w:rPr>
          <w:rFonts w:ascii="Times New Roman" w:eastAsia="Times New Roman" w:hAnsi="Times New Roman" w:cs="Times New Roman"/>
          <w:b w:val="0"/>
          <w:i/>
          <w:color w:val="000000"/>
          <w:sz w:val="20"/>
          <w:u w:val="none"/>
        </w:rPr>
        <w:t xml:space="preserve">Compensation – </w:t>
      </w:r>
      <w:r>
        <w:rPr>
          <w:rFonts w:ascii="Times New Roman" w:eastAsia="Times New Roman" w:hAnsi="Times New Roman" w:cs="Times New Roman"/>
          <w:b w:val="0"/>
          <w:i/>
          <w:color w:val="000000"/>
          <w:sz w:val="20"/>
          <w:u w:val="none"/>
        </w:rPr>
        <w:t>S</w:t>
      </w:r>
      <w:r>
        <w:rPr>
          <w:rFonts w:ascii="Times New Roman" w:eastAsia="Times New Roman" w:hAnsi="Times New Roman" w:cs="Times New Roman"/>
          <w:b w:val="0"/>
          <w:i/>
          <w:color w:val="000000"/>
          <w:sz w:val="20"/>
          <w:u w:val="none"/>
        </w:rPr>
        <w:t xml:space="preserve">tock </w:t>
      </w:r>
      <w:r>
        <w:rPr>
          <w:rFonts w:ascii="Times New Roman" w:eastAsia="Times New Roman" w:hAnsi="Times New Roman" w:cs="Times New Roman"/>
          <w:b w:val="0"/>
          <w:i/>
          <w:color w:val="000000"/>
          <w:sz w:val="20"/>
          <w:u w:val="none"/>
        </w:rPr>
        <w:t>C</w:t>
      </w:r>
      <w:r>
        <w:rPr>
          <w:rFonts w:ascii="Times New Roman" w:eastAsia="Times New Roman" w:hAnsi="Times New Roman" w:cs="Times New Roman"/>
          <w:b w:val="0"/>
          <w:i/>
          <w:color w:val="000000"/>
          <w:sz w:val="20"/>
          <w:u w:val="none"/>
        </w:rPr>
        <w:t>ompensation</w:t>
      </w:r>
      <w:r>
        <w:rPr>
          <w:rFonts w:ascii="Times New Roman" w:eastAsia="Times New Roman" w:hAnsi="Times New Roman" w:cs="Times New Roman"/>
          <w:b w:val="0"/>
          <w:i w:val="0"/>
          <w:color w:val="000000"/>
          <w:sz w:val="20"/>
          <w:u w:val="none"/>
        </w:rPr>
        <w:t xml:space="preserve">.   </w:t>
      </w:r>
    </w:p>
    <w:p>
      <w:pPr>
        <w:keepNext w:val="0"/>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val="0"/>
          <w:i/>
          <w:color w:val="000000"/>
          <w:sz w:val="20"/>
          <w:u w:val="none"/>
        </w:rPr>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120" w:line="288" w:lineRule="auto"/>
        <w:ind w:left="0" w:right="0" w:firstLine="0"/>
        <w:jc w:val="left"/>
        <w:outlineLvl w:val="3"/>
        <w:rPr>
          <w:rFonts w:ascii="Times New Roman" w:eastAsia="Times New Roman" w:hAnsi="Times New Roman" w:cs="Times New Roman"/>
          <w:b/>
          <w:i w:val="0"/>
          <w:color w:val="000000"/>
          <w:sz w:val="20"/>
          <w:u w:val="none"/>
        </w:rPr>
      </w:pPr>
      <w:bookmarkStart w:id="23" w:name="Section25"/>
      <w:bookmarkEnd w:id="23"/>
      <w:r>
        <w:rPr>
          <w:rFonts w:ascii="Times New Roman" w:eastAsia="Times New Roman" w:hAnsi="Times New Roman" w:cs="Times New Roman"/>
          <w:b/>
          <w:i w:val="0"/>
          <w:color w:val="000000"/>
          <w:sz w:val="20"/>
          <w:u w:val="none"/>
        </w:rPr>
        <w:t>Note 15</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Accumulated Other Comprehensive Income (Loss)</w:t>
      </w:r>
      <w:r>
        <w:rPr>
          <w:rFonts w:ascii="Times New Roman" w:eastAsia="Times New Roman" w:hAnsi="Times New Roman" w:cs="Times New Roman"/>
          <w:b/>
          <w:i w:val="0"/>
          <w:color w:val="000000"/>
          <w:sz w:val="20"/>
          <w:u w:val="none"/>
        </w:rPr>
        <w:t xml:space="preserve"> </w:t>
      </w: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The following tables present the components of accumulated other comprehensive income (loss)</w:t>
      </w:r>
      <w:r>
        <w:rPr>
          <w:rFonts w:ascii="Times New Roman" w:eastAsia="Times New Roman" w:hAnsi="Times New Roman" w:cs="Times New Roman"/>
          <w:b w:val="0"/>
          <w:i w:val="0"/>
          <w:color w:val="000000"/>
          <w:sz w:val="20"/>
          <w:u w:val="none"/>
        </w:rPr>
        <w:t xml:space="preserve">. </w:t>
      </w:r>
    </w:p>
    <w:tbl>
      <w:tblPr>
        <w:tblStyle w:val="TableNormal0"/>
        <w:tblW w:w="10035" w:type="dxa"/>
        <w:jc w:val="left"/>
        <w:tblInd w:w="0" w:type="dxa"/>
        <w:tblLayout w:type="fixed"/>
      </w:tblPr>
      <w:tblGrid>
        <w:gridCol w:w="8835"/>
        <w:gridCol w:w="1200"/>
      </w:tblGrid>
      <w:tr>
        <w:tblPrEx>
          <w:tblW w:w="10035" w:type="dxa"/>
          <w:tblInd w:w="0" w:type="dxa"/>
          <w:tblLayout w:type="fixed"/>
        </w:tblPrEx>
        <w:trPr>
          <w:trHeight w:hRule="exact" w:val="585"/>
        </w:trPr>
        <w:tc>
          <w:tcPr>
            <w:tcW w:w="883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Foreign Currency Translation</w:t>
            </w:r>
          </w:p>
        </w:tc>
      </w:tr>
      <w:tr>
        <w:tblPrEx>
          <w:tblW w:w="10035" w:type="dxa"/>
          <w:tblInd w:w="0" w:type="dxa"/>
          <w:tblLayout w:type="fixed"/>
        </w:tblPrEx>
        <w:trPr>
          <w:trHeight w:hRule="exact" w:val="300"/>
        </w:trPr>
        <w:tc>
          <w:tcPr>
            <w:tcW w:w="88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Balance as of March 31, 2026</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31"/>
              </w:tabs>
              <w:spacing w:before="55" w:after="30" w:line="240" w:lineRule="auto"/>
              <w:jc w:val="right"/>
            </w:pPr>
            <w:r>
              <w:rPr>
                <w:rFonts w:ascii="Times New Roman" w:eastAsia="Times New Roman" w:hAnsi="Times New Roman" w:cs="Times New Roman"/>
                <w:b w:val="0"/>
                <w:i w:val="0"/>
                <w:color w:val="000000"/>
                <w:sz w:val="20"/>
                <w:u w:val="none"/>
              </w:rPr>
              <w:t>$</w:t>
              <w:tab/>
              <w:t>(37,032)</w:t>
            </w:r>
          </w:p>
        </w:tc>
      </w:tr>
      <w:tr>
        <w:tblPrEx>
          <w:tblW w:w="10035" w:type="dxa"/>
          <w:tblInd w:w="0" w:type="dxa"/>
          <w:tblLayout w:type="fixed"/>
        </w:tblPrEx>
        <w:trPr>
          <w:trHeight w:hRule="exact" w:val="300"/>
        </w:trPr>
        <w:tc>
          <w:tcPr>
            <w:tcW w:w="88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135"/>
              <w:jc w:val="left"/>
            </w:pPr>
            <w:r>
              <w:rPr>
                <w:rFonts w:ascii="Times New Roman" w:eastAsia="Times New Roman" w:hAnsi="Times New Roman" w:cs="Times New Roman"/>
                <w:b w:val="0"/>
                <w:i w:val="0"/>
                <w:color w:val="000000"/>
                <w:sz w:val="20"/>
                <w:u w:val="none"/>
              </w:rPr>
              <w:t>Other comprehensive income</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ab/>
              <w:t>1,213</w:t>
              <w:tab/>
            </w:r>
          </w:p>
        </w:tc>
      </w:tr>
      <w:tr>
        <w:tblPrEx>
          <w:tblW w:w="10035" w:type="dxa"/>
          <w:tblInd w:w="0" w:type="dxa"/>
          <w:tblLayout w:type="fixed"/>
        </w:tblPrEx>
        <w:trPr>
          <w:trHeight w:hRule="exact" w:val="300"/>
        </w:trPr>
        <w:tc>
          <w:tcPr>
            <w:tcW w:w="88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Balance as of June 30, 2026</w:t>
            </w: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431"/>
              </w:tabs>
              <w:spacing w:before="55" w:after="30" w:line="240" w:lineRule="auto"/>
              <w:jc w:val="right"/>
            </w:pPr>
            <w:r>
              <w:rPr>
                <w:rFonts w:ascii="Times New Roman" w:eastAsia="Times New Roman" w:hAnsi="Times New Roman" w:cs="Times New Roman"/>
                <w:b w:val="0"/>
                <w:i w:val="0"/>
                <w:color w:val="000000"/>
                <w:sz w:val="20"/>
                <w:u w:val="none"/>
              </w:rPr>
              <w:t>$</w:t>
              <w:tab/>
              <w:t>(35,819)</w:t>
            </w:r>
          </w:p>
        </w:tc>
      </w:tr>
      <w:tr>
        <w:tblPrEx>
          <w:tblW w:w="10035" w:type="dxa"/>
          <w:tblInd w:w="0" w:type="dxa"/>
          <w:tblLayout w:type="fixed"/>
        </w:tblPrEx>
        <w:trPr>
          <w:trHeight w:hRule="exact" w:val="300"/>
        </w:trPr>
        <w:tc>
          <w:tcPr>
            <w:tcW w:w="883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035" w:type="dxa"/>
          <w:tblInd w:w="0" w:type="dxa"/>
          <w:tblLayout w:type="fixed"/>
        </w:tblPrEx>
        <w:trPr>
          <w:trHeight w:hRule="exact" w:val="300"/>
        </w:trPr>
        <w:tc>
          <w:tcPr>
            <w:tcW w:w="883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Balance as of March 31, 2025</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31"/>
              </w:tabs>
              <w:spacing w:before="75" w:after="30" w:line="240" w:lineRule="auto"/>
              <w:jc w:val="right"/>
            </w:pPr>
            <w:r>
              <w:rPr>
                <w:rFonts w:ascii="Times New Roman" w:eastAsia="Times New Roman" w:hAnsi="Times New Roman" w:cs="Times New Roman"/>
                <w:b w:val="0"/>
                <w:i w:val="0"/>
                <w:color w:val="000000"/>
                <w:sz w:val="20"/>
                <w:u w:val="none"/>
              </w:rPr>
              <w:t>$</w:t>
              <w:tab/>
              <w:t>(45,042)</w:t>
            </w:r>
          </w:p>
        </w:tc>
      </w:tr>
      <w:tr>
        <w:tblPrEx>
          <w:tblW w:w="10035" w:type="dxa"/>
          <w:tblInd w:w="0" w:type="dxa"/>
          <w:tblLayout w:type="fixed"/>
        </w:tblPrEx>
        <w:trPr>
          <w:trHeight w:hRule="exact" w:val="300"/>
        </w:trPr>
        <w:tc>
          <w:tcPr>
            <w:tcW w:w="883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135"/>
              <w:jc w:val="left"/>
            </w:pPr>
            <w:r>
              <w:rPr>
                <w:rFonts w:ascii="Times New Roman" w:eastAsia="Times New Roman" w:hAnsi="Times New Roman" w:cs="Times New Roman"/>
                <w:b w:val="0"/>
                <w:i w:val="0"/>
                <w:color w:val="000000"/>
                <w:sz w:val="20"/>
                <w:u w:val="none"/>
              </w:rPr>
              <w:t>Other comprehensive income</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ab/>
              <w:t>4,454</w:t>
              <w:tab/>
            </w:r>
          </w:p>
        </w:tc>
      </w:tr>
      <w:tr>
        <w:tblPrEx>
          <w:tblW w:w="10035" w:type="dxa"/>
          <w:tblInd w:w="0" w:type="dxa"/>
          <w:tblLayout w:type="fixed"/>
        </w:tblPrEx>
        <w:trPr>
          <w:trHeight w:hRule="exact" w:val="300"/>
        </w:trPr>
        <w:tc>
          <w:tcPr>
            <w:tcW w:w="883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55" w:after="30" w:line="240" w:lineRule="auto"/>
              <w:jc w:val="left"/>
            </w:pPr>
            <w:r>
              <w:rPr>
                <w:rFonts w:ascii="Times New Roman" w:eastAsia="Times New Roman" w:hAnsi="Times New Roman" w:cs="Times New Roman"/>
                <w:b w:val="0"/>
                <w:i w:val="0"/>
                <w:color w:val="000000"/>
                <w:sz w:val="20"/>
                <w:u w:val="none"/>
              </w:rPr>
              <w:t>Balance as of June 30, 2025</w:t>
            </w: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431"/>
              </w:tabs>
              <w:spacing w:before="55" w:after="30" w:line="240" w:lineRule="auto"/>
              <w:jc w:val="right"/>
            </w:pPr>
            <w:r>
              <w:rPr>
                <w:rFonts w:ascii="Times New Roman" w:eastAsia="Times New Roman" w:hAnsi="Times New Roman" w:cs="Times New Roman"/>
                <w:b w:val="0"/>
                <w:i w:val="0"/>
                <w:color w:val="000000"/>
                <w:sz w:val="20"/>
                <w:u w:val="none"/>
              </w:rPr>
              <w:t>$</w:t>
              <w:tab/>
              <w:t>(40,588)</w:t>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tbl>
      <w:tblPr>
        <w:tblStyle w:val="TableNormal0"/>
        <w:tblW w:w="10020" w:type="dxa"/>
        <w:jc w:val="left"/>
        <w:tblInd w:w="0" w:type="dxa"/>
        <w:tblLayout w:type="fixed"/>
      </w:tblPr>
      <w:tblGrid>
        <w:gridCol w:w="8820"/>
        <w:gridCol w:w="1200"/>
      </w:tblGrid>
      <w:tr>
        <w:tblPrEx>
          <w:tblW w:w="10020" w:type="dxa"/>
          <w:tblInd w:w="0" w:type="dxa"/>
          <w:tblLayout w:type="fixed"/>
        </w:tblPrEx>
        <w:trPr>
          <w:trHeight w:hRule="exact" w:val="585"/>
        </w:trPr>
        <w:tc>
          <w:tcPr>
            <w:tcW w:w="882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Foreign Currency Translation</w:t>
            </w:r>
          </w:p>
        </w:tc>
      </w:tr>
      <w:tr>
        <w:tblPrEx>
          <w:tblW w:w="10020" w:type="dxa"/>
          <w:tblInd w:w="0" w:type="dxa"/>
          <w:tblLayout w:type="fixed"/>
        </w:tblPrEx>
        <w:trPr>
          <w:trHeight w:hRule="exact" w:val="300"/>
        </w:trPr>
        <w:tc>
          <w:tcPr>
            <w:tcW w:w="882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Balance as of December 31, 2025</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31"/>
              </w:tabs>
              <w:spacing w:before="55" w:after="30" w:line="240" w:lineRule="auto"/>
              <w:jc w:val="right"/>
            </w:pPr>
            <w:r>
              <w:rPr>
                <w:rFonts w:ascii="Times New Roman" w:eastAsia="Times New Roman" w:hAnsi="Times New Roman" w:cs="Times New Roman"/>
                <w:b w:val="0"/>
                <w:i w:val="0"/>
                <w:color w:val="000000"/>
                <w:sz w:val="20"/>
                <w:u w:val="none"/>
              </w:rPr>
              <w:t>$</w:t>
              <w:tab/>
              <w:t>(38,579)</w:t>
            </w:r>
          </w:p>
        </w:tc>
      </w:tr>
      <w:tr>
        <w:tblPrEx>
          <w:tblW w:w="10020" w:type="dxa"/>
          <w:tblInd w:w="0" w:type="dxa"/>
          <w:tblLayout w:type="fixed"/>
        </w:tblPrEx>
        <w:trPr>
          <w:trHeight w:hRule="exact" w:val="300"/>
        </w:trPr>
        <w:tc>
          <w:tcPr>
            <w:tcW w:w="882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135"/>
              <w:jc w:val="left"/>
            </w:pPr>
            <w:r>
              <w:rPr>
                <w:rFonts w:ascii="Times New Roman" w:eastAsia="Times New Roman" w:hAnsi="Times New Roman" w:cs="Times New Roman"/>
                <w:b w:val="0"/>
                <w:i w:val="0"/>
                <w:color w:val="000000"/>
                <w:sz w:val="20"/>
                <w:u w:val="none"/>
              </w:rPr>
              <w:t>Other comprehensive income</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ab/>
              <w:t>2,760</w:t>
              <w:tab/>
            </w:r>
          </w:p>
        </w:tc>
      </w:tr>
      <w:tr>
        <w:tblPrEx>
          <w:tblW w:w="10020" w:type="dxa"/>
          <w:tblInd w:w="0" w:type="dxa"/>
          <w:tblLayout w:type="fixed"/>
        </w:tblPrEx>
        <w:trPr>
          <w:trHeight w:hRule="exact" w:val="300"/>
        </w:trPr>
        <w:tc>
          <w:tcPr>
            <w:tcW w:w="882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Balance as of June 30, 2026</w:t>
            </w: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keepNext/>
              <w:pageBreakBefore w:val="0"/>
              <w:tabs>
                <w:tab w:val="left" w:pos="431"/>
              </w:tabs>
              <w:spacing w:before="55" w:after="30" w:line="240" w:lineRule="auto"/>
              <w:jc w:val="right"/>
            </w:pPr>
            <w:r>
              <w:rPr>
                <w:rFonts w:ascii="Times New Roman" w:eastAsia="Times New Roman" w:hAnsi="Times New Roman" w:cs="Times New Roman"/>
                <w:b w:val="0"/>
                <w:i w:val="0"/>
                <w:color w:val="000000"/>
                <w:sz w:val="20"/>
                <w:u w:val="none"/>
              </w:rPr>
              <w:t>$</w:t>
              <w:tab/>
              <w:t>(35,819)</w:t>
            </w:r>
          </w:p>
        </w:tc>
      </w:tr>
      <w:tr>
        <w:tblPrEx>
          <w:tblW w:w="10020" w:type="dxa"/>
          <w:tblInd w:w="0" w:type="dxa"/>
          <w:tblLayout w:type="fixed"/>
        </w:tblPrEx>
        <w:trPr>
          <w:trHeight w:hRule="exact" w:val="300"/>
        </w:trPr>
        <w:tc>
          <w:tcPr>
            <w:tcW w:w="8820"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doub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r>
      <w:tr>
        <w:tblPrEx>
          <w:tblW w:w="10020" w:type="dxa"/>
          <w:tblInd w:w="0" w:type="dxa"/>
          <w:tblLayout w:type="fixed"/>
        </w:tblPrEx>
        <w:trPr>
          <w:trHeight w:hRule="exact" w:val="300"/>
        </w:trPr>
        <w:tc>
          <w:tcPr>
            <w:tcW w:w="8820"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Balance as of December 31, 2024</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431"/>
              </w:tabs>
              <w:spacing w:before="75" w:after="30" w:line="240" w:lineRule="auto"/>
              <w:jc w:val="right"/>
            </w:pPr>
            <w:r>
              <w:rPr>
                <w:rFonts w:ascii="Times New Roman" w:eastAsia="Times New Roman" w:hAnsi="Times New Roman" w:cs="Times New Roman"/>
                <w:b w:val="0"/>
                <w:i w:val="0"/>
                <w:color w:val="000000"/>
                <w:sz w:val="20"/>
                <w:u w:val="none"/>
              </w:rPr>
              <w:t>$</w:t>
              <w:tab/>
              <w:t>(48,167)</w:t>
            </w:r>
          </w:p>
        </w:tc>
      </w:tr>
      <w:tr>
        <w:tblPrEx>
          <w:tblW w:w="10020" w:type="dxa"/>
          <w:tblInd w:w="0" w:type="dxa"/>
          <w:tblLayout w:type="fixed"/>
        </w:tblPrEx>
        <w:trPr>
          <w:trHeight w:hRule="exact" w:val="300"/>
        </w:trPr>
        <w:tc>
          <w:tcPr>
            <w:tcW w:w="882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135"/>
              <w:jc w:val="left"/>
            </w:pPr>
            <w:r>
              <w:rPr>
                <w:rFonts w:ascii="Times New Roman" w:eastAsia="Times New Roman" w:hAnsi="Times New Roman" w:cs="Times New Roman"/>
                <w:b w:val="0"/>
                <w:i w:val="0"/>
                <w:color w:val="000000"/>
                <w:sz w:val="20"/>
                <w:u w:val="none"/>
              </w:rPr>
              <w:t>Other comprehensive income</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ab/>
              <w:t>7,579</w:t>
              <w:tab/>
            </w:r>
          </w:p>
        </w:tc>
      </w:tr>
      <w:tr>
        <w:tblPrEx>
          <w:tblW w:w="10020" w:type="dxa"/>
          <w:tblInd w:w="0" w:type="dxa"/>
          <w:tblLayout w:type="fixed"/>
        </w:tblPrEx>
        <w:trPr>
          <w:trHeight w:hRule="exact" w:val="300"/>
        </w:trPr>
        <w:tc>
          <w:tcPr>
            <w:tcW w:w="8820"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55" w:after="30" w:line="240" w:lineRule="auto"/>
              <w:jc w:val="left"/>
            </w:pPr>
            <w:r>
              <w:rPr>
                <w:rFonts w:ascii="Times New Roman" w:eastAsia="Times New Roman" w:hAnsi="Times New Roman" w:cs="Times New Roman"/>
                <w:b w:val="0"/>
                <w:i w:val="0"/>
                <w:color w:val="000000"/>
                <w:sz w:val="20"/>
                <w:u w:val="none"/>
              </w:rPr>
              <w:t>Balance as of June 30, 2025</w:t>
            </w: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431"/>
              </w:tabs>
              <w:spacing w:before="55" w:after="30" w:line="240" w:lineRule="auto"/>
              <w:jc w:val="right"/>
            </w:pPr>
            <w:r>
              <w:rPr>
                <w:rFonts w:ascii="Times New Roman" w:eastAsia="Times New Roman" w:hAnsi="Times New Roman" w:cs="Times New Roman"/>
                <w:b w:val="0"/>
                <w:i w:val="0"/>
                <w:color w:val="000000"/>
                <w:sz w:val="20"/>
                <w:u w:val="none"/>
              </w:rPr>
              <w:t>$</w:t>
              <w:tab/>
              <w:t>(40,588)</w:t>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
          <w:u w:val="none"/>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
          <w:u w:val="none"/>
        </w:rPr>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0" w:right="0" w:firstLine="0"/>
        <w:jc w:val="left"/>
        <w:outlineLvl w:val="3"/>
        <w:rPr>
          <w:rFonts w:ascii="Times New Roman" w:eastAsia="Times New Roman" w:hAnsi="Times New Roman" w:cs="Times New Roman"/>
          <w:b/>
          <w:i w:val="0"/>
          <w:color w:val="000000"/>
          <w:sz w:val="20"/>
          <w:u w:val="none"/>
        </w:rPr>
      </w:pPr>
      <w:bookmarkStart w:id="24" w:name="Section26"/>
      <w:bookmarkEnd w:id="24"/>
      <w:r>
        <w:rPr>
          <w:rFonts w:ascii="Times New Roman" w:eastAsia="Times New Roman" w:hAnsi="Times New Roman" w:cs="Times New Roman"/>
          <w:b/>
          <w:i w:val="0"/>
          <w:color w:val="000000"/>
          <w:sz w:val="20"/>
          <w:u w:val="none"/>
        </w:rPr>
        <w:t>Note 16</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Fair Value Measurements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Fair value is an exit price representing the expected amount that an entity would receive to sell an asset or pay to transfer a liability in an orderly transaction with market participants at the measurement date. We followed consistent methods and assumptions to estimate fair values as more fully described in the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xml:space="preserve"> Annual Report.</w:t>
      </w:r>
    </w:p>
    <w:p>
      <w:pPr>
        <w:pStyle w:val="Subheading"/>
        <w:keepNext/>
        <w:keepLines w:val="0"/>
        <w:pageBreakBefore w:val="0"/>
        <w:widowControl/>
        <w:numPr>
          <w:ilvl w:val="0"/>
          <w:numId w:val="0"/>
        </w:numPr>
        <w:spacing w:before="18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Embedded Derivatives</w:t>
      </w:r>
    </w:p>
    <w:p>
      <w:pPr>
        <w:keepNext/>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In accordance with ASC 815-15, </w:t>
      </w:r>
      <w:r>
        <w:rPr>
          <w:rFonts w:ascii="Times New Roman" w:eastAsia="Times New Roman" w:hAnsi="Times New Roman" w:cs="Times New Roman"/>
          <w:b w:val="0"/>
          <w:i/>
          <w:color w:val="000000"/>
          <w:sz w:val="20"/>
          <w:u w:val="none"/>
        </w:rPr>
        <w:t>Derivatives and Hedging - Embedded Derivatives</w:t>
      </w:r>
      <w:r>
        <w:rPr>
          <w:rFonts w:ascii="Times New Roman" w:eastAsia="Times New Roman" w:hAnsi="Times New Roman" w:cs="Times New Roman"/>
          <w:b w:val="0"/>
          <w:i w:val="0"/>
          <w:color w:val="000000"/>
          <w:sz w:val="20"/>
          <w:u w:val="none"/>
        </w:rPr>
        <w:t>, certain features of our preferred stock and long-term debt were bifurcated and accounted for as derivatives separately.</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highlight w:val="yellow"/>
          <w:u w:val="none"/>
        </w:rPr>
      </w:pPr>
      <w:r>
        <w:rPr>
          <w:rFonts w:ascii="Times New Roman" w:eastAsia="Times New Roman" w:hAnsi="Times New Roman" w:cs="Times New Roman"/>
          <w:b w:val="0"/>
          <w:i w:val="0"/>
          <w:color w:val="000000"/>
          <w:sz w:val="20"/>
          <w:u w:val="none"/>
        </w:rPr>
        <w:t xml:space="preserve">In conjunction with an amendment to our 2021 </w:t>
      </w:r>
      <w:r>
        <w:rPr>
          <w:rFonts w:ascii="Times New Roman" w:eastAsia="Times New Roman" w:hAnsi="Times New Roman" w:cs="Times New Roman"/>
          <w:b w:val="0"/>
          <w:i w:val="0"/>
          <w:color w:val="000000"/>
          <w:sz w:val="20"/>
          <w:u w:val="none"/>
        </w:rPr>
        <w:t>Term Loan in 2023</w:t>
      </w:r>
      <w:r>
        <w:rPr>
          <w:rFonts w:ascii="Times New Roman" w:eastAsia="Times New Roman" w:hAnsi="Times New Roman" w:cs="Times New Roman"/>
          <w:b w:val="0"/>
          <w:i w:val="0"/>
          <w:color w:val="000000"/>
          <w:sz w:val="20"/>
          <w:u w:val="none"/>
        </w:rPr>
        <w:t xml:space="preserve">, we issued warrants to purchase up to </w:t>
      </w:r>
      <w:r>
        <w:rPr>
          <w:rFonts w:ascii="Times New Roman" w:eastAsia="Times New Roman" w:hAnsi="Times New Roman" w:cs="Times New Roman"/>
          <w:b w:val="0"/>
          <w:i w:val="0"/>
          <w:color w:val="000000"/>
          <w:sz w:val="20"/>
          <w:u w:val="none"/>
        </w:rPr>
        <w:t>2.0 million</w:t>
      </w:r>
      <w:r>
        <w:rPr>
          <w:rFonts w:ascii="Times New Roman" w:eastAsia="Times New Roman" w:hAnsi="Times New Roman" w:cs="Times New Roman"/>
          <w:b w:val="0"/>
          <w:i w:val="0"/>
          <w:color w:val="000000"/>
          <w:sz w:val="20"/>
          <w:u w:val="none"/>
        </w:rPr>
        <w:t xml:space="preserve"> shares of our common stock at an exercise price of </w:t>
      </w:r>
      <w:r>
        <w:rPr>
          <w:rFonts w:ascii="Times New Roman" w:eastAsia="Times New Roman" w:hAnsi="Times New Roman" w:cs="Times New Roman"/>
          <w:b w:val="0"/>
          <w:i w:val="0"/>
          <w:color w:val="000000"/>
          <w:sz w:val="20"/>
          <w:u w:val="none"/>
        </w:rPr>
        <w:t>$0.01</w:t>
      </w:r>
      <w:r>
        <w:rPr>
          <w:rFonts w:ascii="Times New Roman" w:eastAsia="Times New Roman" w:hAnsi="Times New Roman" w:cs="Times New Roman"/>
          <w:b w:val="0"/>
          <w:i w:val="0"/>
          <w:color w:val="000000"/>
          <w:sz w:val="20"/>
          <w:u w:val="none"/>
        </w:rPr>
        <w:t xml:space="preserve"> per share (the “2023 Warrants”).  The 2023 Warrants </w:t>
      </w:r>
      <w:r>
        <w:rPr>
          <w:rFonts w:ascii="Times New Roman" w:eastAsia="Times New Roman" w:hAnsi="Times New Roman" w:cs="Times New Roman"/>
          <w:b w:val="0"/>
          <w:i w:val="0"/>
          <w:color w:val="000000"/>
          <w:sz w:val="20"/>
          <w:u w:val="none"/>
        </w:rPr>
        <w:t>were</w:t>
      </w:r>
      <w:r>
        <w:rPr>
          <w:rFonts w:ascii="Times New Roman" w:eastAsia="Times New Roman" w:hAnsi="Times New Roman" w:cs="Times New Roman"/>
          <w:b w:val="0"/>
          <w:i w:val="0"/>
          <w:color w:val="000000"/>
          <w:sz w:val="20"/>
          <w:u w:val="none"/>
        </w:rPr>
        <w:t xml:space="preserve"> exercisable, in full or in part, at any time prior to June 30, 2033.  The 2023 Warrants include</w:t>
      </w:r>
      <w:r>
        <w:rPr>
          <w:rFonts w:ascii="Times New Roman" w:eastAsia="Times New Roman" w:hAnsi="Times New Roman" w:cs="Times New Roman"/>
          <w:b w:val="0"/>
          <w:i w:val="0"/>
          <w:color w:val="000000"/>
          <w:sz w:val="20"/>
          <w:u w:val="none"/>
        </w:rPr>
        <w:t>d</w:t>
      </w:r>
      <w:r>
        <w:rPr>
          <w:rFonts w:ascii="Times New Roman" w:eastAsia="Times New Roman" w:hAnsi="Times New Roman" w:cs="Times New Roman"/>
          <w:b w:val="0"/>
          <w:i w:val="0"/>
          <w:color w:val="000000"/>
          <w:sz w:val="20"/>
          <w:u w:val="none"/>
        </w:rPr>
        <w:t xml:space="preserve"> anti-dilution adjustments in the event of certain future equity issuances, stock splits, stock dividends, combinations or similar events.  </w:t>
      </w:r>
      <w:r>
        <w:rPr>
          <w:rFonts w:ascii="Times New Roman" w:eastAsia="Times New Roman" w:hAnsi="Times New Roman" w:cs="Times New Roman"/>
          <w:b w:val="0"/>
          <w:i w:val="0"/>
          <w:color w:val="000000"/>
          <w:sz w:val="20"/>
          <w:u w:val="none"/>
        </w:rPr>
        <w:t>During</w:t>
      </w:r>
      <w:r>
        <w:rPr>
          <w:rFonts w:ascii="Times New Roman" w:eastAsia="Times New Roman" w:hAnsi="Times New Roman" w:cs="Times New Roman"/>
          <w:b w:val="0"/>
          <w:i w:val="0"/>
          <w:color w:val="000000"/>
          <w:sz w:val="20"/>
          <w:u w:val="none"/>
        </w:rPr>
        <w:t xml:space="preserve"> the </w:t>
      </w:r>
      <w:r>
        <w:rPr>
          <w:rFonts w:ascii="Times New Roman" w:eastAsia="Times New Roman" w:hAnsi="Times New Roman" w:cs="Times New Roman"/>
          <w:b w:val="0"/>
          <w:i w:val="0"/>
          <w:color w:val="000000"/>
          <w:sz w:val="20"/>
          <w:u w:val="none"/>
        </w:rPr>
        <w:t>six</w:t>
      </w:r>
      <w:r>
        <w:rPr>
          <w:rFonts w:ascii="Times New Roman" w:eastAsia="Times New Roman" w:hAnsi="Times New Roman" w:cs="Times New Roman"/>
          <w:b w:val="0"/>
          <w:i w:val="0"/>
          <w:color w:val="000000"/>
          <w:sz w:val="20"/>
          <w:u w:val="none"/>
        </w:rPr>
        <w:t xml:space="preserv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1,455,000</w:t>
      </w:r>
      <w:r>
        <w:rPr>
          <w:rFonts w:ascii="Times New Roman" w:eastAsia="Times New Roman" w:hAnsi="Times New Roman" w:cs="Times New Roman"/>
          <w:b w:val="0"/>
          <w:i w:val="0"/>
          <w:color w:val="000000"/>
          <w:sz w:val="20"/>
          <w:u w:val="none"/>
        </w:rPr>
        <w:t xml:space="preserve"> of the 2023 Warrants </w:t>
      </w:r>
      <w:r>
        <w:rPr>
          <w:rFonts w:ascii="Times New Roman" w:eastAsia="Times New Roman" w:hAnsi="Times New Roman" w:cs="Times New Roman"/>
          <w:b w:val="0"/>
          <w:i w:val="0"/>
          <w:color w:val="000000"/>
          <w:sz w:val="20"/>
          <w:u w:val="none"/>
        </w:rPr>
        <w:t>have been</w:t>
      </w:r>
      <w:r>
        <w:rPr>
          <w:rFonts w:ascii="Times New Roman" w:eastAsia="Times New Roman" w:hAnsi="Times New Roman" w:cs="Times New Roman"/>
          <w:b w:val="0"/>
          <w:i w:val="0"/>
          <w:color w:val="000000"/>
          <w:sz w:val="20"/>
          <w:u w:val="none"/>
        </w:rPr>
        <w:t xml:space="preserve"> exercised on a cashless basis</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 xml:space="preserve">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none</w:t>
      </w:r>
      <w:r>
        <w:rPr>
          <w:rFonts w:ascii="Times New Roman" w:eastAsia="Times New Roman" w:hAnsi="Times New Roman" w:cs="Times New Roman"/>
          <w:b w:val="0"/>
          <w:i w:val="0"/>
          <w:color w:val="000000"/>
          <w:sz w:val="20"/>
          <w:u w:val="none"/>
        </w:rPr>
        <w:t xml:space="preserve"> of the 2023 Warrants remain outstanding.</w:t>
      </w:r>
    </w:p>
    <w:p>
      <w:pPr>
        <w:keepNext/>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trike/>
          <w:color w:val="000000"/>
          <w:sz w:val="20"/>
          <w:highlight w:val="yellow"/>
          <w:u w:val="none"/>
        </w:rPr>
      </w:pPr>
      <w:r>
        <w:rPr>
          <w:rFonts w:ascii="Times New Roman" w:eastAsia="Times New Roman" w:hAnsi="Times New Roman" w:cs="Times New Roman"/>
          <w:b w:val="0"/>
          <w:i w:val="0"/>
          <w:color w:val="000000"/>
          <w:sz w:val="20"/>
          <w:u w:val="none"/>
        </w:rPr>
        <w:t xml:space="preserve">In conjunction with our placement of </w:t>
      </w:r>
      <w:r>
        <w:rPr>
          <w:rFonts w:ascii="Times New Roman" w:eastAsia="Times New Roman" w:hAnsi="Times New Roman" w:cs="Times New Roman"/>
          <w:b w:val="0"/>
          <w:i w:val="0"/>
          <w:color w:val="000000"/>
          <w:sz w:val="20"/>
          <w:u w:val="none"/>
        </w:rPr>
        <w:t xml:space="preserve">the </w:t>
      </w:r>
      <w:r>
        <w:rPr>
          <w:rFonts w:ascii="Times New Roman" w:eastAsia="Times New Roman" w:hAnsi="Times New Roman" w:cs="Times New Roman"/>
          <w:b w:val="0"/>
          <w:i w:val="0"/>
          <w:color w:val="000000"/>
          <w:sz w:val="20"/>
          <w:u w:val="none"/>
        </w:rPr>
        <w:t>Series B Preferred Stock in 2019, we issued</w:t>
      </w:r>
      <w:r>
        <w:rPr>
          <w:rFonts w:ascii="Times New Roman" w:eastAsia="Times New Roman" w:hAnsi="Times New Roman" w:cs="Times New Roman"/>
          <w:b w:val="0"/>
          <w:i w:val="0"/>
          <w:color w:val="000000"/>
          <w:sz w:val="20"/>
          <w:u w:val="none"/>
        </w:rPr>
        <w:t xml:space="preserve"> warrants to purchase up to </w:t>
      </w:r>
      <w:r>
        <w:rPr>
          <w:rFonts w:ascii="Times New Roman" w:eastAsia="Times New Roman" w:hAnsi="Times New Roman" w:cs="Times New Roman"/>
          <w:b w:val="0"/>
          <w:i w:val="0"/>
          <w:color w:val="000000"/>
          <w:sz w:val="20"/>
          <w:u w:val="none"/>
        </w:rPr>
        <w:t>1.5 million</w:t>
      </w:r>
      <w:r>
        <w:rPr>
          <w:rFonts w:ascii="Times New Roman" w:eastAsia="Times New Roman" w:hAnsi="Times New Roman" w:cs="Times New Roman"/>
          <w:b w:val="0"/>
          <w:i w:val="0"/>
          <w:color w:val="000000"/>
          <w:sz w:val="20"/>
          <w:u w:val="none"/>
        </w:rPr>
        <w:t xml:space="preserve"> shares of our common stock (the “2019 Warrants”).  The 2019 Warrants, are exercisable, in full or in part, at any time prior to December 11, 2026, at an exercise price of </w:t>
      </w:r>
      <w:r>
        <w:rPr>
          <w:rFonts w:ascii="Times New Roman" w:eastAsia="Times New Roman" w:hAnsi="Times New Roman" w:cs="Times New Roman"/>
          <w:b w:val="0"/>
          <w:i w:val="0"/>
          <w:color w:val="000000"/>
          <w:sz w:val="20"/>
          <w:u w:val="none"/>
        </w:rPr>
        <w:t>$11.03</w:t>
      </w:r>
      <w:r>
        <w:rPr>
          <w:rFonts w:ascii="Times New Roman" w:eastAsia="Times New Roman" w:hAnsi="Times New Roman" w:cs="Times New Roman"/>
          <w:b w:val="0"/>
          <w:i w:val="0"/>
          <w:color w:val="000000"/>
          <w:sz w:val="20"/>
          <w:u w:val="none"/>
        </w:rPr>
        <w:t xml:space="preserve"> per share, and are subject to anti-dilution adjustments in the event of future below market issuances, stock splits, stock dividends, combinations or similar events.</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During the </w:t>
      </w:r>
      <w:r>
        <w:rPr>
          <w:rFonts w:ascii="Times New Roman" w:eastAsia="Times New Roman" w:hAnsi="Times New Roman" w:cs="Times New Roman"/>
          <w:b w:val="0"/>
          <w:i w:val="0"/>
          <w:color w:val="000000"/>
          <w:sz w:val="20"/>
          <w:u w:val="none"/>
        </w:rPr>
        <w:t>six</w:t>
      </w:r>
      <w:r>
        <w:rPr>
          <w:rFonts w:ascii="Times New Roman" w:eastAsia="Times New Roman" w:hAnsi="Times New Roman" w:cs="Times New Roman"/>
          <w:b w:val="0"/>
          <w:i w:val="0"/>
          <w:color w:val="000000"/>
          <w:sz w:val="20"/>
          <w:u w:val="none"/>
        </w:rPr>
        <w:t xml:space="preserve"> months ended </w:t>
      </w:r>
      <w:r>
        <w:rPr>
          <w:rFonts w:ascii="Times New Roman" w:eastAsia="Times New Roman" w:hAnsi="Times New Roman" w:cs="Times New Roman"/>
          <w:b w:val="0"/>
          <w:i w:val="0"/>
          <w:color w:val="000000"/>
          <w:sz w:val="20"/>
          <w:u w:val="none"/>
        </w:rPr>
        <w:t>June</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30</w:t>
      </w:r>
      <w:r>
        <w:rPr>
          <w:rFonts w:ascii="Times New Roman" w:eastAsia="Times New Roman" w:hAnsi="Times New Roman" w:cs="Times New Roman"/>
          <w:b w:val="0"/>
          <w:i w:val="0"/>
          <w:color w:val="000000"/>
          <w:sz w:val="20"/>
          <w:u w:val="none"/>
        </w:rPr>
        <w:t xml:space="preserve">, 2026, a portion of the 2019 Warrants were cancelled resulting in a decrease of </w:t>
      </w:r>
      <w:r>
        <w:rPr>
          <w:rFonts w:ascii="Times New Roman" w:eastAsia="Times New Roman" w:hAnsi="Times New Roman" w:cs="Times New Roman"/>
          <w:b w:val="0"/>
          <w:i w:val="0"/>
          <w:color w:val="000000"/>
          <w:sz w:val="20"/>
          <w:u w:val="none"/>
        </w:rPr>
        <w:t>285,000</w:t>
      </w:r>
      <w:r>
        <w:rPr>
          <w:rFonts w:ascii="Times New Roman" w:eastAsia="Times New Roman" w:hAnsi="Times New Roman" w:cs="Times New Roman"/>
          <w:b w:val="0"/>
          <w:i w:val="0"/>
          <w:color w:val="000000"/>
          <w:sz w:val="20"/>
          <w:u w:val="none"/>
        </w:rPr>
        <w:t xml:space="preserve"> exercisable shares. </w:t>
      </w:r>
    </w:p>
    <w:p>
      <w:pPr>
        <w:keepNext/>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u w:val="none"/>
        </w:rPr>
      </w:pPr>
    </w:p>
    <w:p>
      <w:pPr>
        <w:keepNext/>
        <w:keepLines/>
        <w:pageBreakBefore w:val="0"/>
        <w:widowControl w:val="0"/>
        <w:numPr>
          <w:ilvl w:val="0"/>
          <w:numId w:val="0"/>
        </w:numPr>
        <w:spacing w:before="0" w:after="60" w:line="288" w:lineRule="auto"/>
        <w:ind w:left="0" w:right="0" w:firstLine="0"/>
        <w:jc w:val="left"/>
        <w:outlineLvl w:val="9"/>
        <w:rPr>
          <w:rFonts w:ascii="Times New Roman" w:eastAsia="Times New Roman" w:hAnsi="Times New Roman" w:cs="Times New Roman"/>
          <w:b w:val="0"/>
          <w:i w:val="0"/>
          <w:color w:val="000000"/>
          <w:sz w:val="20"/>
          <w:highlight w:val="yellow"/>
          <w:u w:val="none"/>
        </w:rPr>
      </w:pPr>
      <w:r>
        <w:rPr>
          <w:rFonts w:ascii="Times New Roman" w:eastAsia="Times New Roman" w:hAnsi="Times New Roman" w:cs="Times New Roman"/>
          <w:b w:val="0"/>
          <w:i w:val="0"/>
          <w:color w:val="000000"/>
          <w:sz w:val="20"/>
          <w:u w:val="none"/>
        </w:rPr>
        <w:t xml:space="preserve">The following table presents the change in the liability balance of the embedded derivatives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w:t>
      </w:r>
    </w:p>
    <w:tbl>
      <w:tblPr>
        <w:tblStyle w:val="TableNormal0"/>
        <w:tblW w:w="10260" w:type="dxa"/>
        <w:jc w:val="left"/>
        <w:tblInd w:w="0" w:type="dxa"/>
        <w:tblLayout w:type="fixed"/>
      </w:tblPr>
      <w:tblGrid>
        <w:gridCol w:w="8955"/>
        <w:gridCol w:w="1305"/>
      </w:tblGrid>
      <w:tr>
        <w:tblPrEx>
          <w:tblW w:w="10260" w:type="dxa"/>
          <w:tblInd w:w="0" w:type="dxa"/>
          <w:tblLayout w:type="fixed"/>
        </w:tblPrEx>
        <w:trPr>
          <w:trHeight w:hRule="exact" w:val="285"/>
        </w:trPr>
        <w:tc>
          <w:tcPr>
            <w:tcW w:w="895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Balance as of December 31, 2025</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w:t>
              <w:tab/>
              <w:t>1,868</w:t>
              <w:tab/>
            </w:r>
          </w:p>
        </w:tc>
      </w:tr>
      <w:tr>
        <w:tblPrEx>
          <w:tblW w:w="10260" w:type="dxa"/>
          <w:tblInd w:w="0" w:type="dxa"/>
          <w:tblLayout w:type="fixed"/>
        </w:tblPrEx>
        <w:trPr>
          <w:trHeight w:hRule="exact" w:val="300"/>
        </w:trPr>
        <w:tc>
          <w:tcPr>
            <w:tcW w:w="895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Change in fair value (1)</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250</w:t>
              <w:tab/>
            </w:r>
          </w:p>
        </w:tc>
      </w:tr>
      <w:tr>
        <w:tblPrEx>
          <w:tblW w:w="10260" w:type="dxa"/>
          <w:tblInd w:w="0" w:type="dxa"/>
          <w:tblLayout w:type="fixed"/>
        </w:tblPrEx>
        <w:trPr>
          <w:trHeight w:hRule="exact" w:val="300"/>
        </w:trPr>
        <w:tc>
          <w:tcPr>
            <w:tcW w:w="895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Settlements</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36"/>
              </w:tabs>
              <w:spacing w:before="75" w:after="30" w:line="240" w:lineRule="auto"/>
              <w:jc w:val="right"/>
            </w:pPr>
            <w:r>
              <w:rPr>
                <w:rFonts w:ascii="Times New Roman" w:eastAsia="Times New Roman" w:hAnsi="Times New Roman" w:cs="Times New Roman"/>
                <w:b w:val="0"/>
                <w:i w:val="0"/>
                <w:color w:val="000000"/>
                <w:sz w:val="20"/>
                <w:u w:val="none"/>
              </w:rPr>
              <w:tab/>
              <w:t>(2,110)</w:t>
            </w:r>
          </w:p>
        </w:tc>
      </w:tr>
      <w:tr>
        <w:tblPrEx>
          <w:tblW w:w="10260" w:type="dxa"/>
          <w:tblInd w:w="0" w:type="dxa"/>
          <w:tblLayout w:type="fixed"/>
        </w:tblPrEx>
        <w:trPr>
          <w:trHeight w:hRule="exact" w:val="300"/>
        </w:trPr>
        <w:tc>
          <w:tcPr>
            <w:tcW w:w="8955" w:type="dxa"/>
            <w:tcBorders>
              <w:top w:val="nil"/>
              <w:left w:val="nil"/>
              <w:bottom w:val="nil"/>
              <w:right w:val="nil"/>
            </w:tcBorders>
            <w:shd w:val="clear" w:color="auto" w:fill="FFFFFF"/>
            <w:tcMar>
              <w:top w:w="0" w:type="dxa"/>
              <w:left w:w="53" w:type="dxa"/>
              <w:bottom w:w="0" w:type="dxa"/>
              <w:right w:w="53" w:type="dxa"/>
            </w:tcMar>
            <w:vAlign w:val="bottom"/>
          </w:tcPr>
          <w:p>
            <w:pPr>
              <w:pageBreakBefore w:val="0"/>
              <w:spacing w:before="55" w:after="30" w:line="240" w:lineRule="auto"/>
              <w:jc w:val="left"/>
            </w:pPr>
            <w:r>
              <w:rPr>
                <w:rFonts w:ascii="Times New Roman" w:eastAsia="Times New Roman" w:hAnsi="Times New Roman" w:cs="Times New Roman"/>
                <w:b w:val="0"/>
                <w:i w:val="0"/>
                <w:color w:val="000000"/>
                <w:sz w:val="20"/>
                <w:u w:val="none"/>
              </w:rPr>
              <w:t>Balance as of June 30, 2026</w:t>
            </w:r>
          </w:p>
        </w:tc>
        <w:tc>
          <w:tcPr>
            <w:tcW w:w="1305" w:type="dxa"/>
            <w:tcBorders>
              <w:top w:val="single" w:sz="8" w:space="0" w:color="000000"/>
              <w:left w:val="nil"/>
              <w:bottom w:val="double" w:sz="8" w:space="0" w:color="000000"/>
              <w:right w:val="nil"/>
            </w:tcBorders>
            <w:shd w:val="clear" w:color="auto" w:fill="FFFFFF"/>
            <w:tcMar>
              <w:top w:w="0" w:type="dxa"/>
              <w:left w:w="0" w:type="dxa"/>
              <w:bottom w:w="0" w:type="dxa"/>
              <w:right w:w="15" w:type="dxa"/>
            </w:tcMar>
            <w:vAlign w:val="bottom"/>
          </w:tcPr>
          <w:p>
            <w:pPr>
              <w:pageBreakBefore w:val="0"/>
              <w:tabs>
                <w:tab w:val="left" w:pos="107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8</w:t>
              <w:tab/>
            </w:r>
          </w:p>
        </w:tc>
      </w:tr>
    </w:tbl>
    <w:p>
      <w:pPr>
        <w:keepNext/>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16"/>
          <w:u w:val="none"/>
        </w:rPr>
      </w:pPr>
      <w:r>
        <w:rPr>
          <w:rFonts w:ascii="Times New Roman" w:eastAsia="Times New Roman" w:hAnsi="Times New Roman" w:cs="Times New Roman"/>
          <w:b w:val="0"/>
          <w:i w:val="0"/>
          <w:color w:val="000000"/>
          <w:sz w:val="16"/>
          <w:u w:val="none"/>
        </w:rPr>
        <w:t>_______________________________</w:t>
      </w:r>
    </w:p>
    <w:p>
      <w:pPr>
        <w:keepNext w:val="0"/>
        <w:keepLines w:val="0"/>
        <w:pageBreakBefore w:val="0"/>
        <w:widowControl/>
        <w:numPr>
          <w:ilvl w:val="0"/>
          <w:numId w:val="0"/>
        </w:numPr>
        <w:spacing w:before="0" w:after="120" w:line="288" w:lineRule="auto"/>
        <w:ind w:left="720" w:right="0" w:hanging="36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(1)</w:t>
      </w:r>
      <w:r>
        <w:rPr>
          <w:rFonts w:ascii="Times New Roman" w:eastAsia="Times New Roman" w:hAnsi="Times New Roman" w:cs="Times New Roman"/>
          <w:b w:val="0"/>
          <w:i w:val="0"/>
          <w:color w:val="000000"/>
          <w:sz w:val="20"/>
          <w:u w:val="none"/>
        </w:rPr>
        <w:tab/>
      </w:r>
      <w:r>
        <w:rPr>
          <w:rFonts w:ascii="Times New Roman" w:eastAsia="Times New Roman" w:hAnsi="Times New Roman" w:cs="Times New Roman"/>
          <w:b w:val="0"/>
          <w:i w:val="0"/>
          <w:color w:val="000000"/>
          <w:sz w:val="20"/>
          <w:u w:val="none"/>
        </w:rPr>
        <w:t xml:space="preserve">Changes in the fair value are recognized in the </w:t>
      </w:r>
      <w:r>
        <w:rPr>
          <w:rFonts w:ascii="Times New Roman" w:eastAsia="Times New Roman" w:hAnsi="Times New Roman" w:cs="Times New Roman"/>
          <w:b w:val="0"/>
          <w:i w:val="0"/>
          <w:color w:val="000000"/>
          <w:sz w:val="20"/>
          <w:u w:val="none"/>
        </w:rPr>
        <w:t>Other expense (income), net</w:t>
      </w:r>
      <w:r>
        <w:rPr>
          <w:rFonts w:ascii="Times New Roman" w:eastAsia="Times New Roman" w:hAnsi="Times New Roman" w:cs="Times New Roman"/>
          <w:b w:val="0"/>
          <w:i w:val="0"/>
          <w:color w:val="000000"/>
          <w:sz w:val="20"/>
          <w:u w:val="none"/>
        </w:rPr>
        <w:t xml:space="preserve"> line in the </w:t>
      </w:r>
      <w:r>
        <w:rPr>
          <w:rFonts w:ascii="Times New Roman" w:eastAsia="Times New Roman" w:hAnsi="Times New Roman" w:cs="Times New Roman"/>
          <w:b w:val="0"/>
          <w:i w:val="0"/>
          <w:color w:val="000000"/>
          <w:sz w:val="20"/>
          <w:u w:val="none"/>
        </w:rPr>
        <w:t>Condensed Consolidated Statements of Operations and Comprehensive Income (Loss)</w:t>
      </w:r>
      <w:r>
        <w:rPr>
          <w:rFonts w:ascii="Times New Roman" w:eastAsia="Times New Roman" w:hAnsi="Times New Roman" w:cs="Times New Roman"/>
          <w:b w:val="0"/>
          <w:i w:val="0"/>
          <w:color w:val="000000"/>
          <w:sz w:val="20"/>
          <w:u w:val="none"/>
        </w:rPr>
        <w:t>.</w:t>
      </w: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highlight w:val="yellow"/>
          <w:u w:val="none"/>
        </w:rPr>
      </w:pPr>
      <w:r>
        <w:rPr>
          <w:rFonts w:ascii="Times New Roman" w:eastAsia="Times New Roman" w:hAnsi="Times New Roman" w:cs="Times New Roman"/>
          <w:b w:val="0"/>
          <w:i w:val="0"/>
          <w:color w:val="000000"/>
          <w:sz w:val="20"/>
          <w:u w:val="none"/>
        </w:rPr>
        <w:t>The following tables show the fair values of the embedded derivatives within the fair value hierarchy.</w:t>
      </w:r>
    </w:p>
    <w:tbl>
      <w:tblPr>
        <w:tblStyle w:val="TableNormal0"/>
        <w:tblW w:w="10260" w:type="dxa"/>
        <w:jc w:val="left"/>
        <w:tblInd w:w="0" w:type="dxa"/>
        <w:tblLayout w:type="fixed"/>
      </w:tblPr>
      <w:tblGrid>
        <w:gridCol w:w="5610"/>
        <w:gridCol w:w="1500"/>
        <w:gridCol w:w="75"/>
        <w:gridCol w:w="1500"/>
        <w:gridCol w:w="75"/>
        <w:gridCol w:w="1500"/>
      </w:tblGrid>
      <w:tr>
        <w:tblPrEx>
          <w:tblW w:w="10260" w:type="dxa"/>
          <w:tblInd w:w="0" w:type="dxa"/>
          <w:tblLayout w:type="fixed"/>
        </w:tblPrEx>
        <w:trPr>
          <w:trHeight w:hRule="exact" w:val="735"/>
        </w:trPr>
        <w:tc>
          <w:tcPr>
            <w:tcW w:w="5610"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i w:val="0"/>
                <w:color w:val="000000"/>
                <w:sz w:val="16"/>
                <w:u w:val="single"/>
              </w:rPr>
              <w:t>June 30, 2026</w:t>
            </w:r>
          </w:p>
        </w:tc>
        <w:tc>
          <w:tcPr>
            <w:tcW w:w="15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Quoted Prices in Active Markets for Identical Assets</w:t>
            </w:r>
          </w:p>
          <w:p>
            <w:pPr>
              <w:spacing w:after="30" w:line="240" w:lineRule="auto"/>
              <w:jc w:val="center"/>
            </w:pPr>
            <w:r>
              <w:rPr>
                <w:rFonts w:ascii="Times New Roman" w:eastAsia="Times New Roman" w:hAnsi="Times New Roman" w:cs="Times New Roman"/>
                <w:b/>
                <w:i w:val="0"/>
                <w:color w:val="000000"/>
                <w:sz w:val="16"/>
                <w:u w:val="none"/>
              </w:rPr>
              <w:t>(Level 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5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Significant Other Observable Inputs</w:t>
            </w:r>
          </w:p>
          <w:p>
            <w:pPr>
              <w:spacing w:after="30" w:line="240" w:lineRule="auto"/>
              <w:jc w:val="center"/>
            </w:pPr>
            <w:r>
              <w:rPr>
                <w:rFonts w:ascii="Times New Roman" w:eastAsia="Times New Roman" w:hAnsi="Times New Roman" w:cs="Times New Roman"/>
                <w:b/>
                <w:i w:val="0"/>
                <w:color w:val="000000"/>
                <w:sz w:val="16"/>
                <w:u w:val="none"/>
              </w:rPr>
              <w:t>(Level 2)</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5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Significant Unobservable Inputs</w:t>
            </w:r>
          </w:p>
          <w:p>
            <w:pPr>
              <w:spacing w:after="30" w:line="240" w:lineRule="auto"/>
              <w:jc w:val="center"/>
            </w:pPr>
            <w:r>
              <w:rPr>
                <w:rFonts w:ascii="Times New Roman" w:eastAsia="Times New Roman" w:hAnsi="Times New Roman" w:cs="Times New Roman"/>
                <w:b/>
                <w:i w:val="0"/>
                <w:color w:val="000000"/>
                <w:sz w:val="16"/>
                <w:u w:val="none"/>
              </w:rPr>
              <w:t>(Level 3)</w:t>
            </w:r>
          </w:p>
        </w:tc>
      </w:tr>
      <w:tr>
        <w:tblPrEx>
          <w:tblW w:w="10260" w:type="dxa"/>
          <w:tblInd w:w="0" w:type="dxa"/>
          <w:tblLayout w:type="fixed"/>
        </w:tblPrEx>
        <w:trPr>
          <w:trHeight w:hRule="exact" w:val="300"/>
        </w:trPr>
        <w:tc>
          <w:tcPr>
            <w:tcW w:w="5610"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55" w:after="30" w:line="240" w:lineRule="auto"/>
              <w:jc w:val="left"/>
            </w:pPr>
            <w:r>
              <w:rPr>
                <w:rFonts w:ascii="Times New Roman" w:eastAsia="Times New Roman" w:hAnsi="Times New Roman" w:cs="Times New Roman"/>
                <w:b w:val="0"/>
                <w:i w:val="0"/>
                <w:color w:val="000000"/>
                <w:sz w:val="20"/>
                <w:u w:val="none"/>
              </w:rPr>
              <w:t>Derivative liability - other current liabilities</w:t>
            </w: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116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116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126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8</w:t>
              <w:tab/>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tbl>
      <w:tblPr>
        <w:tblStyle w:val="TableNormal0"/>
        <w:tblW w:w="10260" w:type="dxa"/>
        <w:jc w:val="left"/>
        <w:tblInd w:w="0" w:type="dxa"/>
        <w:tblLayout w:type="fixed"/>
      </w:tblPr>
      <w:tblGrid>
        <w:gridCol w:w="5610"/>
        <w:gridCol w:w="1500"/>
        <w:gridCol w:w="75"/>
        <w:gridCol w:w="1500"/>
        <w:gridCol w:w="75"/>
        <w:gridCol w:w="1500"/>
      </w:tblGrid>
      <w:tr>
        <w:tblPrEx>
          <w:tblW w:w="10260" w:type="dxa"/>
          <w:tblInd w:w="0" w:type="dxa"/>
          <w:tblLayout w:type="fixed"/>
        </w:tblPrEx>
        <w:trPr>
          <w:trHeight w:hRule="exact" w:val="735"/>
        </w:trPr>
        <w:tc>
          <w:tcPr>
            <w:tcW w:w="5610"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i w:val="0"/>
                <w:color w:val="000000"/>
                <w:sz w:val="16"/>
                <w:u w:val="single"/>
              </w:rPr>
              <w:t>December 31, 2025</w:t>
            </w:r>
          </w:p>
        </w:tc>
        <w:tc>
          <w:tcPr>
            <w:tcW w:w="15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Quoted Prices in Active Markets for Identical Assets</w:t>
            </w:r>
          </w:p>
          <w:p>
            <w:pPr>
              <w:spacing w:after="30" w:line="240" w:lineRule="auto"/>
              <w:jc w:val="center"/>
            </w:pPr>
            <w:r>
              <w:rPr>
                <w:rFonts w:ascii="Times New Roman" w:eastAsia="Times New Roman" w:hAnsi="Times New Roman" w:cs="Times New Roman"/>
                <w:b/>
                <w:i w:val="0"/>
                <w:color w:val="000000"/>
                <w:sz w:val="16"/>
                <w:u w:val="none"/>
              </w:rPr>
              <w:t>(Level 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5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Significant Other Observable Inputs</w:t>
            </w:r>
          </w:p>
          <w:p>
            <w:pPr>
              <w:spacing w:after="30" w:line="240" w:lineRule="auto"/>
              <w:jc w:val="center"/>
            </w:pPr>
            <w:r>
              <w:rPr>
                <w:rFonts w:ascii="Times New Roman" w:eastAsia="Times New Roman" w:hAnsi="Times New Roman" w:cs="Times New Roman"/>
                <w:b/>
                <w:i w:val="0"/>
                <w:color w:val="000000"/>
                <w:sz w:val="16"/>
                <w:u w:val="none"/>
              </w:rPr>
              <w:t>(Level 2)</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15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i w:val="0"/>
                <w:color w:val="000000"/>
                <w:sz w:val="16"/>
                <w:u w:val="none"/>
              </w:rPr>
              <w:t>Significant Unobservable Inputs</w:t>
            </w:r>
          </w:p>
          <w:p>
            <w:pPr>
              <w:spacing w:after="30" w:line="240" w:lineRule="auto"/>
              <w:jc w:val="center"/>
            </w:pPr>
            <w:r>
              <w:rPr>
                <w:rFonts w:ascii="Times New Roman" w:eastAsia="Times New Roman" w:hAnsi="Times New Roman" w:cs="Times New Roman"/>
                <w:b/>
                <w:i w:val="0"/>
                <w:color w:val="000000"/>
                <w:sz w:val="16"/>
                <w:u w:val="none"/>
              </w:rPr>
              <w:t>(Level 3)</w:t>
            </w:r>
          </w:p>
        </w:tc>
      </w:tr>
      <w:tr>
        <w:tblPrEx>
          <w:tblW w:w="10260" w:type="dxa"/>
          <w:tblInd w:w="0" w:type="dxa"/>
          <w:tblLayout w:type="fixed"/>
        </w:tblPrEx>
        <w:trPr>
          <w:trHeight w:hRule="exact" w:val="300"/>
        </w:trPr>
        <w:tc>
          <w:tcPr>
            <w:tcW w:w="5610"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55" w:after="30" w:line="240" w:lineRule="auto"/>
              <w:jc w:val="left"/>
            </w:pPr>
            <w:r>
              <w:rPr>
                <w:rFonts w:ascii="Times New Roman" w:eastAsia="Times New Roman" w:hAnsi="Times New Roman" w:cs="Times New Roman"/>
                <w:b w:val="0"/>
                <w:i w:val="0"/>
                <w:color w:val="000000"/>
                <w:sz w:val="20"/>
                <w:u w:val="none"/>
              </w:rPr>
              <w:t>Derivative liability - other non-current liabilities</w:t>
            </w: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91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1,861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116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5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pageBreakBefore w:val="0"/>
              <w:tabs>
                <w:tab w:val="left" w:pos="1267"/>
                <w:tab w:val="left" w:pos="1432"/>
              </w:tabs>
              <w:spacing w:before="55" w:after="30" w:line="240" w:lineRule="auto"/>
              <w:jc w:val="right"/>
            </w:pPr>
            <w:r>
              <w:rPr>
                <w:rFonts w:ascii="Times New Roman" w:eastAsia="Times New Roman" w:hAnsi="Times New Roman" w:cs="Times New Roman"/>
                <w:b w:val="0"/>
                <w:i w:val="0"/>
                <w:color w:val="000000"/>
                <w:sz w:val="20"/>
                <w:u w:val="none"/>
              </w:rPr>
              <w:t>$</w:t>
              <w:tab/>
              <w:t>7</w:t>
              <w:tab/>
            </w:r>
          </w:p>
        </w:tc>
      </w:tr>
    </w:tbl>
    <w:p>
      <w:pPr>
        <w:keepNext w:val="0"/>
        <w:keepLines w:val="0"/>
        <w:pageBreakBefore w:val="0"/>
        <w:widowControl/>
        <w:numPr>
          <w:ilvl w:val="0"/>
          <w:numId w:val="0"/>
        </w:numPr>
        <w:spacing w:before="12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fair value of the 2023 Warrants </w:t>
      </w:r>
      <w:r>
        <w:rPr>
          <w:rFonts w:ascii="Times New Roman" w:eastAsia="Times New Roman" w:hAnsi="Times New Roman" w:cs="Times New Roman"/>
          <w:b w:val="0"/>
          <w:i w:val="0"/>
          <w:color w:val="000000"/>
          <w:sz w:val="20"/>
          <w:u w:val="none"/>
        </w:rPr>
        <w:t>were</w:t>
      </w:r>
      <w:r>
        <w:rPr>
          <w:rFonts w:ascii="Times New Roman" w:eastAsia="Times New Roman" w:hAnsi="Times New Roman" w:cs="Times New Roman"/>
          <w:b w:val="0"/>
          <w:i w:val="0"/>
          <w:color w:val="000000"/>
          <w:sz w:val="20"/>
          <w:u w:val="none"/>
        </w:rPr>
        <w:t xml:space="preserve"> determined using the observable market price of a share of our common stock, less the </w:t>
      </w:r>
      <w:r>
        <w:rPr>
          <w:rFonts w:ascii="Times New Roman" w:eastAsia="Times New Roman" w:hAnsi="Times New Roman" w:cs="Times New Roman"/>
          <w:b w:val="0"/>
          <w:i w:val="0"/>
          <w:color w:val="000000"/>
          <w:sz w:val="20"/>
          <w:u w:val="none"/>
        </w:rPr>
        <w:t>$0.01</w:t>
      </w:r>
      <w:r>
        <w:rPr>
          <w:rFonts w:ascii="Times New Roman" w:eastAsia="Times New Roman" w:hAnsi="Times New Roman" w:cs="Times New Roman"/>
          <w:b w:val="0"/>
          <w:i w:val="0"/>
          <w:color w:val="000000"/>
          <w:sz w:val="20"/>
          <w:u w:val="none"/>
        </w:rPr>
        <w:t xml:space="preserve"> per share exercise price (Level 1).</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highlight w:val="yellow"/>
          <w:u w:val="none"/>
        </w:rPr>
      </w:pPr>
      <w:r>
        <w:rPr>
          <w:rFonts w:ascii="Times New Roman" w:eastAsia="Times New Roman" w:hAnsi="Times New Roman" w:cs="Times New Roman"/>
          <w:b w:val="0"/>
          <w:i w:val="0"/>
          <w:color w:val="000000"/>
          <w:sz w:val="20"/>
          <w:u w:val="none"/>
        </w:rPr>
        <w:t xml:space="preserve">The fair value of the 2019 Warrants is determined using a valuation model that utilizes unobservable inputs to determine the probability that the 2019 Warrants will remain outstanding for future periods (Level 3).  The probabilities resulted in a weighted average term of </w:t>
      </w:r>
      <w:r>
        <w:rPr>
          <w:rFonts w:ascii="Times New Roman" w:eastAsia="Times New Roman" w:hAnsi="Times New Roman" w:cs="Times New Roman"/>
          <w:b w:val="0"/>
          <w:i w:val="0"/>
          <w:color w:val="000000"/>
          <w:sz w:val="20"/>
          <w:u w:val="none"/>
        </w:rPr>
        <w:t>0.5 years</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1.3 years</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color w:val="000000"/>
          <w:sz w:val="20"/>
          <w:u w:val="none"/>
        </w:rPr>
        <w:t>, respectively.</w:t>
      </w:r>
    </w:p>
    <w:p>
      <w:pPr>
        <w:pStyle w:val="Subheading"/>
        <w:keepNext/>
        <w:keepLines w:val="0"/>
        <w:pageBreakBefore w:val="0"/>
        <w:widowControl/>
        <w:numPr>
          <w:ilvl w:val="0"/>
          <w:numId w:val="0"/>
        </w:numPr>
        <w:spacing w:before="180" w:after="60" w:line="288" w:lineRule="auto"/>
        <w:ind w:left="0" w:right="0" w:firstLine="0"/>
        <w:jc w:val="left"/>
        <w:outlineLvl w:val="9"/>
        <w:rPr>
          <w:rFonts w:ascii="Times New Roman" w:eastAsia="Times New Roman" w:hAnsi="Times New Roman" w:cs="Times New Roman"/>
          <w:b w:val="0"/>
          <w:i/>
          <w:color w:val="000000"/>
          <w:sz w:val="20"/>
          <w:highlight w:val="yellow"/>
          <w:u w:val="none"/>
        </w:rPr>
      </w:pPr>
      <w:r>
        <w:rPr>
          <w:rFonts w:ascii="Times New Roman" w:eastAsia="Times New Roman" w:hAnsi="Times New Roman" w:cs="Times New Roman"/>
          <w:b w:val="0"/>
          <w:i/>
          <w:color w:val="000000"/>
          <w:sz w:val="20"/>
          <w:u w:val="none"/>
        </w:rPr>
        <w:t>Fair Value Disclosures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highlight w:val="yellow"/>
          <w:u w:val="none"/>
        </w:rPr>
      </w:pPr>
      <w:r>
        <w:rPr>
          <w:rFonts w:ascii="Times New Roman" w:eastAsia="Times New Roman" w:hAnsi="Times New Roman" w:cs="Times New Roman"/>
          <w:b w:val="0"/>
          <w:i w:val="0"/>
          <w:color w:val="000000"/>
          <w:sz w:val="20"/>
          <w:u w:val="none"/>
        </w:rPr>
        <w:t xml:space="preserve">Our financial instruments that are subject to fair value disclosure consist of cash and cash equivalents, accounts receivable, accounts payable, and debt.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color w:val="000000"/>
          <w:sz w:val="20"/>
          <w:u w:val="none"/>
        </w:rPr>
        <w:t>, the carrying values of these financial instruments, except for debt, approximated fair value.  The fair value of our debt was $</w:t>
      </w:r>
      <w:r>
        <w:rPr>
          <w:rFonts w:ascii="Times New Roman" w:eastAsia="Times New Roman" w:hAnsi="Times New Roman" w:cs="Times New Roman"/>
          <w:b w:val="0"/>
          <w:i w:val="0"/>
          <w:color w:val="000000"/>
          <w:sz w:val="20"/>
          <w:u w:val="none"/>
        </w:rPr>
        <w:t>153.7 million</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156.9 million</w:t>
      </w:r>
      <w:r>
        <w:rPr>
          <w:rFonts w:ascii="Times New Roman" w:eastAsia="Times New Roman" w:hAnsi="Times New Roman" w:cs="Times New Roman"/>
          <w:b w:val="0"/>
          <w:i w:val="0"/>
          <w:color w:val="000000"/>
          <w:sz w:val="20"/>
          <w:u w:val="none"/>
        </w:rPr>
        <w:t>, with a carrying amount of $</w:t>
      </w:r>
      <w:r>
        <w:rPr>
          <w:rFonts w:ascii="Times New Roman" w:eastAsia="Times New Roman" w:hAnsi="Times New Roman" w:cs="Times New Roman"/>
          <w:b w:val="0"/>
          <w:i w:val="0"/>
          <w:color w:val="000000"/>
          <w:sz w:val="20"/>
          <w:u w:val="none"/>
        </w:rPr>
        <w:t>166.5 million</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159.5 million</w:t>
      </w:r>
      <w:r>
        <w:rPr>
          <w:rFonts w:ascii="Times New Roman" w:eastAsia="Times New Roman" w:hAnsi="Times New Roman" w:cs="Times New Roman"/>
          <w:b w:val="0"/>
          <w:i w:val="0"/>
          <w:color w:val="000000"/>
          <w:sz w:val="20"/>
          <w:u w:val="none"/>
        </w:rPr>
        <w:t xml:space="preserve">,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and </w:t>
      </w:r>
      <w:r>
        <w:rPr>
          <w:rFonts w:ascii="Times New Roman" w:eastAsia="Times New Roman" w:hAnsi="Times New Roman" w:cs="Times New Roman"/>
          <w:b w:val="0"/>
          <w:i w:val="0"/>
          <w:color w:val="000000"/>
          <w:sz w:val="20"/>
          <w:u w:val="none"/>
        </w:rPr>
        <w:t>December 31, 2025</w:t>
      </w:r>
      <w:r>
        <w:rPr>
          <w:rFonts w:ascii="Times New Roman" w:eastAsia="Times New Roman" w:hAnsi="Times New Roman" w:cs="Times New Roman"/>
          <w:b w:val="0"/>
          <w:i w:val="0"/>
          <w:color w:val="000000"/>
          <w:sz w:val="20"/>
          <w:u w:val="none"/>
        </w:rPr>
        <w:t xml:space="preserve">, respectively.  The fair value of debt was calculated by discounting the future cash flows to its present value using prevailing market interest rates for debt with similar creditworthiness, terms and maturities (Level 3). </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sectPr>
          <w:type w:val="continuous"/>
          <w:pgSz w:w="12240" w:h="15840"/>
          <w:pgMar w:top="810" w:right="990" w:bottom="810" w:left="990" w:header="270" w:footer="270"/>
          <w:cols w:space="708"/>
        </w:sectPr>
      </w:pPr>
    </w:p>
    <w:p>
      <w:pPr>
        <w:keepNext/>
        <w:keepLines w:val="0"/>
        <w:pageBreakBefore w:val="0"/>
        <w:widowControl/>
        <w:numPr>
          <w:ilvl w:val="0"/>
          <w:numId w:val="0"/>
        </w:numPr>
        <w:spacing w:before="240" w:after="60" w:line="288" w:lineRule="auto"/>
        <w:ind w:left="0" w:right="0" w:firstLine="0"/>
        <w:jc w:val="left"/>
        <w:outlineLvl w:val="3"/>
        <w:rPr>
          <w:rFonts w:ascii="Calibri" w:eastAsia="Calibri" w:hAnsi="Calibri" w:cs="Calibri"/>
          <w:b/>
          <w:i w:val="0"/>
          <w:color w:val="000000"/>
          <w:sz w:val="22"/>
          <w:u w:val="none"/>
        </w:rPr>
      </w:pPr>
      <w:bookmarkStart w:id="25" w:name="Section27"/>
      <w:bookmarkEnd w:id="25"/>
      <w:r>
        <w:rPr>
          <w:rFonts w:ascii="Times New Roman" w:eastAsia="Times New Roman" w:hAnsi="Times New Roman" w:cs="Times New Roman"/>
          <w:b/>
          <w:i w:val="0"/>
          <w:color w:val="000000"/>
          <w:sz w:val="20"/>
          <w:u w:val="none"/>
        </w:rPr>
        <w:t>Note 17</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Plant Optimization Activities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color w:val="000000"/>
          <w:sz w:val="28"/>
          <w:u w:val="none"/>
        </w:rPr>
      </w:pPr>
      <w:r>
        <w:rPr>
          <w:rFonts w:ascii="Times New Roman" w:eastAsia="Times New Roman" w:hAnsi="Times New Roman" w:cs="Times New Roman"/>
          <w:b w:val="0"/>
          <w:i w:val="0"/>
          <w:color w:val="000000"/>
          <w:sz w:val="20"/>
          <w:u w:val="none"/>
        </w:rPr>
        <w:t xml:space="preserve">During the second half of 2024, we took specific steps to consolidate our footprint by identifying two manufacturing facilities to close due to volume rationalization which </w:t>
      </w:r>
      <w:r>
        <w:rPr>
          <w:rFonts w:ascii="Times New Roman" w:eastAsia="Times New Roman" w:hAnsi="Times New Roman" w:cs="Times New Roman"/>
          <w:b w:val="0"/>
          <w:i w:val="0"/>
          <w:color w:val="000000"/>
          <w:sz w:val="20"/>
          <w:u w:val="none"/>
        </w:rPr>
        <w:t>have</w:t>
      </w:r>
      <w:r>
        <w:rPr>
          <w:rFonts w:ascii="Times New Roman" w:eastAsia="Times New Roman" w:hAnsi="Times New Roman" w:cs="Times New Roman"/>
          <w:b w:val="0"/>
          <w:i w:val="0"/>
          <w:color w:val="000000"/>
          <w:sz w:val="20"/>
          <w:u w:val="none"/>
        </w:rPr>
        <w:t xml:space="preserve"> reduce</w:t>
      </w:r>
      <w:r>
        <w:rPr>
          <w:rFonts w:ascii="Times New Roman" w:eastAsia="Times New Roman" w:hAnsi="Times New Roman" w:cs="Times New Roman"/>
          <w:b w:val="0"/>
          <w:i w:val="0"/>
          <w:color w:val="000000"/>
          <w:sz w:val="20"/>
          <w:u w:val="none"/>
        </w:rPr>
        <w:t>d</w:t>
      </w:r>
      <w:r>
        <w:rPr>
          <w:rFonts w:ascii="Times New Roman" w:eastAsia="Times New Roman" w:hAnsi="Times New Roman" w:cs="Times New Roman"/>
          <w:b w:val="0"/>
          <w:i w:val="0"/>
          <w:color w:val="000000"/>
          <w:sz w:val="20"/>
          <w:u w:val="none"/>
        </w:rPr>
        <w:t xml:space="preserve"> costs and improve</w:t>
      </w:r>
      <w:r>
        <w:rPr>
          <w:rFonts w:ascii="Times New Roman" w:eastAsia="Times New Roman" w:hAnsi="Times New Roman" w:cs="Times New Roman"/>
          <w:b w:val="0"/>
          <w:i w:val="0"/>
          <w:color w:val="000000"/>
          <w:sz w:val="20"/>
          <w:u w:val="none"/>
        </w:rPr>
        <w:t>d</w:t>
      </w:r>
      <w:r>
        <w:rPr>
          <w:rFonts w:ascii="Times New Roman" w:eastAsia="Times New Roman" w:hAnsi="Times New Roman" w:cs="Times New Roman"/>
          <w:b w:val="0"/>
          <w:i w:val="0"/>
          <w:color w:val="000000"/>
          <w:sz w:val="20"/>
          <w:u w:val="none"/>
        </w:rPr>
        <w:t xml:space="preserve"> operational efficiency. </w:t>
      </w:r>
      <w:r>
        <w:rPr>
          <w:rFonts w:ascii="Times New Roman" w:eastAsia="Times New Roman" w:hAnsi="Times New Roman" w:cs="Times New Roman"/>
          <w:b w:val="0"/>
          <w:i w:val="0"/>
          <w:color w:val="000000"/>
          <w:sz w:val="20"/>
          <w:u w:val="none"/>
        </w:rPr>
        <w:t>W</w:t>
      </w:r>
      <w:r>
        <w:rPr>
          <w:rFonts w:ascii="Times New Roman" w:eastAsia="Times New Roman" w:hAnsi="Times New Roman" w:cs="Times New Roman"/>
          <w:b w:val="0"/>
          <w:i w:val="0"/>
          <w:color w:val="000000"/>
          <w:sz w:val="20"/>
          <w:u w:val="none"/>
        </w:rPr>
        <w:t>e ceased production activities at our Mobile Solutions plant</w:t>
      </w:r>
      <w:r>
        <w:rPr>
          <w:rFonts w:ascii="Times New Roman" w:eastAsia="Times New Roman" w:hAnsi="Times New Roman" w:cs="Times New Roman"/>
          <w:b w:val="0"/>
          <w:i w:val="0"/>
          <w:color w:val="000000"/>
          <w:sz w:val="20"/>
          <w:u w:val="none"/>
        </w:rPr>
        <w:t>s</w:t>
      </w:r>
      <w:r>
        <w:rPr>
          <w:rFonts w:ascii="Times New Roman" w:eastAsia="Times New Roman" w:hAnsi="Times New Roman" w:cs="Times New Roman"/>
          <w:b w:val="0"/>
          <w:i w:val="0"/>
          <w:color w:val="000000"/>
          <w:sz w:val="20"/>
          <w:u w:val="none"/>
        </w:rPr>
        <w:t xml:space="preserve"> in Juarez, Mexico, and</w:t>
      </w:r>
      <w:r>
        <w:rPr>
          <w:rFonts w:ascii="Times New Roman" w:eastAsia="Times New Roman" w:hAnsi="Times New Roman" w:cs="Times New Roman"/>
          <w:b w:val="0"/>
          <w:i w:val="0"/>
          <w:color w:val="000000"/>
          <w:sz w:val="20"/>
          <w:u w:val="none"/>
        </w:rPr>
        <w:t xml:space="preserve"> Dowagiac, Michigan</w:t>
      </w:r>
      <w:r>
        <w:rPr>
          <w:rFonts w:ascii="Times New Roman" w:eastAsia="Times New Roman" w:hAnsi="Times New Roman" w:cs="Times New Roman"/>
          <w:b w:val="0"/>
          <w:i w:val="0"/>
          <w:color w:val="000000"/>
          <w:sz w:val="20"/>
          <w:u w:val="none"/>
        </w:rPr>
        <w:t xml:space="preserve"> in January 2025 and M</w:t>
      </w:r>
      <w:r>
        <w:rPr>
          <w:rFonts w:ascii="Times New Roman" w:eastAsia="Times New Roman" w:hAnsi="Times New Roman" w:cs="Times New Roman"/>
          <w:b w:val="0"/>
          <w:i w:val="0"/>
          <w:color w:val="000000"/>
          <w:sz w:val="20"/>
          <w:u w:val="none"/>
        </w:rPr>
        <w:t>arch 2025, respectively</w:t>
      </w:r>
      <w:r>
        <w:rPr>
          <w:rFonts w:ascii="Times New Roman" w:eastAsia="Times New Roman" w:hAnsi="Times New Roman" w:cs="Times New Roman"/>
          <w:b w:val="0"/>
          <w:i w:val="0"/>
          <w:color w:val="000000"/>
          <w:sz w:val="20"/>
          <w:u w:val="none"/>
        </w:rPr>
        <w:t xml:space="preserve">.  In addition, we implemented operational and cost optimization actions to reduce indirect and overhead costs.  </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In 2025, we completed the facility closures and organizational changes previously announced.</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In connection therewith, as stated in our 2025 Annual Report, we recognized </w:t>
      </w:r>
      <w:r>
        <w:rPr>
          <w:rFonts w:ascii="Times New Roman" w:eastAsia="Times New Roman" w:hAnsi="Times New Roman" w:cs="Times New Roman"/>
          <w:b w:val="0"/>
          <w:i w:val="0"/>
          <w:color w:val="000000"/>
          <w:sz w:val="20"/>
          <w:u w:val="none"/>
        </w:rPr>
        <w:t>$13.4 million</w:t>
      </w:r>
      <w:r>
        <w:rPr>
          <w:rFonts w:ascii="Times New Roman" w:eastAsia="Times New Roman" w:hAnsi="Times New Roman" w:cs="Times New Roman"/>
          <w:b w:val="0"/>
          <w:i w:val="0"/>
          <w:color w:val="000000"/>
          <w:sz w:val="20"/>
          <w:u w:val="none"/>
        </w:rPr>
        <w:t xml:space="preserve"> in charges. All costs incurred have been recognized in the Mobile Solutions segment. We expect to recognize annual benefits of approximately $</w:t>
      </w:r>
      <w:r>
        <w:rPr>
          <w:rFonts w:ascii="Times New Roman" w:eastAsia="Times New Roman" w:hAnsi="Times New Roman" w:cs="Times New Roman"/>
          <w:b w:val="0"/>
          <w:i w:val="0"/>
          <w:color w:val="000000"/>
          <w:sz w:val="20"/>
          <w:u w:val="none"/>
        </w:rPr>
        <w:t>5.4 million</w:t>
      </w:r>
      <w:r>
        <w:rPr>
          <w:rFonts w:ascii="Times New Roman" w:eastAsia="Times New Roman" w:hAnsi="Times New Roman" w:cs="Times New Roman"/>
          <w:b w:val="0"/>
          <w:i w:val="0"/>
          <w:color w:val="000000"/>
          <w:sz w:val="20"/>
          <w:u w:val="none"/>
        </w:rPr>
        <w:t>.</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u w:val="none"/>
        </w:rPr>
      </w:pP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The following is a summary of </w:t>
      </w:r>
      <w:r>
        <w:rPr>
          <w:rFonts w:ascii="Times New Roman" w:eastAsia="Times New Roman" w:hAnsi="Times New Roman" w:cs="Times New Roman"/>
          <w:b w:val="0"/>
          <w:i w:val="0"/>
          <w:color w:val="000000"/>
          <w:sz w:val="20"/>
          <w:u w:val="none"/>
        </w:rPr>
        <w:t>plant opt</w:t>
      </w:r>
      <w:r>
        <w:rPr>
          <w:rFonts w:ascii="Times New Roman" w:eastAsia="Times New Roman" w:hAnsi="Times New Roman" w:cs="Times New Roman"/>
          <w:b w:val="0"/>
          <w:i w:val="0"/>
          <w:color w:val="000000"/>
          <w:sz w:val="20"/>
          <w:u w:val="none"/>
        </w:rPr>
        <w:t xml:space="preserve">imization reserve activity </w:t>
      </w:r>
      <w:r>
        <w:rPr>
          <w:rFonts w:ascii="Times New Roman" w:eastAsia="Times New Roman" w:hAnsi="Times New Roman" w:cs="Times New Roman"/>
          <w:b w:val="0"/>
          <w:i w:val="0"/>
          <w:color w:val="000000"/>
          <w:sz w:val="20"/>
          <w:u w:val="none"/>
        </w:rPr>
        <w:t>for</w:t>
      </w:r>
      <w:r>
        <w:rPr>
          <w:rFonts w:ascii="Times New Roman" w:eastAsia="Times New Roman" w:hAnsi="Times New Roman" w:cs="Times New Roman"/>
          <w:b w:val="0"/>
          <w:i w:val="0"/>
          <w:color w:val="000000"/>
          <w:sz w:val="20"/>
          <w:u w:val="none"/>
        </w:rPr>
        <w:t xml:space="preserve"> the </w:t>
      </w:r>
      <w:r>
        <w:rPr>
          <w:rFonts w:ascii="Times New Roman" w:eastAsia="Times New Roman" w:hAnsi="Times New Roman" w:cs="Times New Roman"/>
          <w:b w:val="0"/>
          <w:i w:val="0"/>
          <w:color w:val="000000"/>
          <w:sz w:val="20"/>
          <w:u w:val="none"/>
        </w:rPr>
        <w:t>six</w:t>
      </w:r>
      <w:r>
        <w:rPr>
          <w:rFonts w:ascii="Times New Roman" w:eastAsia="Times New Roman" w:hAnsi="Times New Roman" w:cs="Times New Roman"/>
          <w:b w:val="0"/>
          <w:i w:val="0"/>
          <w:color w:val="000000"/>
          <w:sz w:val="20"/>
          <w:u w:val="none"/>
        </w:rPr>
        <w:t xml:space="preserv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xml:space="preserve">.  </w:t>
      </w:r>
    </w:p>
    <w:tbl>
      <w:tblPr>
        <w:tblStyle w:val="TableNormal0"/>
        <w:tblW w:w="9930" w:type="dxa"/>
        <w:jc w:val="left"/>
        <w:tblInd w:w="0" w:type="dxa"/>
        <w:tblLayout w:type="fixed"/>
      </w:tblPr>
      <w:tblGrid>
        <w:gridCol w:w="8625"/>
        <w:gridCol w:w="1305"/>
      </w:tblGrid>
      <w:tr>
        <w:tblPrEx>
          <w:tblW w:w="9930" w:type="dxa"/>
          <w:tblInd w:w="0" w:type="dxa"/>
          <w:tblLayout w:type="fixed"/>
        </w:tblPrEx>
        <w:trPr>
          <w:trHeight w:hRule="exact" w:val="585"/>
        </w:trPr>
        <w:tc>
          <w:tcPr>
            <w:tcW w:w="862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Severance and employee related</w:t>
            </w:r>
          </w:p>
        </w:tc>
      </w:tr>
      <w:tr>
        <w:tblPrEx>
          <w:tblW w:w="9930" w:type="dxa"/>
          <w:tblInd w:w="0" w:type="dxa"/>
          <w:tblLayout w:type="fixed"/>
        </w:tblPrEx>
        <w:trPr>
          <w:trHeight w:hRule="exact" w:val="300"/>
        </w:trPr>
        <w:tc>
          <w:tcPr>
            <w:tcW w:w="8625" w:type="dxa"/>
            <w:tcBorders>
              <w:top w:val="nil"/>
              <w:left w:val="nil"/>
              <w:bottom w:val="nil"/>
              <w:right w:val="nil"/>
            </w:tcBorders>
            <w:shd w:val="clear" w:color="auto" w:fill="CCEE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Balance as of December 31, 2025</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512</w:t>
              <w:tab/>
            </w:r>
          </w:p>
        </w:tc>
      </w:tr>
      <w:tr>
        <w:tblPrEx>
          <w:tblW w:w="9930" w:type="dxa"/>
          <w:tblInd w:w="0" w:type="dxa"/>
          <w:tblLayout w:type="fixed"/>
        </w:tblPrEx>
        <w:trPr>
          <w:trHeight w:hRule="exact" w:val="300"/>
        </w:trPr>
        <w:tc>
          <w:tcPr>
            <w:tcW w:w="862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75" w:after="30" w:line="240" w:lineRule="auto"/>
              <w:ind w:left="120"/>
              <w:jc w:val="left"/>
            </w:pPr>
            <w:r>
              <w:rPr>
                <w:rFonts w:ascii="Times New Roman" w:eastAsia="Times New Roman" w:hAnsi="Times New Roman" w:cs="Times New Roman"/>
                <w:b w:val="0"/>
                <w:i w:val="0"/>
                <w:color w:val="000000"/>
                <w:sz w:val="20"/>
                <w:u w:val="none"/>
              </w:rPr>
              <w:t>Amounts paid</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86"/>
              </w:tabs>
              <w:spacing w:before="75" w:after="30" w:line="240" w:lineRule="auto"/>
              <w:jc w:val="right"/>
            </w:pPr>
            <w:r>
              <w:rPr>
                <w:rFonts w:ascii="Times New Roman" w:eastAsia="Times New Roman" w:hAnsi="Times New Roman" w:cs="Times New Roman"/>
                <w:b w:val="0"/>
                <w:i w:val="0"/>
                <w:color w:val="000000"/>
                <w:sz w:val="20"/>
                <w:u w:val="none"/>
              </w:rPr>
              <w:tab/>
              <w:t>(42)</w:t>
            </w:r>
          </w:p>
        </w:tc>
      </w:tr>
      <w:tr>
        <w:tblPrEx>
          <w:tblW w:w="9930" w:type="dxa"/>
          <w:tblInd w:w="0" w:type="dxa"/>
          <w:tblLayout w:type="fixed"/>
        </w:tblPrEx>
        <w:trPr>
          <w:trHeight w:hRule="exact" w:val="300"/>
        </w:trPr>
        <w:tc>
          <w:tcPr>
            <w:tcW w:w="8625" w:type="dxa"/>
            <w:tcBorders>
              <w:top w:val="nil"/>
              <w:left w:val="nil"/>
              <w:bottom w:val="nil"/>
              <w:right w:val="nil"/>
            </w:tcBorders>
            <w:shd w:val="clear" w:color="auto" w:fill="CCEEFF"/>
            <w:tcMar>
              <w:top w:w="0" w:type="dxa"/>
              <w:left w:w="53" w:type="dxa"/>
              <w:bottom w:w="0" w:type="dxa"/>
              <w:right w:w="53" w:type="dxa"/>
            </w:tcMar>
            <w:vAlign w:val="bottom"/>
          </w:tcPr>
          <w:p>
            <w:pPr>
              <w:pageBreakBefore w:val="0"/>
              <w:spacing w:before="55" w:after="30" w:line="240" w:lineRule="auto"/>
              <w:jc w:val="left"/>
            </w:pPr>
            <w:r>
              <w:rPr>
                <w:rFonts w:ascii="Times New Roman" w:eastAsia="Times New Roman" w:hAnsi="Times New Roman" w:cs="Times New Roman"/>
                <w:b w:val="0"/>
                <w:i w:val="0"/>
                <w:color w:val="000000"/>
                <w:sz w:val="20"/>
                <w:u w:val="none"/>
              </w:rPr>
              <w:t>Balance as of June 30, 2026</w:t>
            </w: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87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470</w:t>
              <w:tab/>
            </w:r>
          </w:p>
        </w:tc>
      </w:tr>
    </w:tbl>
    <w:p>
      <w:pPr>
        <w:pStyle w:val="Subheading"/>
        <w:keepNext/>
        <w:keepLines/>
        <w:pageBreakBefore w:val="0"/>
        <w:widowControl w:val="0"/>
        <w:numPr>
          <w:ilvl w:val="0"/>
          <w:numId w:val="0"/>
        </w:numPr>
        <w:spacing w:before="18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Voluntary Early Retirement Program</w:t>
      </w:r>
    </w:p>
    <w:p>
      <w:pPr>
        <w:keepNext w:val="0"/>
        <w:keepLines/>
        <w:pageBreakBefore w:val="0"/>
        <w:widowControl w:val="0"/>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color w:val="000000"/>
          <w:sz w:val="20"/>
          <w:u w:val="none"/>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color w:val="000000"/>
          <w:sz w:val="20"/>
          <w:u w:val="none"/>
        </w:rPr>
        <w:t>, we recognized $</w:t>
      </w:r>
      <w:r>
        <w:rPr>
          <w:rFonts w:ascii="Times New Roman" w:eastAsia="Times New Roman" w:hAnsi="Times New Roman" w:cs="Times New Roman"/>
          <w:b w:val="0"/>
          <w:i w:val="0"/>
          <w:color w:val="000000"/>
          <w:sz w:val="20"/>
          <w:u w:val="none"/>
        </w:rPr>
        <w:t>0.2 million</w:t>
      </w:r>
      <w:r>
        <w:rPr>
          <w:rFonts w:ascii="Times New Roman" w:eastAsia="Times New Roman" w:hAnsi="Times New Roman" w:cs="Times New Roman"/>
          <w:b w:val="0"/>
          <w:i w:val="0"/>
          <w:color w:val="000000"/>
          <w:sz w:val="20"/>
          <w:u w:val="none"/>
        </w:rPr>
        <w:t xml:space="preserve"> related to an early retirement incentive program (“ERIP”) that was open to certain U.S. employees that met specified age and service requirements, and who terminated employment in </w:t>
      </w:r>
      <w:r>
        <w:rPr>
          <w:rFonts w:ascii="Times New Roman" w:eastAsia="Times New Roman" w:hAnsi="Times New Roman" w:cs="Times New Roman"/>
          <w:b w:val="0"/>
          <w:i w:val="0"/>
          <w:color w:val="000000"/>
          <w:sz w:val="20"/>
          <w:u w:val="none"/>
        </w:rPr>
        <w:t>2026</w:t>
      </w:r>
      <w:r>
        <w:rPr>
          <w:rFonts w:ascii="Times New Roman" w:eastAsia="Times New Roman" w:hAnsi="Times New Roman" w:cs="Times New Roman"/>
          <w:b w:val="0"/>
          <w:i w:val="0"/>
          <w:color w:val="000000"/>
          <w:sz w:val="20"/>
          <w:u w:val="none"/>
        </w:rPr>
        <w:t xml:space="preserve">.  The estimated total cost of the ERIP, including costs recognized in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color w:val="000000"/>
          <w:sz w:val="20"/>
          <w:u w:val="none"/>
        </w:rPr>
        <w:t>, is $</w:t>
      </w:r>
      <w:r>
        <w:rPr>
          <w:rFonts w:ascii="Times New Roman" w:eastAsia="Times New Roman" w:hAnsi="Times New Roman" w:cs="Times New Roman"/>
          <w:b w:val="0"/>
          <w:i w:val="0"/>
          <w:color w:val="000000"/>
          <w:sz w:val="20"/>
          <w:u w:val="none"/>
        </w:rPr>
        <w:t>0.6 million</w:t>
      </w:r>
      <w:r>
        <w:rPr>
          <w:rFonts w:ascii="Times New Roman" w:eastAsia="Times New Roman" w:hAnsi="Times New Roman" w:cs="Times New Roman"/>
          <w:b w:val="0"/>
          <w:i w:val="0"/>
          <w:color w:val="000000"/>
          <w:sz w:val="20"/>
          <w:u w:val="none"/>
        </w:rPr>
        <w:t xml:space="preserve"> with all benefit payments expected to be made in </w:t>
      </w:r>
      <w:r>
        <w:rPr>
          <w:rFonts w:ascii="Times New Roman" w:eastAsia="Times New Roman" w:hAnsi="Times New Roman" w:cs="Times New Roman"/>
          <w:b w:val="0"/>
          <w:i w:val="0"/>
          <w:color w:val="000000"/>
          <w:sz w:val="20"/>
          <w:u w:val="none"/>
        </w:rPr>
        <w:t>2026</w:t>
      </w:r>
      <w:r>
        <w:rPr>
          <w:rFonts w:ascii="Times New Roman" w:eastAsia="Times New Roman" w:hAnsi="Times New Roman" w:cs="Times New Roman"/>
          <w:b w:val="0"/>
          <w:i w:val="0"/>
          <w:color w:val="000000"/>
          <w:sz w:val="20"/>
          <w:u w:val="none"/>
        </w:rPr>
        <w:t>.</w:t>
      </w:r>
    </w:p>
    <w:p>
      <w:pPr>
        <w:keepNext w:val="0"/>
        <w:keepLines/>
        <w:pageBreakBefore w:val="0"/>
        <w:widowControl w:val="0"/>
        <w:numPr>
          <w:ilvl w:val="0"/>
          <w:numId w:val="0"/>
        </w:numPr>
        <w:spacing w:before="0" w:after="120" w:line="288" w:lineRule="auto"/>
        <w:ind w:left="0" w:right="0" w:firstLine="0"/>
        <w:jc w:val="left"/>
        <w:outlineLvl w:val="9"/>
        <w:rPr>
          <w:rFonts w:ascii="Times New Roman" w:eastAsia="Times New Roman" w:hAnsi="Times New Roman" w:cs="Times New Roman"/>
          <w:b w:val="0"/>
          <w:i/>
          <w:color w:val="000000"/>
          <w:sz w:val="20"/>
          <w:u w:val="none"/>
        </w:rPr>
        <w:sectPr>
          <w:type w:val="continuous"/>
          <w:pgSz w:w="12240" w:h="15840"/>
          <w:pgMar w:top="810" w:right="990" w:bottom="810" w:left="990" w:header="270" w:footer="270"/>
          <w:cols w:space="708"/>
        </w:sectPr>
      </w:pPr>
    </w:p>
    <w:p>
      <w:pPr>
        <w:keepNext/>
        <w:keepLines w:val="0"/>
        <w:pageBreakBefore w:val="0"/>
        <w:widowControl/>
        <w:numPr>
          <w:ilvl w:val="0"/>
          <w:numId w:val="0"/>
        </w:numPr>
        <w:spacing w:before="240" w:after="60" w:line="288" w:lineRule="auto"/>
        <w:ind w:left="0" w:right="0" w:firstLine="0"/>
        <w:jc w:val="left"/>
        <w:outlineLvl w:val="3"/>
        <w:rPr>
          <w:rFonts w:ascii="Calibri" w:eastAsia="Calibri" w:hAnsi="Calibri" w:cs="Calibri"/>
          <w:b/>
          <w:i w:val="0"/>
          <w:color w:val="000000"/>
          <w:sz w:val="22"/>
          <w:u w:val="none"/>
        </w:rPr>
      </w:pPr>
      <w:bookmarkStart w:id="26" w:name="Section28"/>
      <w:bookmarkEnd w:id="26"/>
      <w:r>
        <w:rPr>
          <w:rFonts w:ascii="Times New Roman" w:eastAsia="Times New Roman" w:hAnsi="Times New Roman" w:cs="Times New Roman"/>
          <w:b/>
          <w:i w:val="0"/>
          <w:color w:val="000000"/>
          <w:sz w:val="20"/>
          <w:u w:val="none"/>
        </w:rPr>
        <w:t>Note 18</w:t>
      </w:r>
      <w:r>
        <w:rPr>
          <w:rFonts w:ascii="Times New Roman" w:eastAsia="Times New Roman" w:hAnsi="Times New Roman" w:cs="Times New Roman"/>
          <w:b/>
          <w:i w:val="0"/>
          <w:sz w:val="20"/>
        </w:rPr>
        <w:t xml:space="preserve">. </w:t>
      </w:r>
      <w:r>
        <w:rPr>
          <w:rFonts w:ascii="Times New Roman" w:eastAsia="Times New Roman" w:hAnsi="Times New Roman" w:cs="Times New Roman"/>
          <w:b/>
          <w:i w:val="0"/>
          <w:color w:val="000000"/>
          <w:sz w:val="20"/>
          <w:u w:val="none"/>
        </w:rPr>
        <w:t>Subsequent Events</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color w:val="000000"/>
          <w:sz w:val="20"/>
          <w:u w:val="none"/>
        </w:rPr>
        <w:t>Private Placement</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On June 30, 2026, the Company entered into a Securities Purchase Agreement (the “Purchase Agreement”) with certain institutional investors (the “Purchasers”), pursuant to which the Company agreed to sell and issue to the Purchasers </w:t>
      </w:r>
      <w:r>
        <w:rPr>
          <w:rFonts w:ascii="Times New Roman" w:eastAsia="Times New Roman" w:hAnsi="Times New Roman" w:cs="Times New Roman"/>
          <w:b w:val="0"/>
          <w:i w:val="0"/>
          <w:color w:val="000000"/>
          <w:sz w:val="20"/>
          <w:u w:val="none"/>
        </w:rPr>
        <w:t>24,509,804</w:t>
      </w:r>
      <w:r>
        <w:rPr>
          <w:rFonts w:ascii="Times New Roman" w:eastAsia="Times New Roman" w:hAnsi="Times New Roman" w:cs="Times New Roman"/>
          <w:b w:val="0"/>
          <w:i w:val="0"/>
          <w:color w:val="000000"/>
          <w:sz w:val="20"/>
          <w:u w:val="none"/>
        </w:rPr>
        <w:t xml:space="preserve"> shares (the “Shares”) of the Company’s common stock in a private placement transaction (the “Private Placement”). The purchase price per share of common stock in the Private Placement was $</w:t>
      </w:r>
      <w:r>
        <w:rPr>
          <w:rFonts w:ascii="Times New Roman" w:eastAsia="Times New Roman" w:hAnsi="Times New Roman" w:cs="Times New Roman"/>
          <w:b w:val="0"/>
          <w:i w:val="0"/>
          <w:color w:val="000000"/>
          <w:sz w:val="20"/>
          <w:u w:val="none"/>
        </w:rPr>
        <w:t>3.06</w:t>
      </w:r>
      <w:r>
        <w:rPr>
          <w:rFonts w:ascii="Times New Roman" w:eastAsia="Times New Roman" w:hAnsi="Times New Roman" w:cs="Times New Roman"/>
          <w:b w:val="0"/>
          <w:i w:val="0"/>
          <w:color w:val="000000"/>
          <w:sz w:val="20"/>
          <w:u w:val="none"/>
        </w:rPr>
        <w:t xml:space="preserve"> per share (the “Purchase Price”). The closing of the Private Placement occurred on July 2, 2026 (the “Closing”). The total net proceeds to the Company</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in the Private Placement were $</w:t>
      </w:r>
      <w:r>
        <w:rPr>
          <w:rFonts w:ascii="Times New Roman" w:eastAsia="Times New Roman" w:hAnsi="Times New Roman" w:cs="Times New Roman"/>
          <w:b w:val="0"/>
          <w:i w:val="0"/>
          <w:color w:val="000000"/>
          <w:sz w:val="20"/>
          <w:u w:val="none"/>
        </w:rPr>
        <w:t>70.4 million</w:t>
      </w:r>
      <w:r>
        <w:rPr>
          <w:rFonts w:ascii="Times New Roman" w:eastAsia="Times New Roman" w:hAnsi="Times New Roman" w:cs="Times New Roman"/>
          <w:b w:val="0"/>
          <w:i w:val="0"/>
          <w:color w:val="000000"/>
          <w:sz w:val="20"/>
          <w:u w:val="none"/>
        </w:rPr>
        <w:t xml:space="preserve">, after deducting offering expenses paid by the Company. </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In connection with the Private Placement, the Company filed a registration statement registering the resale of the Shares</w:t>
      </w:r>
      <w:r>
        <w:rPr>
          <w:rFonts w:ascii="Times New Roman" w:eastAsia="Times New Roman" w:hAnsi="Times New Roman" w:cs="Times New Roman"/>
          <w:b w:val="0"/>
          <w:i w:val="0"/>
          <w:color w:val="000000"/>
          <w:sz w:val="20"/>
          <w:u w:val="none"/>
        </w:rPr>
        <w:t>, which was declared effective by the Securities and Exchange Commission on July 21, 2026. The Company has agreed to keep the registration statement effective until the date the Shares covered by such registration statement have been sold.</w:t>
      </w:r>
    </w:p>
    <w:p>
      <w:pPr>
        <w:keepNext w:val="0"/>
        <w:keepLines w:val="0"/>
        <w:pageBreakBefore w:val="0"/>
        <w:widowControl/>
        <w:numPr>
          <w:ilvl w:val="0"/>
          <w:numId w:val="0"/>
        </w:numPr>
        <w:spacing w:before="0" w:after="0" w:line="276"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Series D Perpetual Preferred Stock Redemption and Exchange</w:t>
      </w:r>
    </w:p>
    <w:p>
      <w:pPr>
        <w:keepNext w:val="0"/>
        <w:keepLines w:val="0"/>
        <w:pageBreakBefore w:val="0"/>
        <w:widowControl/>
        <w:numPr>
          <w:ilvl w:val="0"/>
          <w:numId w:val="0"/>
        </w:numPr>
        <w:spacing w:before="0" w:after="0" w:line="269"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On August 5, 2026, the Company</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entered into an Exchange Agreement (the “Exchange Agreement”) with NHTV Holdings, LP (the “Holder”), the holder of the Series D Preferred Stock issued pursuant to the Certificate of Designation of Series D Perpetual Preferred Stock (the “Certificate of Designation”).</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Pursuant to the terms of the Exchange Agreement, on August 5, 2026, the Company exchanged </w:t>
      </w:r>
      <w:r>
        <w:rPr>
          <w:rFonts w:ascii="Times New Roman" w:eastAsia="Times New Roman" w:hAnsi="Times New Roman" w:cs="Times New Roman"/>
          <w:b w:val="0"/>
          <w:i w:val="0"/>
          <w:color w:val="000000"/>
          <w:sz w:val="20"/>
          <w:u w:val="none"/>
        </w:rPr>
        <w:t>9,850</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shares of Series D Preferred Stock for </w:t>
      </w:r>
      <w:r>
        <w:rPr>
          <w:rFonts w:ascii="Times New Roman" w:eastAsia="Times New Roman" w:hAnsi="Times New Roman" w:cs="Times New Roman"/>
          <w:b w:val="0"/>
          <w:i w:val="0"/>
          <w:color w:val="000000"/>
          <w:sz w:val="20"/>
          <w:u w:val="none"/>
        </w:rPr>
        <w:t>5,500,000</w:t>
      </w:r>
      <w:r>
        <w:rPr>
          <w:rFonts w:ascii="Times New Roman" w:eastAsia="Times New Roman" w:hAnsi="Times New Roman" w:cs="Times New Roman"/>
          <w:b w:val="0"/>
          <w:i w:val="0"/>
          <w:color w:val="000000"/>
          <w:sz w:val="20"/>
          <w:u w:val="none"/>
        </w:rPr>
        <w:t xml:space="preserve"> newly issued shares of the Company’s common stock, par value $0.01 per share (the “Common Stock” and the transaction, the “Exchange”).</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The Exchange was conditioned upon the concurrent consummation of the Redemption (defined below).</w:t>
      </w:r>
      <w:r>
        <w:rPr>
          <w:rFonts w:ascii="Times New Roman" w:eastAsia="Times New Roman" w:hAnsi="Times New Roman" w:cs="Times New Roman"/>
          <w:b w:val="0"/>
          <w:i w:val="0"/>
          <w:color w:val="000000"/>
          <w:sz w:val="20"/>
          <w:u w:val="none"/>
        </w:rPr>
        <w:t xml:space="preserve">  </w:t>
      </w:r>
    </w:p>
    <w:p>
      <w:pPr>
        <w:keepNext w:val="0"/>
        <w:keepLines w:val="0"/>
        <w:pageBreakBefore w:val="0"/>
        <w:widowControl/>
        <w:numPr>
          <w:ilvl w:val="0"/>
          <w:numId w:val="0"/>
        </w:numPr>
        <w:spacing w:before="0" w:after="0" w:line="276"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val="0"/>
        <w:pageBreakBefore w:val="0"/>
        <w:widowControl/>
        <w:numPr>
          <w:ilvl w:val="0"/>
          <w:numId w:val="0"/>
        </w:numPr>
        <w:spacing w:before="0" w:after="0" w:line="269"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In addition, pursuant to the Exchange Agreement, the Holder agreed to reduce (a) the Cash Dividend Rate (as defined in the Certificate of Designation) to an amount equal to </w:t>
      </w:r>
      <w:r>
        <w:rPr>
          <w:rFonts w:ascii="Times New Roman" w:eastAsia="Times New Roman" w:hAnsi="Times New Roman" w:cs="Times New Roman"/>
          <w:b w:val="0"/>
          <w:i w:val="0"/>
          <w:color w:val="000000"/>
          <w:sz w:val="20"/>
          <w:u w:val="none"/>
        </w:rPr>
        <w:t>10.0%</w:t>
      </w:r>
      <w:r>
        <w:rPr>
          <w:rFonts w:ascii="Times New Roman" w:eastAsia="Times New Roman" w:hAnsi="Times New Roman" w:cs="Times New Roman"/>
          <w:b w:val="0"/>
          <w:i w:val="0"/>
          <w:color w:val="000000"/>
          <w:sz w:val="20"/>
          <w:u w:val="none"/>
        </w:rPr>
        <w:t xml:space="preserve"> per annum of the then current Liquidation Preference (as defined in the Certificate of Designation) and (b) the Preference Accrual Rate (as defined in the Certificate of Designation) to an amount equal to </w:t>
      </w:r>
      <w:r>
        <w:rPr>
          <w:rFonts w:ascii="Times New Roman" w:eastAsia="Times New Roman" w:hAnsi="Times New Roman" w:cs="Times New Roman"/>
          <w:b w:val="0"/>
          <w:i w:val="0"/>
          <w:color w:val="000000"/>
          <w:sz w:val="20"/>
          <w:u w:val="none"/>
        </w:rPr>
        <w:t>10.0%</w:t>
      </w:r>
      <w:r>
        <w:rPr>
          <w:rFonts w:ascii="Times New Roman" w:eastAsia="Times New Roman" w:hAnsi="Times New Roman" w:cs="Times New Roman"/>
          <w:b w:val="0"/>
          <w:i w:val="0"/>
          <w:color w:val="000000"/>
          <w:sz w:val="20"/>
          <w:u w:val="none"/>
        </w:rPr>
        <w:t xml:space="preserve"> per annum of the then current Liquidation Preference, in each case through August 5, 2027.</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After August 5, 2027, the Cash Dividend Rate and the Preference Accrual Rate will revert to the amounts as calculated in accordance with the Certificate of Designation.</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The Holder also agreed that in the event the Company redeems in full for cash all of the then-outstanding Series D Preferred Stock from the Holder in accordance with the Certificate of Designation and pays the Holder the aggregate Redemption Price (as defined in the Certificate of Designation) otherwise payable in respect thereof on or before December 31, 2026 (the “Final Redemption”), the aggregate Redemption Price payable by the Company to the Holder in respect of the Final Redemption Price will be reduced by $</w:t>
      </w:r>
      <w:r>
        <w:rPr>
          <w:rFonts w:ascii="Times New Roman" w:eastAsia="Times New Roman" w:hAnsi="Times New Roman" w:cs="Times New Roman"/>
          <w:b w:val="0"/>
          <w:i w:val="0"/>
          <w:color w:val="000000"/>
          <w:sz w:val="20"/>
          <w:u w:val="none"/>
        </w:rPr>
        <w:t>5.0 million</w:t>
      </w:r>
      <w:r>
        <w:rPr>
          <w:rFonts w:ascii="Times New Roman" w:eastAsia="Times New Roman" w:hAnsi="Times New Roman" w:cs="Times New Roman"/>
          <w:b w:val="0"/>
          <w:i w:val="0"/>
          <w:color w:val="000000"/>
          <w:sz w:val="20"/>
          <w:u w:val="none"/>
        </w:rPr>
        <w:t>.</w:t>
      </w:r>
    </w:p>
    <w:p>
      <w:pPr>
        <w:keepNext w:val="0"/>
        <w:keepLines w:val="0"/>
        <w:pageBreakBefore w:val="0"/>
        <w:widowControl/>
        <w:numPr>
          <w:ilvl w:val="0"/>
          <w:numId w:val="0"/>
        </w:numPr>
        <w:spacing w:before="0" w:after="0" w:line="276"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val="0"/>
        <w:pageBreakBefore w:val="0"/>
        <w:widowControl/>
        <w:numPr>
          <w:ilvl w:val="0"/>
          <w:numId w:val="0"/>
        </w:numPr>
        <w:spacing w:before="0" w:after="0" w:line="269"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On August 5, 2026, we redeemed </w:t>
      </w:r>
      <w:r>
        <w:rPr>
          <w:rFonts w:ascii="Times New Roman" w:eastAsia="Times New Roman" w:hAnsi="Times New Roman" w:cs="Times New Roman"/>
          <w:b w:val="0"/>
          <w:i w:val="0"/>
          <w:color w:val="000000"/>
          <w:sz w:val="20"/>
          <w:u w:val="none"/>
        </w:rPr>
        <w:t>36,750</w:t>
      </w:r>
      <w:r>
        <w:rPr>
          <w:rFonts w:ascii="Times New Roman" w:eastAsia="Times New Roman" w:hAnsi="Times New Roman" w:cs="Times New Roman"/>
          <w:b w:val="0"/>
          <w:i w:val="0"/>
          <w:color w:val="000000"/>
          <w:sz w:val="20"/>
          <w:u w:val="none"/>
        </w:rPr>
        <w:t xml:space="preserve"> shares of Series D Preferred Stock pursuant to the optional redemption provision of the Certificate of Designation for an aggregate redemption price of $</w:t>
      </w:r>
      <w:r>
        <w:rPr>
          <w:rFonts w:ascii="Times New Roman" w:eastAsia="Times New Roman" w:hAnsi="Times New Roman" w:cs="Times New Roman"/>
          <w:b w:val="0"/>
          <w:i w:val="0"/>
          <w:color w:val="000000"/>
          <w:sz w:val="20"/>
          <w:u w:val="none"/>
        </w:rPr>
        <w:t>70.0 million</w:t>
      </w:r>
      <w:r>
        <w:rPr>
          <w:rFonts w:ascii="Times New Roman" w:eastAsia="Times New Roman" w:hAnsi="Times New Roman" w:cs="Times New Roman"/>
          <w:b w:val="0"/>
          <w:i w:val="0"/>
          <w:color w:val="000000"/>
          <w:sz w:val="20"/>
          <w:u w:val="none"/>
        </w:rPr>
        <w:t xml:space="preserve"> (the “Redemption”).</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The Redemption was conditioned upon the concurrent consummation of the Exchange.</w:t>
      </w:r>
    </w:p>
    <w:p>
      <w:pPr>
        <w:keepNext w:val="0"/>
        <w:keepLines w:val="0"/>
        <w:pageBreakBefore w:val="0"/>
        <w:widowControl/>
        <w:numPr>
          <w:ilvl w:val="0"/>
          <w:numId w:val="0"/>
        </w:numPr>
        <w:spacing w:before="0" w:after="0" w:line="276" w:lineRule="auto"/>
        <w:ind w:left="0" w:right="0" w:firstLine="0"/>
        <w:jc w:val="left"/>
        <w:outlineLvl w:val="9"/>
        <w:rPr>
          <w:rFonts w:ascii="Times New Roman" w:eastAsia="Times New Roman" w:hAnsi="Times New Roman" w:cs="Times New Roman"/>
          <w:b w:val="0"/>
          <w:i w:val="0"/>
          <w:color w:val="000000"/>
          <w:sz w:val="20"/>
          <w:u w:val="none"/>
        </w:rPr>
      </w:pPr>
    </w:p>
    <w:p>
      <w:pPr>
        <w:keepNext w:val="0"/>
        <w:keepLines w:val="0"/>
        <w:pageBreakBefore w:val="0"/>
        <w:widowControl/>
        <w:numPr>
          <w:ilvl w:val="0"/>
          <w:numId w:val="0"/>
        </w:numPr>
        <w:spacing w:before="0" w:after="0" w:line="269" w:lineRule="auto"/>
        <w:ind w:left="0" w:right="0" w:firstLine="0"/>
        <w:jc w:val="both"/>
        <w:outlineLvl w:val="9"/>
        <w:rPr>
          <w:rFonts w:ascii="Times New Roman" w:eastAsia="Times New Roman" w:hAnsi="Times New Roman" w:cs="Times New Roman"/>
          <w:b w:val="0"/>
          <w:i w:val="0"/>
          <w:color w:val="000000"/>
          <w:sz w:val="20"/>
          <w:u w:val="none"/>
        </w:rPr>
      </w:pPr>
      <w:r>
        <w:rPr>
          <w:rFonts w:ascii="Times New Roman" w:eastAsia="Times New Roman" w:hAnsi="Times New Roman" w:cs="Times New Roman"/>
          <w:b w:val="0"/>
          <w:i w:val="0"/>
          <w:color w:val="000000"/>
          <w:sz w:val="20"/>
          <w:u w:val="none"/>
        </w:rPr>
        <w:t xml:space="preserve">Following the Exchange and the Redemption, on August 5, 2026, </w:t>
      </w:r>
      <w:r>
        <w:rPr>
          <w:rFonts w:ascii="Times New Roman" w:eastAsia="Times New Roman" w:hAnsi="Times New Roman" w:cs="Times New Roman"/>
          <w:b w:val="0"/>
          <w:i w:val="0"/>
          <w:color w:val="000000"/>
          <w:sz w:val="20"/>
          <w:u w:val="none"/>
        </w:rPr>
        <w:t>18,400</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shares of Series D Preferred Stock remained outstanding with an aggregate Liquidation Preference of </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35.0 million</w:t>
      </w:r>
      <w:r>
        <w:rPr>
          <w:rFonts w:ascii="Times New Roman" w:eastAsia="Times New Roman" w:hAnsi="Times New Roman" w:cs="Times New Roman"/>
          <w:b w:val="0"/>
          <w:i w:val="0"/>
          <w:color w:val="000000"/>
          <w:sz w:val="20"/>
          <w:u w:val="none"/>
        </w:rPr>
        <w:t>.</w:t>
      </w:r>
    </w:p>
    <w:p>
      <w:pPr>
        <w:keepNext w:val="0"/>
        <w:keepLines w:val="0"/>
        <w:pageBreakBefore w:val="0"/>
        <w:widowControl/>
        <w:numPr>
          <w:ilvl w:val="0"/>
          <w:numId w:val="0"/>
        </w:numPr>
        <w:spacing w:before="0" w:after="0" w:line="269" w:lineRule="auto"/>
        <w:ind w:left="0" w:right="0" w:firstLine="0"/>
        <w:jc w:val="both"/>
        <w:outlineLvl w:val="9"/>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0" w:after="60" w:line="288" w:lineRule="auto"/>
        <w:ind w:left="1080" w:right="0" w:hanging="1080"/>
        <w:jc w:val="left"/>
        <w:outlineLvl w:val="1"/>
        <w:rPr>
          <w:rFonts w:ascii="Times New Roman" w:eastAsia="Times New Roman" w:hAnsi="Times New Roman" w:cs="Times New Roman"/>
          <w:b/>
          <w:i w:val="0"/>
          <w:color w:val="000000"/>
          <w:sz w:val="20"/>
          <w:u w:val="none"/>
        </w:rPr>
      </w:pPr>
      <w:bookmarkStart w:id="27" w:name="Section29"/>
      <w:bookmarkEnd w:id="27"/>
      <w:r>
        <w:rPr>
          <w:rFonts w:ascii="Times New Roman" w:eastAsia="Times New Roman" w:hAnsi="Times New Roman" w:cs="Times New Roman"/>
          <w:b/>
          <w:i w:val="0"/>
          <w:color w:val="000000"/>
          <w:sz w:val="20"/>
          <w:u w:val="none"/>
        </w:rPr>
        <w:t>Item 2.</w:t>
      </w:r>
      <w:r>
        <w:rPr>
          <w:rFonts w:ascii="Times New Roman" w:eastAsia="Times New Roman" w:hAnsi="Times New Roman" w:cs="Times New Roman"/>
          <w:b/>
          <w:i w:val="0"/>
          <w:color w:val="000000"/>
          <w:sz w:val="20"/>
          <w:u w:val="none"/>
        </w:rPr>
        <w:tab/>
      </w:r>
      <w:r>
        <w:rPr>
          <w:rFonts w:ascii="Times New Roman" w:eastAsia="Times New Roman" w:hAnsi="Times New Roman" w:cs="Times New Roman"/>
          <w:b/>
          <w:i w:val="0"/>
          <w:color w:val="000000"/>
          <w:sz w:val="20"/>
          <w:u w:val="none"/>
        </w:rPr>
        <w:t>Management’s Discussion and Analysis of Financial Condition and Results of Operations</w:t>
      </w: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i/>
          <w:color w:val="000000"/>
          <w:sz w:val="20"/>
          <w:u w:val="none"/>
        </w:rPr>
      </w:pPr>
      <w:r>
        <w:rPr>
          <w:rFonts w:ascii="Times New Roman" w:eastAsia="Times New Roman" w:hAnsi="Times New Roman" w:cs="Times New Roman"/>
          <w:b w:val="0"/>
          <w:i/>
          <w:sz w:val="20"/>
        </w:rPr>
        <w:t xml:space="preserve">Management’s Discussion and Analysis of Financial Condition and Results of Operations is intended to help the reader understand the results of operations and financial condition of NN, Inc. and its consolidated subsidiaries for the </w:t>
      </w:r>
      <w:r>
        <w:rPr>
          <w:rFonts w:ascii="Times New Roman" w:eastAsia="Times New Roman" w:hAnsi="Times New Roman" w:cs="Times New Roman"/>
          <w:b w:val="0"/>
          <w:i/>
          <w:color w:val="000000"/>
          <w:sz w:val="20"/>
          <w:u w:val="none"/>
        </w:rPr>
        <w:t>three and six months</w:t>
      </w:r>
      <w:r>
        <w:rPr>
          <w:rFonts w:ascii="Times New Roman" w:eastAsia="Times New Roman" w:hAnsi="Times New Roman" w:cs="Times New Roman"/>
          <w:b w:val="0"/>
          <w:i/>
          <w:sz w:val="20"/>
        </w:rPr>
        <w:t xml:space="preserve"> ended </w:t>
      </w:r>
      <w:r>
        <w:rPr>
          <w:rFonts w:ascii="Times New Roman" w:eastAsia="Times New Roman" w:hAnsi="Times New Roman" w:cs="Times New Roman"/>
          <w:b w:val="0"/>
          <w:i/>
          <w:color w:val="000000"/>
          <w:sz w:val="20"/>
          <w:u w:val="none"/>
        </w:rPr>
        <w:t>June 30, 2026</w:t>
      </w:r>
      <w:r>
        <w:rPr>
          <w:rFonts w:ascii="Times New Roman" w:eastAsia="Times New Roman" w:hAnsi="Times New Roman" w:cs="Times New Roman"/>
          <w:b w:val="0"/>
          <w:i/>
          <w:sz w:val="20"/>
        </w:rPr>
        <w:t xml:space="preserve">. The financial information as of </w:t>
      </w:r>
      <w:r>
        <w:rPr>
          <w:rFonts w:ascii="Times New Roman" w:eastAsia="Times New Roman" w:hAnsi="Times New Roman" w:cs="Times New Roman"/>
          <w:b w:val="0"/>
          <w:i/>
          <w:color w:val="000000"/>
          <w:sz w:val="20"/>
          <w:u w:val="none"/>
        </w:rPr>
        <w:t>June 30, 2026</w:t>
      </w:r>
      <w:r>
        <w:rPr>
          <w:rFonts w:ascii="Times New Roman" w:eastAsia="Times New Roman" w:hAnsi="Times New Roman" w:cs="Times New Roman"/>
          <w:b w:val="0"/>
          <w:i/>
          <w:sz w:val="20"/>
        </w:rPr>
        <w:t xml:space="preserve">, should be read in conjunction with the consolidated financial statements for the year ended </w:t>
      </w:r>
      <w:r>
        <w:rPr>
          <w:rFonts w:ascii="Times New Roman" w:eastAsia="Times New Roman" w:hAnsi="Times New Roman" w:cs="Times New Roman"/>
          <w:b w:val="0"/>
          <w:i/>
          <w:color w:val="000000"/>
          <w:sz w:val="20"/>
          <w:u w:val="none"/>
        </w:rPr>
        <w:t>December 31, 2025</w:t>
      </w:r>
      <w:r>
        <w:rPr>
          <w:rFonts w:ascii="Times New Roman" w:eastAsia="Times New Roman" w:hAnsi="Times New Roman" w:cs="Times New Roman"/>
          <w:b w:val="0"/>
          <w:i/>
          <w:sz w:val="20"/>
        </w:rPr>
        <w:t xml:space="preserve">, contained in our Form 10-K for the year ended December 31, </w:t>
      </w:r>
      <w:r>
        <w:rPr>
          <w:rFonts w:ascii="Times New Roman" w:eastAsia="Times New Roman" w:hAnsi="Times New Roman" w:cs="Times New Roman"/>
          <w:b w:val="0"/>
          <w:i/>
          <w:sz w:val="20"/>
        </w:rPr>
        <w:t>2025</w:t>
      </w:r>
      <w:r>
        <w:rPr>
          <w:rFonts w:ascii="Times New Roman" w:eastAsia="Times New Roman" w:hAnsi="Times New Roman" w:cs="Times New Roman"/>
          <w:b w:val="0"/>
          <w:i/>
          <w:sz w:val="20"/>
        </w:rPr>
        <w:t xml:space="preserve"> (“202</w:t>
      </w:r>
      <w:r>
        <w:rPr>
          <w:rFonts w:ascii="Times New Roman" w:eastAsia="Times New Roman" w:hAnsi="Times New Roman" w:cs="Times New Roman"/>
          <w:b w:val="0"/>
          <w:i/>
          <w:sz w:val="20"/>
        </w:rPr>
        <w:t>5</w:t>
      </w:r>
      <w:r>
        <w:rPr>
          <w:rFonts w:ascii="Times New Roman" w:eastAsia="Times New Roman" w:hAnsi="Times New Roman" w:cs="Times New Roman"/>
          <w:b w:val="0"/>
          <w:i/>
          <w:sz w:val="20"/>
        </w:rPr>
        <w:t xml:space="preserve"> Annual Report”), and the Condensed Consolidated Financial Statements included in this Quarterly Report.</w:t>
      </w:r>
    </w:p>
    <w:p>
      <w:pPr>
        <w:pStyle w:val="ItemandNotesheading"/>
        <w:keepNext/>
        <w:keepLines w:val="0"/>
        <w:pageBreakBefore w:val="0"/>
        <w:widowControl/>
        <w:numPr>
          <w:ilvl w:val="0"/>
          <w:numId w:val="0"/>
        </w:numPr>
        <w:spacing w:before="180" w:after="60" w:line="288" w:lineRule="auto"/>
        <w:ind w:left="0" w:right="0" w:firstLine="0"/>
        <w:jc w:val="left"/>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 xml:space="preserve">Forward-Looking Statements </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This Quarterly Report on Form 10-Q contains forward-looking statements within the meaning of the Private Securities Litigation Reform Act of 1995. Forward-looking statements generally can be identified by words such as, but not limited to, “anticipates,” “believes,” “could,” “estimates,” “expects,” “intends,” “may,” “plans,” “predicts,” “projects,” “will,” and similar expressions. These include, among other things, statements relating to the future growth of NN’s business and revenues, competitive position, expected new business wins, capital expenditures, and other aspects of the Company’s business operations, financial condition, and strategies. Forward-looking statements may appear throughout this report and other documents we file with the Securities and Exchange Commission (SEC), including without limitation, the following sections: Part I, Item 2, “Management’s Discussion and Analysis of Financial Condition and Results of Operations” in this Quarterly Report on Form 10-Q and Part I, Item 1A, “Risk Factors” in our Annual Report on Form 10-K for the fiscal year ended December 31, 2025, as updated in our subsequent Quarterly Reports on Form 10-Q. These forward-looking statements are based on current expectations and assumptions that are subject to risks and uncertainties, which could cause our actual results to differ materially from those reflected in the forward-looking statements. The potential risks and uncertainties that could cause actual results to differ from the results predicted include, among others, those risks and uncertainties included under the captions “Risk Factors” and “Management’s Discussion and Analysis of Financial Condition and Results of Operations” in the Company’s filings made with the SEC, which are available on the SEC website at www.sec.gov. We undertake no obligation to revise or publicly release the results of any revision to these forward-looking statements, except as required by law. Given these risks and uncertainties, readers are cautioned not to place undue reliance on such forward-looking statements.</w:t>
      </w:r>
    </w:p>
    <w:p>
      <w:pPr>
        <w:pStyle w:val="ItemandNotesheading"/>
        <w:keepNext/>
        <w:keepLines w:val="0"/>
        <w:pageBreakBefore w:val="0"/>
        <w:widowControl/>
        <w:numPr>
          <w:ilvl w:val="0"/>
          <w:numId w:val="0"/>
        </w:numPr>
        <w:spacing w:before="180" w:after="60" w:line="288" w:lineRule="auto"/>
        <w:ind w:left="0" w:right="0" w:firstLine="0"/>
        <w:jc w:val="left"/>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Overview</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highlight w:val="yellow"/>
          <w:u w:val="none"/>
        </w:rPr>
      </w:pPr>
      <w:r>
        <w:rPr>
          <w:rFonts w:ascii="Times New Roman" w:eastAsia="Times New Roman" w:hAnsi="Times New Roman" w:cs="Times New Roman"/>
          <w:b w:val="0"/>
          <w:i w:val="0"/>
          <w:sz w:val="20"/>
        </w:rPr>
        <w:t xml:space="preserve">NN, Inc., a Delaware corporation, is a diversified industrial company that combines advanced engineering and production capabilities with in-depth materials science expertise to design and manufacture high-precision components and assemblies for a variety of end markets on a global basis.  As used in this Quarterly Report, the terms “NN,” the “Company,” “we,” “our,” or “us” refer to NN, Inc. and its subsidiaries. </w:t>
      </w:r>
      <w:r>
        <w:rPr>
          <w:rFonts w:ascii="Times New Roman" w:eastAsia="Times New Roman" w:hAnsi="Times New Roman" w:cs="Times New Roman"/>
          <w:b w:val="0"/>
          <w:i w:val="0"/>
          <w:sz w:val="20"/>
        </w:rPr>
        <w:t>Except for per share data, percentages, or as otherwise indicated, all dollar amounts and share counts presented in the tables in this Management's Discussion and Analysis of Financial Condition and Results of Operations are in thousands.</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sz w:val="20"/>
        </w:rPr>
        <w:t>Private Placement</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On June 30, 2026, we entered into a Securities Purchase Agreement (the “Purchase Agreement”) with certain institutional investors (the “Purchasers”), pursuant to which the Company agreed to sell and issue to the Purchasers 24,509,804 shares (the “Shares”) of our common stock in a private placement transaction (the “Private Placement”). The purchase price per share of common stock in the Private Placement was $3.06 per share (the “Purchase Price”). The closing of the Private Placement occurred on July 2, 2026 (the “Closing”). We received total net proceeds from the Private Placement of $70.4 million, after deducting offering expenses paid by the Company. </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sz w:val="20"/>
        </w:rPr>
        <w:t xml:space="preserve">Series D Perpetual </w:t>
      </w:r>
      <w:r>
        <w:rPr>
          <w:rFonts w:ascii="Times New Roman" w:eastAsia="Times New Roman" w:hAnsi="Times New Roman" w:cs="Times New Roman"/>
          <w:b w:val="0"/>
          <w:i/>
          <w:color w:val="000000"/>
          <w:sz w:val="20"/>
          <w:u w:val="none"/>
        </w:rPr>
        <w:t>Preferred</w:t>
      </w:r>
      <w:r>
        <w:rPr>
          <w:rFonts w:ascii="Times New Roman" w:eastAsia="Times New Roman" w:hAnsi="Times New Roman" w:cs="Times New Roman"/>
          <w:b w:val="0"/>
          <w:i/>
          <w:sz w:val="20"/>
        </w:rPr>
        <w:t xml:space="preserve"> Stock Redemption and Exchange</w:t>
      </w:r>
    </w:p>
    <w:p>
      <w:pPr>
        <w:keepNext w:val="0"/>
        <w:keepLines w:val="0"/>
        <w:pageBreakBefore w:val="0"/>
        <w:widowControl/>
        <w:numPr>
          <w:ilvl w:val="0"/>
          <w:numId w:val="0"/>
        </w:numPr>
        <w:spacing w:before="0" w:after="0" w:line="269" w:lineRule="auto"/>
        <w:ind w:left="0" w:right="0" w:firstLine="0"/>
        <w:jc w:val="both"/>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On August 5, 2026, we</w:t>
      </w:r>
      <w:r>
        <w:rPr>
          <w:rFonts w:ascii="Times New Roman" w:eastAsia="Times New Roman" w:hAnsi="Times New Roman" w:cs="Times New Roman"/>
          <w:b/>
          <w:i w:val="0"/>
          <w:sz w:val="24"/>
        </w:rPr>
        <w:t xml:space="preserve"> </w:t>
      </w:r>
      <w:r>
        <w:rPr>
          <w:rFonts w:ascii="Times New Roman" w:eastAsia="Times New Roman" w:hAnsi="Times New Roman" w:cs="Times New Roman"/>
          <w:b w:val="0"/>
          <w:i w:val="0"/>
          <w:sz w:val="20"/>
        </w:rPr>
        <w:t>entered into an Exchange Agreement (the “Exchange Agreement”) with NHTV Holdings, LP (the “Holder”), the holder of the Series D Preferred Stock issued pursuant to the Certificate of Designation of Series D Perpetual Preferred Stock (the “Certificate of Designation”).</w:t>
      </w:r>
      <w:r>
        <w:rPr>
          <w:rFonts w:ascii="Times New Roman" w:eastAsia="Times New Roman" w:hAnsi="Times New Roman" w:cs="Times New Roman"/>
          <w:b w:val="0"/>
          <w:i w:val="0"/>
          <w:sz w:val="24"/>
        </w:rPr>
        <w:t xml:space="preserve">  </w:t>
      </w:r>
      <w:r>
        <w:rPr>
          <w:rFonts w:ascii="Times New Roman" w:eastAsia="Times New Roman" w:hAnsi="Times New Roman" w:cs="Times New Roman"/>
          <w:b w:val="0"/>
          <w:i w:val="0"/>
          <w:sz w:val="20"/>
        </w:rPr>
        <w:t xml:space="preserve">Pursuant to the terms of the Exchange Agreement, on August 5, 2026, we exchanged </w:t>
      </w:r>
      <w:r>
        <w:rPr>
          <w:rFonts w:ascii="Times New Roman" w:eastAsia="Times New Roman" w:hAnsi="Times New Roman" w:cs="Times New Roman"/>
          <w:b w:val="0"/>
          <w:i w:val="0"/>
          <w:color w:val="000000"/>
          <w:sz w:val="20"/>
          <w:u w:val="none"/>
        </w:rPr>
        <w:t>9,850</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shares of Series D Preferred Stock for </w:t>
      </w:r>
      <w:r>
        <w:rPr>
          <w:rFonts w:ascii="Times New Roman" w:eastAsia="Times New Roman" w:hAnsi="Times New Roman" w:cs="Times New Roman"/>
          <w:b w:val="0"/>
          <w:i w:val="0"/>
          <w:color w:val="000000"/>
          <w:sz w:val="20"/>
          <w:u w:val="none"/>
        </w:rPr>
        <w:t>5,500,000</w:t>
      </w:r>
      <w:r>
        <w:rPr>
          <w:rFonts w:ascii="Times New Roman" w:eastAsia="Times New Roman" w:hAnsi="Times New Roman" w:cs="Times New Roman"/>
          <w:b w:val="0"/>
          <w:i w:val="0"/>
          <w:sz w:val="20"/>
        </w:rPr>
        <w:t xml:space="preserve"> newly issued shares of our common stock, par value $0.01 per share (the “Common Stock” and the transaction, the “Exchange”).</w:t>
      </w:r>
      <w:r>
        <w:rPr>
          <w:rFonts w:ascii="Times New Roman" w:eastAsia="Times New Roman" w:hAnsi="Times New Roman" w:cs="Times New Roman"/>
          <w:b w:val="0"/>
          <w:i w:val="0"/>
          <w:sz w:val="24"/>
        </w:rPr>
        <w:t xml:space="preserve">  </w:t>
      </w:r>
      <w:r>
        <w:rPr>
          <w:rFonts w:ascii="Times New Roman" w:eastAsia="Times New Roman" w:hAnsi="Times New Roman" w:cs="Times New Roman"/>
          <w:b w:val="0"/>
          <w:i w:val="0"/>
          <w:sz w:val="20"/>
        </w:rPr>
        <w:t>The Exchange was conditioned upon the concurrent consummation of the Redemption (defined below).</w:t>
      </w:r>
      <w:r>
        <w:rPr>
          <w:rFonts w:ascii="Times New Roman" w:eastAsia="Times New Roman" w:hAnsi="Times New Roman" w:cs="Times New Roman"/>
          <w:b w:val="0"/>
          <w:i w:val="0"/>
          <w:sz w:val="24"/>
        </w:rPr>
        <w:t xml:space="preserve">  </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sz w:val="24"/>
        </w:rPr>
      </w:pPr>
    </w:p>
    <w:p>
      <w:pPr>
        <w:keepNext w:val="0"/>
        <w:keepLines w:val="0"/>
        <w:pageBreakBefore w:val="0"/>
        <w:widowControl/>
        <w:numPr>
          <w:ilvl w:val="0"/>
          <w:numId w:val="0"/>
        </w:numPr>
        <w:spacing w:before="0" w:after="0" w:line="269" w:lineRule="auto"/>
        <w:ind w:left="0" w:right="0" w:firstLine="0"/>
        <w:jc w:val="both"/>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In addition, pursuant to the Exchange Agreement, the Holder agreed to reduce (a) the Cash Dividend Rate (as defined in the Certificate of Designation) to an amount equal to 10.0% per annum of the then current Liquidation Preference (as defined in the Certificate of Designation) and (b) the Preference Accrual Rate (as defined in the Certificate of Designation) to an amount equal to 10.0% per annum of the then current Liquidation Preference, in each case through August 5, 2027.</w:t>
      </w:r>
      <w:r>
        <w:rPr>
          <w:rFonts w:ascii="Times New Roman" w:eastAsia="Times New Roman" w:hAnsi="Times New Roman" w:cs="Times New Roman"/>
          <w:b w:val="0"/>
          <w:i w:val="0"/>
          <w:sz w:val="24"/>
        </w:rPr>
        <w:t xml:space="preserve">  </w:t>
      </w:r>
      <w:r>
        <w:rPr>
          <w:rFonts w:ascii="Times New Roman" w:eastAsia="Times New Roman" w:hAnsi="Times New Roman" w:cs="Times New Roman"/>
          <w:b w:val="0"/>
          <w:i w:val="0"/>
          <w:sz w:val="20"/>
        </w:rPr>
        <w:t>After August 5, 2027, the Cash Dividend Rate and the Preference Accrual Rate will revert to the amounts as calculated in accordance with the Certificate of Designation.</w:t>
      </w:r>
      <w:r>
        <w:rPr>
          <w:rFonts w:ascii="Times New Roman" w:eastAsia="Times New Roman" w:hAnsi="Times New Roman" w:cs="Times New Roman"/>
          <w:b w:val="0"/>
          <w:i w:val="0"/>
          <w:sz w:val="24"/>
        </w:rPr>
        <w:t xml:space="preserve">  </w:t>
      </w:r>
      <w:r>
        <w:rPr>
          <w:rFonts w:ascii="Times New Roman" w:eastAsia="Times New Roman" w:hAnsi="Times New Roman" w:cs="Times New Roman"/>
          <w:b w:val="0"/>
          <w:i w:val="0"/>
          <w:sz w:val="20"/>
        </w:rPr>
        <w:t>The Holder also agreed that in the event we redeem in full for cash all of the then-outstanding Series D Preferred Stock from the Holder in accordance with the Certificate of Designation and pay the Holder the aggregate Redemption Price (as defined in the Certificate of Designation) otherwise payable in respect thereof on or before December 31, 2026 (the “Final Redemption”), the aggregate Redemption Price payable by us in respect of the Final Redemption Price will be reduced by $5.0 million.</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sz w:val="24"/>
        </w:rPr>
      </w:pPr>
    </w:p>
    <w:p>
      <w:pPr>
        <w:keepNext w:val="0"/>
        <w:keepLines w:val="0"/>
        <w:pageBreakBefore w:val="0"/>
        <w:widowControl/>
        <w:numPr>
          <w:ilvl w:val="0"/>
          <w:numId w:val="0"/>
        </w:numPr>
        <w:spacing w:before="0" w:after="0" w:line="269" w:lineRule="auto"/>
        <w:ind w:left="0" w:right="0" w:firstLine="0"/>
        <w:jc w:val="both"/>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On August 5, 2026, the Company redeemed </w:t>
      </w:r>
      <w:r>
        <w:rPr>
          <w:rFonts w:ascii="Times New Roman" w:eastAsia="Times New Roman" w:hAnsi="Times New Roman" w:cs="Times New Roman"/>
          <w:b w:val="0"/>
          <w:i w:val="0"/>
          <w:color w:val="000000"/>
          <w:sz w:val="20"/>
          <w:u w:val="none"/>
        </w:rPr>
        <w:t>36,750</w:t>
      </w:r>
      <w:r>
        <w:rPr>
          <w:rFonts w:ascii="Times New Roman" w:eastAsia="Times New Roman" w:hAnsi="Times New Roman" w:cs="Times New Roman"/>
          <w:b w:val="0"/>
          <w:i w:val="0"/>
          <w:sz w:val="20"/>
        </w:rPr>
        <w:t xml:space="preserve"> shares of Series D Preferred Stock pursuant to the optional redemption provision of the Certificate of Designation for an aggregate redemption price of $</w:t>
      </w:r>
      <w:r>
        <w:rPr>
          <w:rFonts w:ascii="Times New Roman" w:eastAsia="Times New Roman" w:hAnsi="Times New Roman" w:cs="Times New Roman"/>
          <w:b w:val="0"/>
          <w:i w:val="0"/>
          <w:color w:val="000000"/>
          <w:sz w:val="20"/>
          <w:u w:val="none"/>
        </w:rPr>
        <w:t>70.0 million</w:t>
      </w:r>
      <w:r>
        <w:rPr>
          <w:rFonts w:ascii="Times New Roman" w:eastAsia="Times New Roman" w:hAnsi="Times New Roman" w:cs="Times New Roman"/>
          <w:b w:val="0"/>
          <w:i w:val="0"/>
          <w:sz w:val="20"/>
        </w:rPr>
        <w:t xml:space="preserve"> (the “Redemption”).</w:t>
      </w:r>
      <w:r>
        <w:rPr>
          <w:rFonts w:ascii="Times New Roman" w:eastAsia="Times New Roman" w:hAnsi="Times New Roman" w:cs="Times New Roman"/>
          <w:b w:val="0"/>
          <w:i w:val="0"/>
          <w:sz w:val="24"/>
        </w:rPr>
        <w:t xml:space="preserve">  </w:t>
      </w:r>
      <w:r>
        <w:rPr>
          <w:rFonts w:ascii="Times New Roman" w:eastAsia="Times New Roman" w:hAnsi="Times New Roman" w:cs="Times New Roman"/>
          <w:b w:val="0"/>
          <w:i w:val="0"/>
          <w:sz w:val="20"/>
        </w:rPr>
        <w:t>The Redemption was conditioned upon the concurrent consummation of the Exchange.</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sz w:val="24"/>
        </w:rPr>
      </w:pPr>
    </w:p>
    <w:p>
      <w:pPr>
        <w:keepNext w:val="0"/>
        <w:keepLines w:val="0"/>
        <w:pageBreakBefore w:val="0"/>
        <w:widowControl/>
        <w:numPr>
          <w:ilvl w:val="0"/>
          <w:numId w:val="0"/>
        </w:numPr>
        <w:spacing w:before="0" w:after="0" w:line="269" w:lineRule="auto"/>
        <w:ind w:left="0" w:right="0" w:firstLine="0"/>
        <w:jc w:val="both"/>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Following the Exchange and the Redemption, on August 5, 2026,</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18,400</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shares of Series D Preferred Stock remained outstanding with an aggregate Liquidation Preference of </w:t>
      </w:r>
      <w:r>
        <w:rPr>
          <w:rFonts w:ascii="Times New Roman" w:eastAsia="Times New Roman" w:hAnsi="Times New Roman" w:cs="Times New Roman"/>
          <w:b w:val="0"/>
          <w:i w:val="0"/>
          <w:sz w:val="20"/>
        </w:rPr>
        <w:t>$</w:t>
      </w:r>
      <w:r>
        <w:rPr>
          <w:rFonts w:ascii="Times New Roman" w:eastAsia="Times New Roman" w:hAnsi="Times New Roman" w:cs="Times New Roman"/>
          <w:b w:val="0"/>
          <w:i w:val="0"/>
          <w:color w:val="000000"/>
          <w:sz w:val="20"/>
          <w:u w:val="none"/>
        </w:rPr>
        <w:t>35.0 million</w:t>
      </w:r>
      <w:r>
        <w:rPr>
          <w:rFonts w:ascii="Times New Roman" w:eastAsia="Times New Roman" w:hAnsi="Times New Roman" w:cs="Times New Roman"/>
          <w:b w:val="0"/>
          <w:i w:val="0"/>
          <w:sz w:val="20"/>
        </w:rPr>
        <w:t>.</w:t>
      </w:r>
    </w:p>
    <w:p>
      <w:pPr>
        <w:keepNext w:val="0"/>
        <w:keepLines w:val="0"/>
        <w:pageBreakBefore w:val="0"/>
        <w:widowControl/>
        <w:numPr>
          <w:ilvl w:val="0"/>
          <w:numId w:val="0"/>
        </w:numPr>
        <w:spacing w:before="0" w:after="0" w:line="269" w:lineRule="auto"/>
        <w:ind w:left="0" w:right="0" w:firstLine="0"/>
        <w:jc w:val="both"/>
        <w:outlineLvl w:val="9"/>
        <w:sectPr>
          <w:pgSz w:w="12240" w:h="15840"/>
          <w:pgMar w:top="810" w:right="990" w:bottom="810" w:left="990" w:header="270" w:footer="270"/>
          <w:cols w:space="708"/>
        </w:sectPr>
      </w:pPr>
    </w:p>
    <w:p>
      <w:pPr>
        <w:pStyle w:val="Subheading"/>
        <w:keepNext/>
        <w:keepLines w:val="0"/>
        <w:pageBreakBefore w:val="0"/>
        <w:widowControl/>
        <w:numPr>
          <w:ilvl w:val="0"/>
          <w:numId w:val="0"/>
        </w:numPr>
        <w:spacing w:before="180" w:after="0" w:line="288" w:lineRule="auto"/>
        <w:ind w:left="0" w:right="0" w:firstLine="0"/>
        <w:jc w:val="left"/>
        <w:outlineLvl w:val="2"/>
        <w:rPr>
          <w:rFonts w:ascii="Times New Roman" w:eastAsia="Times New Roman" w:hAnsi="Times New Roman" w:cs="Times New Roman"/>
          <w:b w:val="0"/>
          <w:i/>
          <w:color w:val="000000"/>
          <w:sz w:val="20"/>
          <w:u w:val="none"/>
        </w:rPr>
      </w:pPr>
      <w:bookmarkStart w:id="28" w:name="Section30"/>
      <w:bookmarkEnd w:id="28"/>
      <w:r>
        <w:rPr>
          <w:rFonts w:ascii="Times New Roman" w:eastAsia="Times New Roman" w:hAnsi="Times New Roman" w:cs="Times New Roman"/>
          <w:b/>
          <w:i w:val="0"/>
          <w:color w:val="000000"/>
          <w:sz w:val="20"/>
          <w:u w:val="none"/>
        </w:rPr>
        <w:t xml:space="preserve">Factors That May Influence Results of Operations </w:t>
      </w:r>
    </w:p>
    <w:p>
      <w:pPr>
        <w:keepNext w:val="0"/>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believe there are several important factors that have influenced, and we expect will continue to influence, our results of operations.</w:t>
      </w:r>
    </w:p>
    <w:p>
      <w:pPr>
        <w:keepNext/>
        <w:keepLines w:val="0"/>
        <w:pageBreakBefore w:val="0"/>
        <w:widowControl/>
        <w:numPr>
          <w:ilvl w:val="0"/>
          <w:numId w:val="0"/>
        </w:numPr>
        <w:spacing w:before="180" w:after="60" w:line="288" w:lineRule="auto"/>
        <w:ind w:left="0" w:right="0" w:firstLine="0"/>
        <w:jc w:val="left"/>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u w:val="single"/>
        </w:rPr>
        <w:t>Macroeconomic Conditions</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We continue to monitor the ongoing impacts of current macroeconomic and geopolitical events, including changing conditions from global trade negotiations and tariffs, inflationary cost pressures on metal, raw materials, and other manufacturing inputs, elevated interest rates, supply chain disruptions, and ongoing military conflicts.</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Global trade negotiations continue to create volatility in the marketplace.</w:t>
      </w:r>
      <w:r>
        <w:rPr>
          <w:rFonts w:ascii="Times New Roman" w:eastAsia="Times New Roman" w:hAnsi="Times New Roman" w:cs="Times New Roman"/>
          <w:b w:val="0"/>
          <w:i w:val="0"/>
          <w:sz w:val="24"/>
        </w:rPr>
        <w:t xml:space="preserve">  </w:t>
      </w:r>
      <w:r>
        <w:rPr>
          <w:rFonts w:ascii="Times New Roman" w:eastAsia="Times New Roman" w:hAnsi="Times New Roman" w:cs="Times New Roman"/>
          <w:b w:val="0"/>
          <w:i w:val="0"/>
          <w:sz w:val="20"/>
        </w:rPr>
        <w:t>New trade restrictions and/or increases in tariffs could have a material impact on our business, financial condition, or results of operations by increasing our input costs and decreasing demand, although the nature of those trade restrictions and tariffs remains unclear.</w:t>
      </w:r>
      <w:r>
        <w:rPr>
          <w:rFonts w:ascii="Times New Roman" w:eastAsia="Times New Roman" w:hAnsi="Times New Roman" w:cs="Times New Roman"/>
          <w:b w:val="0"/>
          <w:i w:val="0"/>
          <w:sz w:val="24"/>
        </w:rPr>
        <w:t xml:space="preserve">  </w:t>
      </w:r>
      <w:r>
        <w:rPr>
          <w:rFonts w:ascii="Times New Roman" w:eastAsia="Times New Roman" w:hAnsi="Times New Roman" w:cs="Times New Roman"/>
          <w:b w:val="0"/>
          <w:i w:val="0"/>
          <w:sz w:val="20"/>
        </w:rPr>
        <w:t>Additionally, tariffs may increase the risk for elevated inflation more generally, which may drive an increase in other input costs and have made it more difficult to procure precious metals. In particular, prices for commodities and certain metals, including, but not limited to, steel, copper, and precious metals, have recently shown increased volatility. Significant price increases for these commodities and precious metals have, and could continue to have, an adverse effect on our liquidity and operating profits if we cannot timely mitigate the price increases by successfully sourcing lower cost commodities or precious metals or by passing the increased costs on to customers.</w:t>
      </w:r>
      <w:r>
        <w:rPr>
          <w:rFonts w:ascii="Times New Roman" w:eastAsia="Times New Roman" w:hAnsi="Times New Roman" w:cs="Times New Roman"/>
          <w:b w:val="0"/>
          <w:i w:val="0"/>
          <w:sz w:val="14"/>
        </w:rPr>
        <w:t xml:space="preserve"> </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sz w:val="24"/>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We cannot predict the future impact on our end-markets or input costs, including tariffs and their potential implications and ramifications, nor our ability to recover all cost increases, including the cost of raw materials, through pricing or the timing of such recoveries.</w:t>
      </w:r>
    </w:p>
    <w:p>
      <w:pPr>
        <w:keepNext/>
        <w:keepLines w:val="0"/>
        <w:pageBreakBefore w:val="0"/>
        <w:widowControl/>
        <w:numPr>
          <w:ilvl w:val="0"/>
          <w:numId w:val="0"/>
        </w:numPr>
        <w:spacing w:before="180" w:after="60" w:line="288" w:lineRule="auto"/>
        <w:ind w:left="0" w:right="0" w:firstLine="0"/>
        <w:jc w:val="left"/>
        <w:outlineLvl w:val="9"/>
        <w:rPr>
          <w:rFonts w:ascii="Times New Roman" w:eastAsia="Times New Roman" w:hAnsi="Times New Roman" w:cs="Times New Roman"/>
          <w:b w:val="0"/>
          <w:i w:val="0"/>
          <w:color w:val="000000"/>
          <w:sz w:val="20"/>
          <w:u w:val="single"/>
        </w:rPr>
      </w:pPr>
      <w:r>
        <w:rPr>
          <w:rFonts w:ascii="Times New Roman" w:eastAsia="Times New Roman" w:hAnsi="Times New Roman" w:cs="Times New Roman"/>
          <w:b w:val="0"/>
          <w:i w:val="0"/>
          <w:color w:val="000000"/>
          <w:sz w:val="20"/>
          <w:u w:val="single"/>
        </w:rPr>
        <w:t>Footprint Optimization</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During the second half of 2024, we identified two manufacturing facilities to close due to volume rationalization which have reduced costs and improved operational efficiency.</w:t>
      </w:r>
      <w:r>
        <w:rPr>
          <w:rFonts w:ascii="Times New Roman" w:eastAsia="Times New Roman" w:hAnsi="Times New Roman" w:cs="Times New Roman"/>
          <w:b w:val="0"/>
          <w:i w:val="0"/>
          <w:sz w:val="24"/>
        </w:rPr>
        <w:t xml:space="preserve">  </w:t>
      </w:r>
      <w:r>
        <w:rPr>
          <w:rFonts w:ascii="Times New Roman" w:eastAsia="Times New Roman" w:hAnsi="Times New Roman" w:cs="Times New Roman"/>
          <w:b w:val="0"/>
          <w:i w:val="0"/>
          <w:sz w:val="20"/>
        </w:rPr>
        <w:t>During the first quarter of 2025, we ceased production activities at our Mobile Solutions plants in Juarez, Mexico and Dowagiac, Michigan. In addition, we implemented operational and cost optimization actions to reduce indirect and overhead costs. We continue to evaluate our global footprint, which may result in further consolidation actions to further improve our overall cost structure.</w:t>
      </w:r>
    </w:p>
    <w:p>
      <w:pPr>
        <w:keepNext w:val="0"/>
        <w:keepLines w:val="0"/>
        <w:pageBreakBefore w:val="0"/>
        <w:widowControl/>
        <w:numPr>
          <w:ilvl w:val="0"/>
          <w:numId w:val="0"/>
        </w:numPr>
        <w:spacing w:before="0" w:after="0" w:line="288" w:lineRule="auto"/>
        <w:ind w:left="0" w:right="0" w:firstLine="0"/>
        <w:jc w:val="left"/>
        <w:outlineLvl w:val="9"/>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0" w:right="0" w:firstLine="0"/>
        <w:jc w:val="left"/>
        <w:outlineLvl w:val="2"/>
        <w:rPr>
          <w:rFonts w:ascii="Times New Roman" w:eastAsia="Times New Roman" w:hAnsi="Times New Roman" w:cs="Times New Roman"/>
          <w:b/>
          <w:i w:val="0"/>
          <w:color w:val="000000"/>
          <w:sz w:val="20"/>
          <w:u w:val="none"/>
        </w:rPr>
      </w:pPr>
      <w:bookmarkStart w:id="29" w:name="Section31"/>
      <w:bookmarkEnd w:id="29"/>
      <w:r>
        <w:rPr>
          <w:rFonts w:ascii="Times New Roman" w:eastAsia="Times New Roman" w:hAnsi="Times New Roman" w:cs="Times New Roman"/>
          <w:b/>
          <w:i w:val="0"/>
          <w:color w:val="000000"/>
          <w:sz w:val="20"/>
          <w:u w:val="none"/>
        </w:rPr>
        <w:t>Results of Operations</w:t>
      </w:r>
    </w:p>
    <w:p>
      <w:pPr>
        <w:pStyle w:val="Subheading"/>
        <w:keepNext/>
        <w:keepLines w:val="0"/>
        <w:pageBreakBefore w:val="0"/>
        <w:widowControl/>
        <w:numPr>
          <w:ilvl w:val="0"/>
          <w:numId w:val="0"/>
        </w:numPr>
        <w:spacing w:before="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Three Months Ended June 30, 2026</w:t>
      </w:r>
      <w:r>
        <w:rPr>
          <w:rFonts w:ascii="Times New Roman" w:eastAsia="Times New Roman" w:hAnsi="Times New Roman" w:cs="Times New Roman"/>
          <w:b w:val="0"/>
          <w:i/>
          <w:color w:val="000000"/>
          <w:sz w:val="20"/>
          <w:u w:val="none"/>
        </w:rPr>
        <w:t xml:space="preserve"> compared to the </w:t>
      </w:r>
      <w:r>
        <w:rPr>
          <w:rFonts w:ascii="Times New Roman" w:eastAsia="Times New Roman" w:hAnsi="Times New Roman" w:cs="Times New Roman"/>
          <w:b w:val="0"/>
          <w:i/>
          <w:color w:val="000000"/>
          <w:sz w:val="20"/>
          <w:u w:val="none"/>
        </w:rPr>
        <w:t>Three Months Ended June 30, 2025</w:t>
      </w:r>
      <w:r>
        <w:rPr>
          <w:rFonts w:ascii="Times New Roman" w:eastAsia="Times New Roman" w:hAnsi="Times New Roman" w:cs="Times New Roman"/>
          <w:b w:val="0"/>
          <w:i/>
          <w:color w:val="000000"/>
          <w:sz w:val="20"/>
          <w:u w:val="none"/>
        </w:rPr>
        <w:t xml:space="preserve"> </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00"/>
          <w:sz w:val="20"/>
          <w:u w:val="single"/>
        </w:rPr>
        <w:t>Consolidated Results</w:t>
      </w:r>
    </w:p>
    <w:tbl>
      <w:tblPr>
        <w:tblStyle w:val="TableNormal0"/>
        <w:tblW w:w="10260" w:type="dxa"/>
        <w:jc w:val="left"/>
        <w:tblInd w:w="0" w:type="dxa"/>
        <w:tblLayout w:type="fixed"/>
      </w:tblPr>
      <w:tblGrid>
        <w:gridCol w:w="6510"/>
        <w:gridCol w:w="1200"/>
        <w:gridCol w:w="75"/>
        <w:gridCol w:w="1200"/>
        <w:gridCol w:w="75"/>
        <w:gridCol w:w="1200"/>
      </w:tblGrid>
      <w:tr>
        <w:tblPrEx>
          <w:tblW w:w="10260" w:type="dxa"/>
          <w:tblInd w:w="0" w:type="dxa"/>
          <w:tblLayout w:type="fixed"/>
        </w:tblPrEx>
        <w:trPr>
          <w:trHeight w:hRule="auto" w:val="0"/>
        </w:trPr>
        <w:tc>
          <w:tcPr>
            <w:tcW w:w="6510" w:type="dxa"/>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left"/>
            </w:pPr>
            <w:r>
              <w:rPr>
                <w:rFonts w:ascii="Times New Roman" w:eastAsia="Times New Roman" w:hAnsi="Times New Roman" w:cs="Times New Roman"/>
                <w:b w:val="0"/>
                <w:i w:val="0"/>
                <w:color w:val="000000"/>
                <w:sz w:val="16"/>
                <w:u w:val="none"/>
              </w:rPr>
              <w:t> </w:t>
            </w:r>
          </w:p>
        </w:tc>
        <w:tc>
          <w:tcPr>
            <w:tcW w:w="3750" w:type="dxa"/>
            <w:gridSpan w:val="5"/>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Three Months Ended June 30,</w:t>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45" w:after="20" w:line="240" w:lineRule="auto"/>
              <w:jc w:val="left"/>
            </w:pPr>
            <w:r>
              <w:rPr>
                <w:rFonts w:ascii="Times New Roman" w:eastAsia="Times New Roman" w:hAnsi="Times New Roman" w:cs="Times New Roman"/>
                <w:b w:val="0"/>
                <w:i w:val="0"/>
                <w:color w:val="000000"/>
                <w:sz w:val="16"/>
                <w:u w:val="none"/>
              </w:rPr>
              <w:t> </w:t>
            </w: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2025</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 Change</w:t>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45" w:after="20" w:line="240" w:lineRule="auto"/>
              <w:ind w:left="360" w:hanging="360"/>
              <w:jc w:val="left"/>
            </w:pPr>
            <w:r>
              <w:rPr>
                <w:rFonts w:ascii="Times New Roman" w:eastAsia="Times New Roman" w:hAnsi="Times New Roman" w:cs="Times New Roman"/>
                <w:b w:val="0"/>
                <w:i w:val="0"/>
                <w:color w:val="000000"/>
                <w:sz w:val="20"/>
                <w:u w:val="none"/>
              </w:rPr>
              <w:t>Net sales</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17"/>
                <w:tab w:val="left" w:pos="1132"/>
              </w:tabs>
              <w:spacing w:before="45" w:after="20" w:line="240" w:lineRule="auto"/>
              <w:jc w:val="right"/>
            </w:pPr>
            <w:r>
              <w:rPr>
                <w:rFonts w:ascii="Times New Roman" w:eastAsia="Times New Roman" w:hAnsi="Times New Roman" w:cs="Times New Roman"/>
                <w:b w:val="0"/>
                <w:i w:val="0"/>
                <w:color w:val="000000"/>
                <w:sz w:val="20"/>
                <w:u w:val="none"/>
              </w:rPr>
              <w:t>$</w:t>
              <w:tab/>
              <w:t>128,741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17"/>
                <w:tab w:val="left" w:pos="1132"/>
              </w:tabs>
              <w:spacing w:before="45" w:after="20" w:line="240" w:lineRule="auto"/>
              <w:jc w:val="right"/>
            </w:pPr>
            <w:r>
              <w:rPr>
                <w:rFonts w:ascii="Times New Roman" w:eastAsia="Times New Roman" w:hAnsi="Times New Roman" w:cs="Times New Roman"/>
                <w:b w:val="0"/>
                <w:i w:val="0"/>
                <w:color w:val="000000"/>
                <w:sz w:val="20"/>
                <w:u w:val="none"/>
              </w:rPr>
              <w:t>$</w:t>
              <w:tab/>
              <w:t>107,921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45" w:after="20" w:line="240" w:lineRule="auto"/>
              <w:jc w:val="right"/>
            </w:pPr>
            <w:r>
              <w:rPr>
                <w:rFonts w:ascii="Times New Roman" w:eastAsia="Times New Roman" w:hAnsi="Times New Roman" w:cs="Times New Roman"/>
                <w:b w:val="0"/>
                <w:i w:val="0"/>
                <w:color w:val="000000"/>
                <w:sz w:val="20"/>
                <w:u w:val="none"/>
              </w:rPr>
              <w:t>$</w:t>
              <w:tab/>
              <w:t>20,820</w:t>
              <w:tab/>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Cost of sales (exclusive of depreciation and amortization shown separately below)</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417"/>
                <w:tab w:val="left" w:pos="1132"/>
              </w:tabs>
              <w:spacing w:before="65" w:after="20" w:line="240" w:lineRule="auto"/>
              <w:jc w:val="right"/>
            </w:pPr>
            <w:r>
              <w:rPr>
                <w:rFonts w:ascii="Times New Roman" w:eastAsia="Times New Roman" w:hAnsi="Times New Roman" w:cs="Times New Roman"/>
                <w:b w:val="0"/>
                <w:i w:val="0"/>
                <w:color w:val="000000"/>
                <w:sz w:val="20"/>
                <w:u w:val="none"/>
              </w:rPr>
              <w:tab/>
              <w:t>106,863</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89,699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17,164</w:t>
              <w:tab/>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Selling, general, and administrative expense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12,570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65" w:after="20" w:line="240" w:lineRule="auto"/>
              <w:jc w:val="right"/>
            </w:pPr>
            <w:r>
              <w:rPr>
                <w:rFonts w:ascii="Times New Roman" w:eastAsia="Times New Roman" w:hAnsi="Times New Roman" w:cs="Times New Roman"/>
                <w:b w:val="0"/>
                <w:i w:val="0"/>
                <w:color w:val="000000"/>
                <w:sz w:val="20"/>
                <w:u w:val="none"/>
              </w:rPr>
              <w:tab/>
              <w:t>12,095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65" w:after="20" w:line="240" w:lineRule="auto"/>
              <w:jc w:val="right"/>
            </w:pPr>
            <w:r>
              <w:rPr>
                <w:rFonts w:ascii="Times New Roman" w:eastAsia="Times New Roman" w:hAnsi="Times New Roman" w:cs="Times New Roman"/>
                <w:b w:val="0"/>
                <w:i w:val="0"/>
                <w:color w:val="000000"/>
                <w:sz w:val="20"/>
                <w:u w:val="none"/>
              </w:rPr>
              <w:tab/>
              <w:t>475</w:t>
              <w:tab/>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Depreciation and amortization</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9,344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8,918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67"/>
                <w:tab w:val="left" w:pos="1132"/>
              </w:tabs>
              <w:spacing w:before="65" w:after="20" w:line="240" w:lineRule="auto"/>
              <w:jc w:val="right"/>
            </w:pPr>
            <w:r>
              <w:rPr>
                <w:rFonts w:ascii="Times New Roman" w:eastAsia="Times New Roman" w:hAnsi="Times New Roman" w:cs="Times New Roman"/>
                <w:b w:val="0"/>
                <w:i w:val="0"/>
                <w:color w:val="000000"/>
                <w:sz w:val="20"/>
                <w:u w:val="none"/>
              </w:rPr>
              <w:tab/>
              <w:t>426</w:t>
              <w:tab/>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Other operating income, net</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(1,041)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(1,327)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65" w:after="20" w:line="240" w:lineRule="auto"/>
              <w:jc w:val="right"/>
            </w:pPr>
            <w:r>
              <w:rPr>
                <w:rFonts w:ascii="Times New Roman" w:eastAsia="Times New Roman" w:hAnsi="Times New Roman" w:cs="Times New Roman"/>
                <w:b w:val="0"/>
                <w:i w:val="0"/>
                <w:color w:val="000000"/>
                <w:sz w:val="20"/>
                <w:u w:val="none"/>
              </w:rPr>
              <w:tab/>
              <w:t>286</w:t>
              <w:tab/>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45" w:after="20" w:line="240" w:lineRule="auto"/>
              <w:ind w:left="360" w:hanging="360"/>
              <w:jc w:val="left"/>
            </w:pPr>
            <w:r>
              <w:rPr>
                <w:rFonts w:ascii="Times New Roman" w:eastAsia="Times New Roman" w:hAnsi="Times New Roman" w:cs="Times New Roman"/>
                <w:b/>
                <w:i w:val="0"/>
                <w:color w:val="000000"/>
                <w:sz w:val="20"/>
                <w:u w:val="none"/>
              </w:rPr>
              <w:t>Income (loss) from operations</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45" w:after="20" w:line="240" w:lineRule="auto"/>
              <w:jc w:val="right"/>
            </w:pPr>
            <w:r>
              <w:rPr>
                <w:rFonts w:ascii="Times New Roman" w:eastAsia="Times New Roman" w:hAnsi="Times New Roman" w:cs="Times New Roman"/>
                <w:b w:val="0"/>
                <w:i w:val="0"/>
                <w:color w:val="000000"/>
                <w:sz w:val="20"/>
                <w:u w:val="none"/>
              </w:rPr>
              <w:tab/>
              <w:t>1,005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ab/>
              <w:t>(1,464)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45" w:after="20" w:line="240" w:lineRule="auto"/>
              <w:jc w:val="right"/>
            </w:pPr>
            <w:r>
              <w:rPr>
                <w:rFonts w:ascii="Times New Roman" w:eastAsia="Times New Roman" w:hAnsi="Times New Roman" w:cs="Times New Roman"/>
                <w:b w:val="0"/>
                <w:i w:val="0"/>
                <w:color w:val="000000"/>
                <w:sz w:val="20"/>
                <w:u w:val="none"/>
              </w:rPr>
              <w:tab/>
              <w:t>2,469</w:t>
              <w:tab/>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Interest expense</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5,720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5,657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63</w:t>
              <w:tab/>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Loss on extinguishment of debt</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67"/>
                <w:tab w:val="left" w:pos="1132"/>
              </w:tabs>
              <w:spacing w:before="65" w:after="2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3,007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ab/>
              <w:t>(3,007)</w:t>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Other income, net</w:t>
            </w: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81"/>
              </w:tabs>
              <w:spacing w:before="65" w:after="20" w:line="240" w:lineRule="auto"/>
              <w:jc w:val="right"/>
            </w:pPr>
            <w:r>
              <w:rPr>
                <w:rFonts w:ascii="Times New Roman" w:eastAsia="Times New Roman" w:hAnsi="Times New Roman" w:cs="Times New Roman"/>
                <w:b w:val="0"/>
                <w:i w:val="0"/>
                <w:color w:val="000000"/>
                <w:sz w:val="20"/>
                <w:u w:val="none"/>
              </w:rPr>
              <w:tab/>
              <w:t>(217)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81"/>
              </w:tabs>
              <w:spacing w:before="65" w:after="20" w:line="240" w:lineRule="auto"/>
              <w:jc w:val="right"/>
            </w:pPr>
            <w:r>
              <w:rPr>
                <w:rFonts w:ascii="Times New Roman" w:eastAsia="Times New Roman" w:hAnsi="Times New Roman" w:cs="Times New Roman"/>
                <w:b w:val="0"/>
                <w:i w:val="0"/>
                <w:color w:val="000000"/>
                <w:sz w:val="20"/>
                <w:u w:val="none"/>
              </w:rPr>
              <w:tab/>
              <w:t>(619)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65" w:after="20" w:line="240" w:lineRule="auto"/>
              <w:jc w:val="right"/>
            </w:pPr>
            <w:r>
              <w:rPr>
                <w:rFonts w:ascii="Times New Roman" w:eastAsia="Times New Roman" w:hAnsi="Times New Roman" w:cs="Times New Roman"/>
                <w:b w:val="0"/>
                <w:i w:val="0"/>
                <w:color w:val="000000"/>
                <w:sz w:val="20"/>
                <w:u w:val="none"/>
              </w:rPr>
              <w:tab/>
              <w:t>402</w:t>
              <w:tab/>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45" w:after="20" w:line="240" w:lineRule="auto"/>
              <w:ind w:left="360" w:hanging="360"/>
              <w:jc w:val="left"/>
            </w:pPr>
            <w:r>
              <w:rPr>
                <w:rFonts w:ascii="Times New Roman" w:eastAsia="Times New Roman" w:hAnsi="Times New Roman" w:cs="Times New Roman"/>
                <w:b w:val="0"/>
                <w:i w:val="0"/>
                <w:color w:val="000000"/>
                <w:sz w:val="20"/>
                <w:u w:val="none"/>
              </w:rPr>
              <w:t>Loss before provision for income taxes and share of net income from joint venture</w:t>
            </w: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ab/>
              <w:t>(4,498)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ab/>
              <w:t>(9,509)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45" w:after="20" w:line="240" w:lineRule="auto"/>
              <w:jc w:val="right"/>
            </w:pPr>
            <w:r>
              <w:rPr>
                <w:rFonts w:ascii="Times New Roman" w:eastAsia="Times New Roman" w:hAnsi="Times New Roman" w:cs="Times New Roman"/>
                <w:b w:val="0"/>
                <w:i w:val="0"/>
                <w:color w:val="000000"/>
                <w:sz w:val="20"/>
                <w:u w:val="none"/>
              </w:rPr>
              <w:tab/>
              <w:t>5,011</w:t>
              <w:tab/>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Provision for income taxes</w:t>
            </w: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s>
              <w:spacing w:before="65" w:after="20" w:line="240" w:lineRule="auto"/>
              <w:jc w:val="right"/>
            </w:pPr>
            <w:r>
              <w:rPr>
                <w:rFonts w:ascii="Times New Roman" w:eastAsia="Times New Roman" w:hAnsi="Times New Roman" w:cs="Times New Roman"/>
                <w:b w:val="0"/>
                <w:i w:val="0"/>
                <w:color w:val="000000"/>
                <w:sz w:val="20"/>
                <w:u w:val="none"/>
              </w:rPr>
              <w:tab/>
              <w:t>(189)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81"/>
              </w:tabs>
              <w:spacing w:before="65" w:after="20" w:line="240" w:lineRule="auto"/>
              <w:jc w:val="right"/>
            </w:pPr>
            <w:r>
              <w:rPr>
                <w:rFonts w:ascii="Times New Roman" w:eastAsia="Times New Roman" w:hAnsi="Times New Roman" w:cs="Times New Roman"/>
                <w:b w:val="0"/>
                <w:i w:val="0"/>
                <w:color w:val="000000"/>
                <w:sz w:val="20"/>
                <w:u w:val="none"/>
              </w:rPr>
              <w:tab/>
              <w:t>(774)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67"/>
                <w:tab w:val="left" w:pos="1132"/>
              </w:tabs>
              <w:spacing w:before="65" w:after="20" w:line="240" w:lineRule="auto"/>
              <w:jc w:val="right"/>
            </w:pPr>
            <w:r>
              <w:rPr>
                <w:rFonts w:ascii="Times New Roman" w:eastAsia="Times New Roman" w:hAnsi="Times New Roman" w:cs="Times New Roman"/>
                <w:b w:val="0"/>
                <w:i w:val="0"/>
                <w:color w:val="000000"/>
                <w:sz w:val="20"/>
                <w:u w:val="none"/>
              </w:rPr>
              <w:tab/>
              <w:t>585</w:t>
              <w:tab/>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ind w:left="360" w:hanging="360"/>
              <w:jc w:val="left"/>
            </w:pPr>
            <w:r>
              <w:rPr>
                <w:rFonts w:ascii="Times New Roman" w:eastAsia="Times New Roman" w:hAnsi="Times New Roman" w:cs="Times New Roman"/>
                <w:b w:val="0"/>
                <w:i w:val="0"/>
                <w:color w:val="000000"/>
                <w:sz w:val="20"/>
                <w:u w:val="none"/>
              </w:rPr>
              <w:t>Share of net income from joint venture</w:t>
            </w: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2,420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617"/>
                <w:tab w:val="left" w:pos="1132"/>
              </w:tabs>
              <w:spacing w:before="65" w:after="20" w:line="240" w:lineRule="auto"/>
              <w:jc w:val="right"/>
            </w:pPr>
            <w:r>
              <w:rPr>
                <w:rFonts w:ascii="Times New Roman" w:eastAsia="Times New Roman" w:hAnsi="Times New Roman" w:cs="Times New Roman"/>
                <w:b w:val="0"/>
                <w:i w:val="0"/>
                <w:color w:val="000000"/>
                <w:sz w:val="20"/>
                <w:u w:val="none"/>
              </w:rPr>
              <w:tab/>
              <w:t>2,181</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200"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67"/>
                <w:tab w:val="left" w:pos="1132"/>
              </w:tabs>
              <w:spacing w:before="65" w:after="20" w:line="240" w:lineRule="auto"/>
              <w:jc w:val="right"/>
            </w:pPr>
            <w:r>
              <w:rPr>
                <w:rFonts w:ascii="Times New Roman" w:eastAsia="Times New Roman" w:hAnsi="Times New Roman" w:cs="Times New Roman"/>
                <w:b w:val="0"/>
                <w:i w:val="0"/>
                <w:color w:val="000000"/>
                <w:sz w:val="20"/>
                <w:u w:val="none"/>
              </w:rPr>
              <w:tab/>
              <w:t>239</w:t>
              <w:tab/>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CCEEFF"/>
            <w:tcMar>
              <w:top w:w="0" w:type="dxa"/>
              <w:left w:w="53" w:type="dxa"/>
              <w:bottom w:w="0" w:type="dxa"/>
              <w:right w:w="53" w:type="dxa"/>
            </w:tcMar>
            <w:vAlign w:val="top"/>
          </w:tcPr>
          <w:p>
            <w:pPr>
              <w:pageBreakBefore w:val="0"/>
              <w:spacing w:before="45" w:after="20" w:line="240" w:lineRule="auto"/>
              <w:ind w:left="360" w:hanging="360"/>
              <w:jc w:val="left"/>
            </w:pPr>
            <w:r>
              <w:rPr>
                <w:rFonts w:ascii="Times New Roman" w:eastAsia="Times New Roman" w:hAnsi="Times New Roman" w:cs="Times New Roman"/>
                <w:b/>
                <w:i w:val="0"/>
                <w:color w:val="000000"/>
                <w:sz w:val="20"/>
                <w:u w:val="none"/>
              </w:rPr>
              <w:t>Net loss</w:t>
            </w: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w:t>
              <w:tab/>
              <w:t>(2,267)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531"/>
              </w:tabs>
              <w:spacing w:before="45" w:after="20" w:line="240" w:lineRule="auto"/>
              <w:jc w:val="right"/>
            </w:pPr>
            <w:r>
              <w:rPr>
                <w:rFonts w:ascii="Times New Roman" w:eastAsia="Times New Roman" w:hAnsi="Times New Roman" w:cs="Times New Roman"/>
                <w:b w:val="0"/>
                <w:i w:val="0"/>
                <w:color w:val="000000"/>
                <w:sz w:val="20"/>
                <w:u w:val="none"/>
              </w:rPr>
              <w:t>$</w:t>
              <w:tab/>
              <w:t>(8,102)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200"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17"/>
                <w:tab w:val="left" w:pos="1132"/>
              </w:tabs>
              <w:spacing w:before="45" w:after="20" w:line="240" w:lineRule="auto"/>
              <w:jc w:val="right"/>
            </w:pPr>
            <w:r>
              <w:rPr>
                <w:rFonts w:ascii="Times New Roman" w:eastAsia="Times New Roman" w:hAnsi="Times New Roman" w:cs="Times New Roman"/>
                <w:b w:val="0"/>
                <w:i w:val="0"/>
                <w:color w:val="000000"/>
                <w:sz w:val="20"/>
                <w:u w:val="none"/>
              </w:rPr>
              <w:t>$</w:t>
              <w:tab/>
              <w:t>5,835</w:t>
              <w:tab/>
            </w:r>
          </w:p>
        </w:tc>
      </w:tr>
    </w:tbl>
    <w:p>
      <w:pPr>
        <w:keepNext w:val="0"/>
        <w:keepLines w:val="0"/>
        <w:pageBreakBefore w:val="0"/>
        <w:widowControl/>
        <w:numPr>
          <w:ilvl w:val="0"/>
          <w:numId w:val="0"/>
        </w:numPr>
        <w:spacing w:before="120" w:after="0" w:line="269"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sz w:val="20"/>
        </w:rPr>
        <w:t>Net Sales</w:t>
      </w:r>
      <w:r>
        <w:rPr>
          <w:rFonts w:ascii="Times New Roman" w:eastAsia="Times New Roman" w:hAnsi="Times New Roman" w:cs="Times New Roman"/>
          <w:b w:val="0"/>
          <w:i w:val="0"/>
          <w:sz w:val="20"/>
        </w:rPr>
        <w:t xml:space="preserve">.  Net sales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$20.8 million</w:t>
      </w:r>
      <w:r>
        <w:rPr>
          <w:rFonts w:ascii="Times New Roman" w:eastAsia="Times New Roman" w:hAnsi="Times New Roman" w:cs="Times New Roman"/>
          <w:b w:val="0"/>
          <w:i w:val="0"/>
          <w:sz w:val="20"/>
        </w:rPr>
        <w:t xml:space="preserve">, or </w:t>
      </w:r>
      <w:r>
        <w:rPr>
          <w:rFonts w:ascii="Times New Roman" w:eastAsia="Times New Roman" w:hAnsi="Times New Roman" w:cs="Times New Roman"/>
          <w:b w:val="0"/>
          <w:i w:val="0"/>
          <w:color w:val="000000"/>
          <w:sz w:val="20"/>
          <w:u w:val="none"/>
        </w:rPr>
        <w:t>19.3%</w:t>
      </w:r>
      <w:r>
        <w:rPr>
          <w:rFonts w:ascii="Times New Roman" w:eastAsia="Times New Roman" w:hAnsi="Times New Roman" w:cs="Times New Roman"/>
          <w:b w:val="0"/>
          <w:i w:val="0"/>
          <w:sz w:val="20"/>
        </w:rPr>
        <w:t xml:space="preserve">, during the three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three months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primarily due to </w:t>
      </w:r>
      <w:r>
        <w:rPr>
          <w:rFonts w:ascii="Times New Roman" w:eastAsia="Times New Roman" w:hAnsi="Times New Roman" w:cs="Times New Roman"/>
          <w:b w:val="0"/>
          <w:i w:val="0"/>
          <w:sz w:val="20"/>
        </w:rPr>
        <w:t>higher selling prices, reflecting the pass-throug</w:t>
      </w:r>
      <w:r>
        <w:rPr>
          <w:rFonts w:ascii="Times New Roman" w:eastAsia="Times New Roman" w:hAnsi="Times New Roman" w:cs="Times New Roman"/>
          <w:b w:val="0"/>
          <w:i w:val="0"/>
          <w:sz w:val="20"/>
        </w:rPr>
        <w:t>h of increas</w:t>
      </w:r>
      <w:r>
        <w:rPr>
          <w:rFonts w:ascii="Times New Roman" w:eastAsia="Times New Roman" w:hAnsi="Times New Roman" w:cs="Times New Roman"/>
          <w:b w:val="0"/>
          <w:i w:val="0"/>
          <w:sz w:val="20"/>
        </w:rPr>
        <w:t>ed raw mater</w:t>
      </w:r>
      <w:r>
        <w:rPr>
          <w:rFonts w:ascii="Times New Roman" w:eastAsia="Times New Roman" w:hAnsi="Times New Roman" w:cs="Times New Roman"/>
          <w:b w:val="0"/>
          <w:i w:val="0"/>
          <w:sz w:val="20"/>
        </w:rPr>
        <w:t>ial costs to</w:t>
      </w:r>
      <w:r>
        <w:rPr>
          <w:rFonts w:ascii="Times New Roman" w:eastAsia="Times New Roman" w:hAnsi="Times New Roman" w:cs="Times New Roman"/>
          <w:b w:val="0"/>
          <w:i w:val="0"/>
          <w:sz w:val="20"/>
        </w:rPr>
        <w:t xml:space="preserve"> custome</w:t>
      </w:r>
      <w:r>
        <w:rPr>
          <w:rFonts w:ascii="Times New Roman" w:eastAsia="Times New Roman" w:hAnsi="Times New Roman" w:cs="Times New Roman"/>
          <w:b w:val="0"/>
          <w:i w:val="0"/>
          <w:sz w:val="20"/>
        </w:rPr>
        <w:t>rs</w:t>
      </w:r>
      <w:r>
        <w:rPr>
          <w:rFonts w:ascii="Times New Roman" w:eastAsia="Times New Roman" w:hAnsi="Times New Roman" w:cs="Times New Roman"/>
          <w:b w:val="0"/>
          <w:i w:val="0"/>
          <w:sz w:val="20"/>
        </w:rPr>
        <w:t>, higher volume</w:t>
      </w:r>
      <w:r>
        <w:rPr>
          <w:rFonts w:ascii="Times New Roman" w:eastAsia="Times New Roman" w:hAnsi="Times New Roman" w:cs="Times New Roman"/>
          <w:b w:val="0"/>
          <w:i w:val="0"/>
          <w:sz w:val="20"/>
        </w:rPr>
        <w:t>s</w:t>
      </w:r>
      <w:r>
        <w:rPr>
          <w:rFonts w:ascii="Times New Roman" w:eastAsia="Times New Roman" w:hAnsi="Times New Roman" w:cs="Times New Roman"/>
          <w:b w:val="0"/>
          <w:i w:val="0"/>
          <w:sz w:val="20"/>
        </w:rPr>
        <w:t>, and favorable foreign exchange effects</w:t>
      </w:r>
      <w:r>
        <w:rPr>
          <w:rFonts w:ascii="Times New Roman" w:eastAsia="Times New Roman" w:hAnsi="Times New Roman" w:cs="Times New Roman"/>
          <w:b w:val="0"/>
          <w:i w:val="0"/>
          <w:sz w:val="20"/>
        </w:rPr>
        <w:t>.</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sz w:val="16"/>
        </w:rPr>
      </w:pPr>
      <w:r>
        <w:rPr>
          <w:rFonts w:ascii="Times New Roman" w:eastAsia="Times New Roman" w:hAnsi="Times New Roman" w:cs="Times New Roman"/>
          <w:b w:val="0"/>
          <w:i/>
          <w:sz w:val="20"/>
        </w:rPr>
        <w:t>Cost of Sales.</w:t>
      </w:r>
      <w:r>
        <w:rPr>
          <w:rFonts w:ascii="Times New Roman" w:eastAsia="Times New Roman" w:hAnsi="Times New Roman" w:cs="Times New Roman"/>
          <w:b w:val="0"/>
          <w:i w:val="0"/>
          <w:sz w:val="20"/>
        </w:rPr>
        <w:t xml:space="preserve"> Cost of sales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$17.2 million</w:t>
      </w:r>
      <w:r>
        <w:rPr>
          <w:rFonts w:ascii="Times New Roman" w:eastAsia="Times New Roman" w:hAnsi="Times New Roman" w:cs="Times New Roman"/>
          <w:b w:val="0"/>
          <w:i w:val="0"/>
          <w:sz w:val="20"/>
        </w:rPr>
        <w:t xml:space="preserve">, or </w:t>
      </w:r>
      <w:r>
        <w:rPr>
          <w:rFonts w:ascii="Times New Roman" w:eastAsia="Times New Roman" w:hAnsi="Times New Roman" w:cs="Times New Roman"/>
          <w:b w:val="0"/>
          <w:i w:val="0"/>
          <w:color w:val="000000"/>
          <w:sz w:val="20"/>
          <w:u w:val="none"/>
        </w:rPr>
        <w:t>19.1%</w:t>
      </w:r>
      <w:r>
        <w:rPr>
          <w:rFonts w:ascii="Times New Roman" w:eastAsia="Times New Roman" w:hAnsi="Times New Roman" w:cs="Times New Roman"/>
          <w:b w:val="0"/>
          <w:i w:val="0"/>
          <w:sz w:val="20"/>
        </w:rPr>
        <w:t xml:space="preserve">, during the three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three months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primarily</w:t>
      </w:r>
      <w:r>
        <w:rPr>
          <w:rFonts w:ascii="Times New Roman" w:eastAsia="Times New Roman" w:hAnsi="Times New Roman" w:cs="Times New Roman"/>
          <w:b w:val="0"/>
          <w:i w:val="0"/>
          <w:sz w:val="20"/>
        </w:rPr>
        <w:t xml:space="preserve"> due to</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raw material price increases</w:t>
      </w:r>
      <w:r>
        <w:rPr>
          <w:rFonts w:ascii="Times New Roman" w:eastAsia="Times New Roman" w:hAnsi="Times New Roman" w:cs="Times New Roman"/>
          <w:b w:val="0"/>
          <w:i w:val="0"/>
          <w:sz w:val="20"/>
        </w:rPr>
        <w:t>, higher volume</w:t>
      </w:r>
      <w:r>
        <w:rPr>
          <w:rFonts w:ascii="Times New Roman" w:eastAsia="Times New Roman" w:hAnsi="Times New Roman" w:cs="Times New Roman"/>
          <w:b w:val="0"/>
          <w:i w:val="0"/>
          <w:sz w:val="20"/>
        </w:rPr>
        <w:t>s</w:t>
      </w:r>
      <w:r>
        <w:rPr>
          <w:rFonts w:ascii="Times New Roman" w:eastAsia="Times New Roman" w:hAnsi="Times New Roman" w:cs="Times New Roman"/>
          <w:b w:val="0"/>
          <w:i w:val="0"/>
          <w:sz w:val="20"/>
        </w:rPr>
        <w:t xml:space="preserve">, unfavorable </w:t>
      </w:r>
      <w:r>
        <w:rPr>
          <w:rFonts w:ascii="Times New Roman" w:eastAsia="Times New Roman" w:hAnsi="Times New Roman" w:cs="Times New Roman"/>
          <w:b w:val="0"/>
          <w:i w:val="0"/>
          <w:sz w:val="20"/>
        </w:rPr>
        <w:t>plant</w:t>
      </w:r>
      <w:r>
        <w:rPr>
          <w:rFonts w:ascii="Times New Roman" w:eastAsia="Times New Roman" w:hAnsi="Times New Roman" w:cs="Times New Roman"/>
          <w:b w:val="0"/>
          <w:i w:val="0"/>
          <w:sz w:val="20"/>
        </w:rPr>
        <w:t xml:space="preserve"> mix, and unfavor</w:t>
      </w:r>
      <w:r>
        <w:rPr>
          <w:rFonts w:ascii="Times New Roman" w:eastAsia="Times New Roman" w:hAnsi="Times New Roman" w:cs="Times New Roman"/>
          <w:b w:val="0"/>
          <w:i w:val="0"/>
          <w:sz w:val="20"/>
        </w:rPr>
        <w:t xml:space="preserve">able foreign exchange effects. These increases are partially offset by rationalization </w:t>
      </w:r>
      <w:r>
        <w:rPr>
          <w:rFonts w:ascii="Times New Roman" w:eastAsia="Times New Roman" w:hAnsi="Times New Roman" w:cs="Times New Roman"/>
          <w:b w:val="0"/>
          <w:i w:val="0"/>
          <w:sz w:val="20"/>
        </w:rPr>
        <w:t>efforts taken in 2025 providing benefits</w:t>
      </w:r>
      <w:r>
        <w:rPr>
          <w:rFonts w:ascii="Times New Roman" w:eastAsia="Times New Roman" w:hAnsi="Times New Roman" w:cs="Times New Roman"/>
          <w:b w:val="0"/>
          <w:i w:val="0"/>
          <w:sz w:val="20"/>
        </w:rPr>
        <w:t xml:space="preserve"> in the current year. </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sz w:val="20"/>
        </w:rPr>
        <w:t>Selling, General, and Administrative Expense.</w:t>
      </w:r>
      <w:r>
        <w:rPr>
          <w:rFonts w:ascii="Times New Roman" w:eastAsia="Times New Roman" w:hAnsi="Times New Roman" w:cs="Times New Roman"/>
          <w:b w:val="0"/>
          <w:i w:val="0"/>
          <w:sz w:val="20"/>
        </w:rPr>
        <w:t xml:space="preserve"> Selling, general, and administrative expense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$0.5 million</w:t>
      </w:r>
      <w:r>
        <w:rPr>
          <w:rFonts w:ascii="Times New Roman" w:eastAsia="Times New Roman" w:hAnsi="Times New Roman" w:cs="Times New Roman"/>
          <w:b w:val="0"/>
          <w:i w:val="0"/>
          <w:sz w:val="20"/>
        </w:rPr>
        <w:t xml:space="preserve"> during the three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three months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primarily due to</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higher compensation costs</w:t>
      </w:r>
      <w:r>
        <w:rPr>
          <w:rFonts w:ascii="Times New Roman" w:eastAsia="Times New Roman" w:hAnsi="Times New Roman" w:cs="Times New Roman"/>
          <w:b w:val="0"/>
          <w:i w:val="0"/>
          <w:sz w:val="20"/>
        </w:rPr>
        <w:t xml:space="preserve"> and unfavorable </w:t>
      </w:r>
      <w:r>
        <w:rPr>
          <w:rFonts w:ascii="Times New Roman" w:eastAsia="Times New Roman" w:hAnsi="Times New Roman" w:cs="Times New Roman"/>
          <w:b w:val="0"/>
          <w:i w:val="0"/>
          <w:sz w:val="20"/>
        </w:rPr>
        <w:t xml:space="preserve">foreign exchange effects. </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highlight w:val="yellow"/>
          <w:u w:val="none"/>
        </w:rPr>
      </w:pP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sz w:val="20"/>
        </w:rPr>
        <w:t>Depreciation and amortization</w:t>
      </w:r>
      <w:r>
        <w:rPr>
          <w:rFonts w:ascii="Times New Roman" w:eastAsia="Times New Roman" w:hAnsi="Times New Roman" w:cs="Times New Roman"/>
          <w:b w:val="0"/>
          <w:i w:val="0"/>
          <w:sz w:val="20"/>
        </w:rPr>
        <w:t xml:space="preserve">. Depreciation and amortization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$0.4 million</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during the three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three months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primarily due to the impact of capital expenditures placed in service in the current and prior year.</w:t>
      </w:r>
      <w:r>
        <w:rPr>
          <w:rFonts w:ascii="Times New Roman" w:eastAsia="Times New Roman" w:hAnsi="Times New Roman" w:cs="Times New Roman"/>
          <w:b w:val="0"/>
          <w:i w:val="0"/>
          <w:sz w:val="24"/>
        </w:rPr>
        <w:t xml:space="preserve">   </w:t>
      </w:r>
      <w:r>
        <w:rPr>
          <w:rFonts w:ascii="Times New Roman" w:eastAsia="Times New Roman" w:hAnsi="Times New Roman" w:cs="Times New Roman"/>
          <w:b w:val="0"/>
          <w:i w:val="0"/>
          <w:sz w:val="20"/>
        </w:rPr>
        <w:t xml:space="preserve">   </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p>
    <w:p>
      <w:pPr>
        <w:keepNext/>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sz w:val="16"/>
        </w:rPr>
      </w:pPr>
      <w:r>
        <w:rPr>
          <w:rFonts w:ascii="Times New Roman" w:eastAsia="Times New Roman" w:hAnsi="Times New Roman" w:cs="Times New Roman"/>
          <w:b w:val="0"/>
          <w:i/>
          <w:sz w:val="20"/>
        </w:rPr>
        <w:t>Interest Expense.</w:t>
      </w:r>
      <w:r>
        <w:rPr>
          <w:rFonts w:ascii="Times New Roman" w:eastAsia="Times New Roman" w:hAnsi="Times New Roman" w:cs="Times New Roman"/>
          <w:b w:val="0"/>
          <w:i w:val="0"/>
          <w:sz w:val="20"/>
        </w:rPr>
        <w:t xml:space="preserve">  Interest expense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$0.1 million</w:t>
      </w:r>
      <w:r>
        <w:rPr>
          <w:rFonts w:ascii="Times New Roman" w:eastAsia="Times New Roman" w:hAnsi="Times New Roman" w:cs="Times New Roman"/>
          <w:b w:val="0"/>
          <w:i w:val="0"/>
          <w:sz w:val="20"/>
        </w:rPr>
        <w:t xml:space="preserve"> during the three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three months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primarily due to </w:t>
      </w:r>
      <w:r>
        <w:rPr>
          <w:rFonts w:ascii="Times New Roman" w:eastAsia="Times New Roman" w:hAnsi="Times New Roman" w:cs="Times New Roman"/>
          <w:b w:val="0"/>
          <w:i w:val="0"/>
          <w:sz w:val="20"/>
        </w:rPr>
        <w:t>an increase</w:t>
      </w:r>
      <w:r>
        <w:rPr>
          <w:rFonts w:ascii="Times New Roman" w:eastAsia="Times New Roman" w:hAnsi="Times New Roman" w:cs="Times New Roman"/>
          <w:b w:val="0"/>
          <w:i w:val="0"/>
          <w:sz w:val="20"/>
        </w:rPr>
        <w:t xml:space="preserve"> in</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average debt balances</w:t>
      </w:r>
      <w:r>
        <w:rPr>
          <w:rFonts w:ascii="Times New Roman" w:eastAsia="Times New Roman" w:hAnsi="Times New Roman" w:cs="Times New Roman"/>
          <w:b w:val="0"/>
          <w:i w:val="0"/>
          <w:sz w:val="20"/>
        </w:rPr>
        <w:t>.</w:t>
      </w:r>
    </w:p>
    <w:tbl>
      <w:tblPr>
        <w:tblStyle w:val="TableNormal0"/>
        <w:tblW w:w="10260" w:type="dxa"/>
        <w:jc w:val="left"/>
        <w:tblInd w:w="0" w:type="dxa"/>
        <w:tblLayout w:type="fixed"/>
      </w:tblPr>
      <w:tblGrid>
        <w:gridCol w:w="7575"/>
        <w:gridCol w:w="1305"/>
        <w:gridCol w:w="75"/>
        <w:gridCol w:w="1305"/>
      </w:tblGrid>
      <w:tr>
        <w:tblPrEx>
          <w:tblW w:w="10260" w:type="dxa"/>
          <w:tblInd w:w="0" w:type="dxa"/>
          <w:tblLayout w:type="fixed"/>
        </w:tblPrEx>
        <w:trPr>
          <w:trHeight w:hRule="auto" w:val="0"/>
        </w:trPr>
        <w:tc>
          <w:tcPr>
            <w:tcW w:w="7575" w:type="dxa"/>
            <w:tcBorders>
              <w:top w:val="nil"/>
              <w:left w:val="nil"/>
              <w:bottom w:val="nil"/>
              <w:right w:val="nil"/>
            </w:tcBorders>
            <w:tcMar>
              <w:top w:w="0" w:type="dxa"/>
              <w:left w:w="53" w:type="dxa"/>
              <w:bottom w:w="0" w:type="dxa"/>
              <w:right w:w="53" w:type="dxa"/>
            </w:tcMar>
            <w:vAlign w:val="bottom"/>
          </w:tcPr>
          <w:p>
            <w:pPr>
              <w:keepNext/>
              <w:pageBreakBefore w:val="0"/>
              <w:spacing w:before="65" w:after="20" w:line="240" w:lineRule="auto"/>
              <w:jc w:val="left"/>
            </w:pPr>
            <w:r>
              <w:rPr>
                <w:rFonts w:ascii="Times New Roman" w:eastAsia="Times New Roman" w:hAnsi="Times New Roman" w:cs="Times New Roman"/>
                <w:b w:val="0"/>
                <w:i w:val="0"/>
                <w:color w:val="000000"/>
                <w:sz w:val="16"/>
                <w:u w:val="none"/>
              </w:rPr>
              <w:t> </w:t>
            </w:r>
          </w:p>
        </w:tc>
        <w:tc>
          <w:tcPr>
            <w:tcW w:w="268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Three Months Ended June 30,</w:t>
            </w:r>
          </w:p>
        </w:tc>
      </w:tr>
      <w:tr>
        <w:tblPrEx>
          <w:tblW w:w="10260" w:type="dxa"/>
          <w:tblInd w:w="0" w:type="dxa"/>
          <w:tblLayout w:type="fixed"/>
        </w:tblPrEx>
        <w:trPr>
          <w:trHeight w:hRule="auto" w:val="0"/>
        </w:trPr>
        <w:tc>
          <w:tcPr>
            <w:tcW w:w="7575" w:type="dxa"/>
            <w:tcBorders>
              <w:top w:val="nil"/>
              <w:left w:val="nil"/>
              <w:bottom w:val="nil"/>
              <w:right w:val="nil"/>
            </w:tcBorders>
            <w:tcMar>
              <w:top w:w="0" w:type="dxa"/>
              <w:left w:w="53" w:type="dxa"/>
              <w:bottom w:w="0" w:type="dxa"/>
              <w:right w:w="53" w:type="dxa"/>
            </w:tcMar>
            <w:vAlign w:val="bottom"/>
          </w:tcPr>
          <w:p>
            <w:pPr>
              <w:keepNext/>
              <w:pageBreakBefore w:val="0"/>
              <w:spacing w:before="45" w:after="20" w:line="240" w:lineRule="auto"/>
              <w:jc w:val="left"/>
            </w:pPr>
            <w:r>
              <w:rPr>
                <w:rFonts w:ascii="Times New Roman" w:eastAsia="Times New Roman" w:hAnsi="Times New Roman" w:cs="Times New Roman"/>
                <w:b w:val="0"/>
                <w:i w:val="0"/>
                <w:color w:val="000000"/>
                <w:sz w:val="16"/>
                <w:u w:val="none"/>
              </w:rPr>
              <w:t> </w:t>
            </w: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2025</w:t>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45" w:after="20" w:line="240" w:lineRule="auto"/>
              <w:jc w:val="left"/>
            </w:pPr>
            <w:r>
              <w:rPr>
                <w:rFonts w:ascii="Times New Roman" w:eastAsia="Times New Roman" w:hAnsi="Times New Roman" w:cs="Times New Roman"/>
                <w:b w:val="0"/>
                <w:i w:val="0"/>
                <w:color w:val="000000"/>
                <w:sz w:val="20"/>
                <w:u w:val="none"/>
              </w:rPr>
              <w:t>Interest on debt</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45" w:after="20" w:line="240" w:lineRule="auto"/>
              <w:jc w:val="right"/>
            </w:pPr>
            <w:r>
              <w:rPr>
                <w:rFonts w:ascii="Times New Roman" w:eastAsia="Times New Roman" w:hAnsi="Times New Roman" w:cs="Times New Roman"/>
                <w:b w:val="0"/>
                <w:i w:val="0"/>
                <w:color w:val="000000"/>
                <w:sz w:val="20"/>
                <w:u w:val="none"/>
              </w:rPr>
              <w:t>$</w:t>
              <w:tab/>
              <w:t>5,548</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45" w:after="20" w:line="240" w:lineRule="auto"/>
              <w:jc w:val="right"/>
            </w:pPr>
            <w:r>
              <w:rPr>
                <w:rFonts w:ascii="Times New Roman" w:eastAsia="Times New Roman" w:hAnsi="Times New Roman" w:cs="Times New Roman"/>
                <w:b w:val="0"/>
                <w:i w:val="0"/>
                <w:color w:val="000000"/>
                <w:sz w:val="20"/>
                <w:u w:val="none"/>
              </w:rPr>
              <w:t>$</w:t>
              <w:tab/>
              <w:t>5,377</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Amortization of debt issuance costs and discount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65" w:after="20" w:line="240" w:lineRule="auto"/>
              <w:jc w:val="right"/>
            </w:pPr>
            <w:r>
              <w:rPr>
                <w:rFonts w:ascii="Times New Roman" w:eastAsia="Times New Roman" w:hAnsi="Times New Roman" w:cs="Times New Roman"/>
                <w:b w:val="0"/>
                <w:i w:val="0"/>
                <w:color w:val="000000"/>
                <w:sz w:val="20"/>
                <w:u w:val="none"/>
              </w:rPr>
              <w:tab/>
              <w:t>250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65" w:after="20" w:line="240" w:lineRule="auto"/>
              <w:jc w:val="right"/>
            </w:pPr>
            <w:r>
              <w:rPr>
                <w:rFonts w:ascii="Times New Roman" w:eastAsia="Times New Roman" w:hAnsi="Times New Roman" w:cs="Times New Roman"/>
                <w:b w:val="0"/>
                <w:i w:val="0"/>
                <w:color w:val="000000"/>
                <w:sz w:val="20"/>
                <w:u w:val="none"/>
              </w:rPr>
              <w:tab/>
              <w:t>308</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Capitalized interest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6"/>
              </w:tabs>
              <w:spacing w:before="65" w:after="20" w:line="240" w:lineRule="auto"/>
              <w:jc w:val="right"/>
            </w:pPr>
            <w:r>
              <w:rPr>
                <w:rFonts w:ascii="Times New Roman" w:eastAsia="Times New Roman" w:hAnsi="Times New Roman" w:cs="Times New Roman"/>
                <w:b w:val="0"/>
                <w:i w:val="0"/>
                <w:color w:val="000000"/>
                <w:sz w:val="20"/>
                <w:u w:val="none"/>
              </w:rPr>
              <w:tab/>
              <w:t>(340)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6"/>
              </w:tabs>
              <w:spacing w:before="65" w:after="20" w:line="240" w:lineRule="auto"/>
              <w:jc w:val="right"/>
            </w:pPr>
            <w:r>
              <w:rPr>
                <w:rFonts w:ascii="Times New Roman" w:eastAsia="Times New Roman" w:hAnsi="Times New Roman" w:cs="Times New Roman"/>
                <w:b w:val="0"/>
                <w:i w:val="0"/>
                <w:color w:val="000000"/>
                <w:sz w:val="20"/>
                <w:u w:val="none"/>
              </w:rPr>
              <w:tab/>
              <w:t>(196)</w:t>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Other</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65" w:after="20" w:line="240" w:lineRule="auto"/>
              <w:jc w:val="right"/>
            </w:pPr>
            <w:r>
              <w:rPr>
                <w:rFonts w:ascii="Times New Roman" w:eastAsia="Times New Roman" w:hAnsi="Times New Roman" w:cs="Times New Roman"/>
                <w:b w:val="0"/>
                <w:i w:val="0"/>
                <w:color w:val="000000"/>
                <w:sz w:val="20"/>
                <w:u w:val="none"/>
              </w:rPr>
              <w:tab/>
              <w:t>262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65" w:after="20" w:line="240" w:lineRule="auto"/>
              <w:jc w:val="right"/>
            </w:pPr>
            <w:r>
              <w:rPr>
                <w:rFonts w:ascii="Times New Roman" w:eastAsia="Times New Roman" w:hAnsi="Times New Roman" w:cs="Times New Roman"/>
                <w:b w:val="0"/>
                <w:i w:val="0"/>
                <w:color w:val="000000"/>
                <w:sz w:val="20"/>
                <w:u w:val="none"/>
              </w:rPr>
              <w:tab/>
              <w:t>168</w:t>
              <w:tab/>
            </w:r>
          </w:p>
        </w:tc>
      </w:tr>
      <w:tr>
        <w:tblPrEx>
          <w:tblW w:w="10260" w:type="dxa"/>
          <w:tblInd w:w="0" w:type="dxa"/>
          <w:tblLayout w:type="fixed"/>
        </w:tblPrEx>
        <w:trPr>
          <w:trHeight w:hRule="auto" w:val="0"/>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pageBreakBefore w:val="0"/>
              <w:spacing w:before="45" w:after="20" w:line="240" w:lineRule="auto"/>
              <w:ind w:left="225"/>
              <w:jc w:val="left"/>
            </w:pPr>
            <w:r>
              <w:rPr>
                <w:rFonts w:ascii="Times New Roman" w:eastAsia="Times New Roman" w:hAnsi="Times New Roman" w:cs="Times New Roman"/>
                <w:b w:val="0"/>
                <w:i w:val="0"/>
                <w:color w:val="000000"/>
                <w:sz w:val="20"/>
                <w:u w:val="none"/>
              </w:rPr>
              <w:t>Total interest expense</w:t>
            </w: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22"/>
                <w:tab w:val="left" w:pos="1237"/>
              </w:tabs>
              <w:spacing w:before="45" w:after="20" w:line="240" w:lineRule="auto"/>
              <w:jc w:val="right"/>
            </w:pPr>
            <w:r>
              <w:rPr>
                <w:rFonts w:ascii="Times New Roman" w:eastAsia="Times New Roman" w:hAnsi="Times New Roman" w:cs="Times New Roman"/>
                <w:b w:val="0"/>
                <w:i w:val="0"/>
                <w:color w:val="000000"/>
                <w:sz w:val="20"/>
                <w:u w:val="none"/>
              </w:rPr>
              <w:t>$</w:t>
              <w:tab/>
              <w:t>5,720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22"/>
                <w:tab w:val="left" w:pos="1237"/>
              </w:tabs>
              <w:spacing w:before="45" w:after="20" w:line="240" w:lineRule="auto"/>
              <w:jc w:val="right"/>
            </w:pPr>
            <w:r>
              <w:rPr>
                <w:rFonts w:ascii="Times New Roman" w:eastAsia="Times New Roman" w:hAnsi="Times New Roman" w:cs="Times New Roman"/>
                <w:b w:val="0"/>
                <w:i w:val="0"/>
                <w:color w:val="000000"/>
                <w:sz w:val="20"/>
                <w:u w:val="none"/>
              </w:rPr>
              <w:t>$</w:t>
              <w:tab/>
              <w:t>5,657</w:t>
              <w:tab/>
            </w:r>
          </w:p>
        </w:tc>
      </w:tr>
    </w:tbl>
    <w:p>
      <w:pPr>
        <w:keepNext w:val="0"/>
        <w:keepLines w:val="0"/>
        <w:pageBreakBefore w:val="0"/>
        <w:widowControl/>
        <w:numPr>
          <w:ilvl w:val="0"/>
          <w:numId w:val="0"/>
        </w:numPr>
        <w:spacing w:before="120" w:after="120" w:line="288" w:lineRule="auto"/>
        <w:ind w:left="0" w:right="0" w:firstLine="0"/>
        <w:jc w:val="left"/>
        <w:outlineLvl w:val="9"/>
        <w:rPr>
          <w:rFonts w:ascii="Times New Roman" w:eastAsia="Times New Roman" w:hAnsi="Times New Roman" w:cs="Times New Roman"/>
          <w:b w:val="0"/>
          <w:i/>
          <w:sz w:val="16"/>
        </w:rPr>
      </w:pP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sz w:val="20"/>
        </w:rPr>
      </w:pPr>
      <w:r>
        <w:rPr>
          <w:rFonts w:ascii="Times New Roman" w:eastAsia="Times New Roman" w:hAnsi="Times New Roman" w:cs="Times New Roman"/>
          <w:b w:val="0"/>
          <w:i/>
          <w:sz w:val="20"/>
        </w:rPr>
        <w:t>Loss on Extinguishment of Debt.</w:t>
      </w:r>
      <w:r>
        <w:rPr>
          <w:rFonts w:ascii="Times New Roman" w:eastAsia="Times New Roman" w:hAnsi="Times New Roman" w:cs="Times New Roman"/>
          <w:b w:val="0"/>
          <w:i w:val="0"/>
          <w:sz w:val="20"/>
        </w:rPr>
        <w:t xml:space="preserve"> Loss on extinguishment of debt was $3.0 million during the three months ended June 30, 2025 due to the termination of the 2021 Term Loan Facility. No debt extinguishment has occurred during the three months ended June 30, 2026. </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sz w:val="20"/>
        </w:rPr>
      </w:pPr>
      <w:r>
        <w:rPr>
          <w:rFonts w:ascii="Times New Roman" w:eastAsia="Times New Roman" w:hAnsi="Times New Roman" w:cs="Times New Roman"/>
          <w:b w:val="0"/>
          <w:i/>
          <w:sz w:val="20"/>
        </w:rPr>
        <w:t xml:space="preserve">Other Income, Net.  </w:t>
      </w:r>
      <w:r>
        <w:rPr>
          <w:rFonts w:ascii="Times New Roman" w:eastAsia="Times New Roman" w:hAnsi="Times New Roman" w:cs="Times New Roman"/>
          <w:b w:val="0"/>
          <w:i w:val="0"/>
          <w:color w:val="000000"/>
          <w:sz w:val="20"/>
          <w:u w:val="none"/>
        </w:rPr>
        <w:t>Other income, net</w:t>
      </w:r>
      <w:r>
        <w:rPr>
          <w:rFonts w:ascii="Times New Roman" w:eastAsia="Times New Roman" w:hAnsi="Times New Roman" w:cs="Times New Roman"/>
          <w:b w:val="0"/>
          <w:i w:val="0"/>
          <w:sz w:val="20"/>
        </w:rPr>
        <w:t xml:space="preserve"> decreased by </w:t>
      </w:r>
      <w:r>
        <w:rPr>
          <w:rFonts w:ascii="Times New Roman" w:eastAsia="Times New Roman" w:hAnsi="Times New Roman" w:cs="Times New Roman"/>
          <w:b w:val="0"/>
          <w:i w:val="0"/>
          <w:color w:val="000000"/>
          <w:sz w:val="20"/>
          <w:u w:val="none"/>
        </w:rPr>
        <w:t>$0.4 million</w:t>
      </w:r>
      <w:r>
        <w:rPr>
          <w:rFonts w:ascii="Times New Roman" w:eastAsia="Times New Roman" w:hAnsi="Times New Roman" w:cs="Times New Roman"/>
          <w:b w:val="0"/>
          <w:i w:val="0"/>
          <w:sz w:val="20"/>
        </w:rPr>
        <w:t xml:space="preserve"> during the three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three months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primarily due to lower </w:t>
      </w:r>
      <w:r>
        <w:rPr>
          <w:rFonts w:ascii="Times New Roman" w:eastAsia="Times New Roman" w:hAnsi="Times New Roman" w:cs="Times New Roman"/>
          <w:b w:val="0"/>
          <w:i w:val="0"/>
          <w:sz w:val="20"/>
        </w:rPr>
        <w:t>warrant revaluation imp</w:t>
      </w:r>
      <w:r>
        <w:rPr>
          <w:rFonts w:ascii="Times New Roman" w:eastAsia="Times New Roman" w:hAnsi="Times New Roman" w:cs="Times New Roman"/>
          <w:b w:val="0"/>
          <w:i w:val="0"/>
          <w:sz w:val="20"/>
        </w:rPr>
        <w:t>acts</w:t>
      </w:r>
      <w:r>
        <w:rPr>
          <w:rFonts w:ascii="Times New Roman" w:eastAsia="Times New Roman" w:hAnsi="Times New Roman" w:cs="Times New Roman"/>
          <w:b w:val="0"/>
          <w:i w:val="0"/>
          <w:sz w:val="20"/>
        </w:rPr>
        <w:t>.</w:t>
      </w:r>
    </w:p>
    <w:p>
      <w:pPr>
        <w:keepNext w:val="0"/>
        <w:keepLines w:val="0"/>
        <w:pageBreakBefore w:val="0"/>
        <w:widowControl/>
        <w:numPr>
          <w:ilvl w:val="0"/>
          <w:numId w:val="0"/>
        </w:numPr>
        <w:spacing w:before="0" w:after="0" w:line="269" w:lineRule="auto"/>
        <w:ind w:left="0" w:right="0" w:firstLine="0"/>
        <w:jc w:val="left"/>
        <w:outlineLvl w:val="9"/>
        <w:rPr>
          <w:rFonts w:ascii="Calibri" w:eastAsia="Calibri" w:hAnsi="Calibri" w:cs="Calibri"/>
          <w:b w:val="0"/>
          <w:i w:val="0"/>
          <w:color w:val="000000"/>
          <w:sz w:val="22"/>
          <w:highlight w:val="yellow"/>
          <w:u w:val="none"/>
        </w:rPr>
      </w:pPr>
      <w:r>
        <w:rPr>
          <w:rFonts w:ascii="Times New Roman" w:eastAsia="Times New Roman" w:hAnsi="Times New Roman" w:cs="Times New Roman"/>
          <w:b w:val="0"/>
          <w:i/>
          <w:sz w:val="20"/>
        </w:rPr>
        <w:t xml:space="preserve">Provision </w:t>
      </w:r>
      <w:r>
        <w:rPr>
          <w:rFonts w:ascii="Times New Roman" w:eastAsia="Times New Roman" w:hAnsi="Times New Roman" w:cs="Times New Roman"/>
          <w:b w:val="0"/>
          <w:i/>
          <w:sz w:val="20"/>
        </w:rPr>
        <w:t>f</w:t>
      </w:r>
      <w:r>
        <w:rPr>
          <w:rFonts w:ascii="Times New Roman" w:eastAsia="Times New Roman" w:hAnsi="Times New Roman" w:cs="Times New Roman"/>
          <w:b w:val="0"/>
          <w:i/>
          <w:sz w:val="20"/>
        </w:rPr>
        <w:t>or Income Taxes</w:t>
      </w:r>
      <w:r>
        <w:rPr>
          <w:rFonts w:ascii="Times New Roman" w:eastAsia="Times New Roman" w:hAnsi="Times New Roman" w:cs="Times New Roman"/>
          <w:b w:val="0"/>
          <w:i w:val="0"/>
          <w:sz w:val="20"/>
        </w:rPr>
        <w:t xml:space="preserve">.  Our effective tax rate was </w:t>
      </w:r>
      <w:r>
        <w:rPr>
          <w:rFonts w:ascii="Times New Roman" w:eastAsia="Times New Roman" w:hAnsi="Times New Roman" w:cs="Times New Roman"/>
          <w:b w:val="0"/>
          <w:i w:val="0"/>
          <w:color w:val="000000"/>
          <w:sz w:val="20"/>
          <w:u w:val="none"/>
        </w:rPr>
        <w:t>(4.2)%</w:t>
      </w:r>
      <w:r>
        <w:rPr>
          <w:rFonts w:ascii="Times New Roman" w:eastAsia="Times New Roman" w:hAnsi="Times New Roman" w:cs="Times New Roman"/>
          <w:b w:val="0"/>
          <w:i w:val="0"/>
          <w:sz w:val="20"/>
        </w:rPr>
        <w:t xml:space="preserve"> for the three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w:t>
      </w:r>
      <w:r>
        <w:rPr>
          <w:rFonts w:ascii="Times New Roman" w:eastAsia="Times New Roman" w:hAnsi="Times New Roman" w:cs="Times New Roman"/>
          <w:b w:val="0"/>
          <w:i w:val="0"/>
          <w:color w:val="000000"/>
          <w:sz w:val="20"/>
          <w:u w:val="none"/>
        </w:rPr>
        <w:t>(8.1)%</w:t>
      </w:r>
      <w:r>
        <w:rPr>
          <w:rFonts w:ascii="Times New Roman" w:eastAsia="Times New Roman" w:hAnsi="Times New Roman" w:cs="Times New Roman"/>
          <w:b w:val="0"/>
          <w:i w:val="0"/>
          <w:sz w:val="20"/>
        </w:rPr>
        <w:t xml:space="preserve"> for the three months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The rate for the three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was unfavorably impacted due to the accrual of tax on non-permanently reinvested unremitted earnings of foreign subsidiaries and by the limitation of the amount of tax benefit recorded for losses in certain jurisdictions where we believe it is more likely than not that a future tax benefit may not be realized.</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sz w:val="20"/>
        </w:rPr>
      </w:pPr>
      <w:r>
        <w:rPr>
          <w:rFonts w:ascii="Times New Roman" w:eastAsia="Times New Roman" w:hAnsi="Times New Roman" w:cs="Times New Roman"/>
          <w:b w:val="0"/>
          <w:i/>
          <w:sz w:val="20"/>
        </w:rPr>
        <w:t xml:space="preserve">Share of Net Income from Joint Venture. </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Share of net income from the Wuxi Weifu Autocam Precision Machinery Company, Ltd. joint venture (the “JV”) </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increased</w:t>
      </w:r>
      <w:r>
        <w:rPr>
          <w:rFonts w:ascii="Times New Roman" w:eastAsia="Times New Roman" w:hAnsi="Times New Roman" w:cs="Times New Roman"/>
          <w:b w:val="0"/>
          <w:i w:val="0"/>
          <w:sz w:val="20"/>
        </w:rPr>
        <w:t xml:space="preserve"> during the three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three months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The JV, in which we own a 49% investment, recognized net sales of $</w:t>
      </w:r>
      <w:r>
        <w:rPr>
          <w:rFonts w:ascii="Times New Roman" w:eastAsia="Times New Roman" w:hAnsi="Times New Roman" w:cs="Times New Roman"/>
          <w:b w:val="0"/>
          <w:i w:val="0"/>
          <w:color w:val="000000"/>
          <w:sz w:val="20"/>
          <w:u w:val="none"/>
        </w:rPr>
        <w:t>38.8 million</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31.6 million</w:t>
      </w:r>
      <w:r>
        <w:rPr>
          <w:rFonts w:ascii="Times New Roman" w:eastAsia="Times New Roman" w:hAnsi="Times New Roman" w:cs="Times New Roman"/>
          <w:b w:val="0"/>
          <w:i w:val="0"/>
          <w:sz w:val="20"/>
        </w:rPr>
        <w:t xml:space="preserve"> for the three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sz w:val="20"/>
        </w:rPr>
        <w:t xml:space="preserve">, respectively. </w:t>
      </w:r>
    </w:p>
    <w:p>
      <w:pPr>
        <w:keepNext/>
        <w:keepLines w:val="0"/>
        <w:pageBreakBefore w:val="0"/>
        <w:widowControl/>
        <w:numPr>
          <w:ilvl w:val="0"/>
          <w:numId w:val="0"/>
        </w:numPr>
        <w:spacing w:before="240" w:after="120" w:line="288" w:lineRule="auto"/>
        <w:ind w:left="0" w:right="0" w:firstLine="0"/>
        <w:jc w:val="left"/>
        <w:outlineLvl w:val="9"/>
        <w:rPr>
          <w:rFonts w:ascii="Times New Roman" w:eastAsia="Times New Roman" w:hAnsi="Times New Roman" w:cs="Times New Roman"/>
          <w:b w:val="0"/>
          <w:i/>
          <w:sz w:val="20"/>
        </w:rPr>
      </w:pPr>
      <w:r>
        <w:rPr>
          <w:rFonts w:ascii="Times New Roman" w:eastAsia="Times New Roman" w:hAnsi="Times New Roman" w:cs="Times New Roman"/>
          <w:b w:val="0"/>
          <w:i w:val="0"/>
          <w:color w:val="000000"/>
          <w:sz w:val="20"/>
          <w:u w:val="single"/>
        </w:rPr>
        <w:t>Results by Segment</w:t>
      </w:r>
      <w:r>
        <w:rPr>
          <w:rFonts w:ascii="Times New Roman" w:eastAsia="Times New Roman" w:hAnsi="Times New Roman" w:cs="Times New Roman"/>
          <w:b w:val="0"/>
          <w:i w:val="0"/>
          <w:sz w:val="20"/>
        </w:rPr>
        <w:t xml:space="preserve"> </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MOBILE SOLUTIONS</w:t>
      </w:r>
    </w:p>
    <w:tbl>
      <w:tblPr>
        <w:tblStyle w:val="TableNormal0"/>
        <w:tblW w:w="10260" w:type="dxa"/>
        <w:jc w:val="left"/>
        <w:tblInd w:w="0" w:type="dxa"/>
        <w:tblLayout w:type="fixed"/>
      </w:tblPr>
      <w:tblGrid>
        <w:gridCol w:w="6510"/>
        <w:gridCol w:w="1200"/>
        <w:gridCol w:w="75"/>
        <w:gridCol w:w="1200"/>
        <w:gridCol w:w="75"/>
        <w:gridCol w:w="1200"/>
      </w:tblGrid>
      <w:tr>
        <w:tblPrEx>
          <w:tblW w:w="10260" w:type="dxa"/>
          <w:tblInd w:w="0" w:type="dxa"/>
          <w:tblLayout w:type="fixed"/>
        </w:tblPrEx>
        <w:trPr>
          <w:trHeight w:hRule="exact" w:val="225"/>
        </w:trPr>
        <w:tc>
          <w:tcPr>
            <w:tcW w:w="6510"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16"/>
                <w:u w:val="none"/>
              </w:rPr>
              <w:t> </w:t>
            </w:r>
          </w:p>
        </w:tc>
        <w:tc>
          <w:tcPr>
            <w:tcW w:w="3750" w:type="dxa"/>
            <w:gridSpan w:val="5"/>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Three Months Ended June 30,</w:t>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45" w:after="20" w:line="240" w:lineRule="auto"/>
              <w:jc w:val="left"/>
            </w:pPr>
            <w:r>
              <w:rPr>
                <w:rFonts w:ascii="Times New Roman" w:eastAsia="Times New Roman" w:hAnsi="Times New Roman" w:cs="Times New Roman"/>
                <w:b w:val="0"/>
                <w:i w:val="0"/>
                <w:color w:val="000000"/>
                <w:sz w:val="16"/>
                <w:u w:val="none"/>
              </w:rPr>
              <w:t> </w:t>
            </w:r>
          </w:p>
        </w:tc>
        <w:tc>
          <w:tcPr>
            <w:tcW w:w="1200"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2025</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200"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45" w:after="20" w:line="240" w:lineRule="auto"/>
              <w:jc w:val="center"/>
            </w:pPr>
            <w:r>
              <w:rPr>
                <w:rFonts w:ascii="Times New Roman" w:eastAsia="Times New Roman" w:hAnsi="Times New Roman" w:cs="Times New Roman"/>
                <w:b/>
                <w:i w:val="0"/>
                <w:color w:val="000000"/>
                <w:sz w:val="16"/>
                <w:u w:val="none"/>
              </w:rPr>
              <w:t>$ Change</w:t>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45" w:after="20" w:line="240" w:lineRule="auto"/>
              <w:jc w:val="left"/>
            </w:pPr>
            <w:r>
              <w:rPr>
                <w:rFonts w:ascii="Times New Roman" w:eastAsia="Times New Roman" w:hAnsi="Times New Roman" w:cs="Times New Roman"/>
                <w:b w:val="0"/>
                <w:i w:val="0"/>
                <w:color w:val="000000"/>
                <w:sz w:val="20"/>
                <w:u w:val="none"/>
              </w:rPr>
              <w:t>Net sales</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45" w:after="20" w:line="240" w:lineRule="auto"/>
              <w:jc w:val="right"/>
            </w:pPr>
            <w:r>
              <w:rPr>
                <w:rFonts w:ascii="Times New Roman" w:eastAsia="Times New Roman" w:hAnsi="Times New Roman" w:cs="Times New Roman"/>
                <w:b w:val="0"/>
                <w:i w:val="0"/>
                <w:color w:val="000000"/>
                <w:sz w:val="20"/>
                <w:u w:val="none"/>
              </w:rPr>
              <w:t>$</w:t>
              <w:tab/>
              <w:t>66,590</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45" w:after="20" w:line="240" w:lineRule="auto"/>
              <w:jc w:val="right"/>
            </w:pPr>
            <w:r>
              <w:rPr>
                <w:rFonts w:ascii="Times New Roman" w:eastAsia="Times New Roman" w:hAnsi="Times New Roman" w:cs="Times New Roman"/>
                <w:b w:val="0"/>
                <w:i w:val="0"/>
                <w:color w:val="000000"/>
                <w:sz w:val="20"/>
                <w:u w:val="none"/>
              </w:rPr>
              <w:t>$</w:t>
              <w:tab/>
              <w:t>63,391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17"/>
                <w:tab w:val="left" w:pos="1132"/>
              </w:tabs>
              <w:spacing w:before="45" w:after="20" w:line="240" w:lineRule="auto"/>
              <w:jc w:val="right"/>
            </w:pPr>
            <w:r>
              <w:rPr>
                <w:rFonts w:ascii="Times New Roman" w:eastAsia="Times New Roman" w:hAnsi="Times New Roman" w:cs="Times New Roman"/>
                <w:b w:val="0"/>
                <w:i w:val="0"/>
                <w:color w:val="000000"/>
                <w:sz w:val="20"/>
                <w:u w:val="none"/>
              </w:rPr>
              <w:t>$</w:t>
              <w:tab/>
              <w:t>3,199</w:t>
              <w:tab/>
            </w:r>
          </w:p>
        </w:tc>
      </w:tr>
      <w:tr>
        <w:tblPrEx>
          <w:tblW w:w="10260" w:type="dxa"/>
          <w:tblInd w:w="0" w:type="dxa"/>
          <w:tblLayout w:type="fixed"/>
        </w:tblPrEx>
        <w:trPr>
          <w:trHeight w:hRule="auto" w:val="0"/>
        </w:trPr>
        <w:tc>
          <w:tcPr>
            <w:tcW w:w="6510" w:type="dxa"/>
            <w:tcBorders>
              <w:top w:val="nil"/>
              <w:left w:val="nil"/>
              <w:bottom w:val="nil"/>
              <w:right w:val="nil"/>
            </w:tcBorders>
            <w:shd w:val="clear" w:color="auto" w:fill="FFFFFF"/>
            <w:tcMar>
              <w:top w:w="0" w:type="dxa"/>
              <w:left w:w="53" w:type="dxa"/>
              <w:bottom w:w="0" w:type="dxa"/>
              <w:right w:w="53" w:type="dxa"/>
            </w:tcMar>
            <w:vAlign w:val="top"/>
          </w:tcPr>
          <w:p>
            <w:pPr>
              <w:pageBreakBefore w:val="0"/>
              <w:spacing w:before="65" w:after="20" w:line="240" w:lineRule="auto"/>
              <w:jc w:val="left"/>
            </w:pPr>
            <w:r>
              <w:rPr>
                <w:rFonts w:ascii="Times New Roman" w:eastAsia="Times New Roman" w:hAnsi="Times New Roman" w:cs="Times New Roman"/>
                <w:b w:val="0"/>
                <w:i w:val="0"/>
                <w:color w:val="000000"/>
                <w:sz w:val="20"/>
                <w:u w:val="none"/>
              </w:rPr>
              <w:t>Loss from operations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w:t>
              <w:tab/>
              <w:t>(1,947)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531"/>
              </w:tabs>
              <w:spacing w:before="65" w:after="20" w:line="240" w:lineRule="auto"/>
              <w:jc w:val="right"/>
            </w:pPr>
            <w:r>
              <w:rPr>
                <w:rFonts w:ascii="Times New Roman" w:eastAsia="Times New Roman" w:hAnsi="Times New Roman" w:cs="Times New Roman"/>
                <w:b w:val="0"/>
                <w:i w:val="0"/>
                <w:color w:val="000000"/>
                <w:sz w:val="20"/>
                <w:u w:val="none"/>
              </w:rPr>
              <w:t>$</w:t>
              <w:tab/>
              <w:t>(1,110)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81"/>
              </w:tabs>
              <w:spacing w:before="65" w:after="20" w:line="240" w:lineRule="auto"/>
              <w:jc w:val="right"/>
            </w:pPr>
            <w:r>
              <w:rPr>
                <w:rFonts w:ascii="Times New Roman" w:eastAsia="Times New Roman" w:hAnsi="Times New Roman" w:cs="Times New Roman"/>
                <w:b w:val="0"/>
                <w:i w:val="0"/>
                <w:color w:val="000000"/>
                <w:sz w:val="20"/>
                <w:u w:val="none"/>
              </w:rPr>
              <w:t>$</w:t>
              <w:tab/>
              <w:t>(837)</w:t>
            </w:r>
          </w:p>
        </w:tc>
      </w:tr>
    </w:tbl>
    <w:p>
      <w:pPr>
        <w:keepNext w:val="0"/>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Net sales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$3.2 million</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or </w:t>
      </w:r>
      <w:r>
        <w:rPr>
          <w:rFonts w:ascii="Times New Roman" w:eastAsia="Times New Roman" w:hAnsi="Times New Roman" w:cs="Times New Roman"/>
          <w:b w:val="0"/>
          <w:i w:val="0"/>
          <w:color w:val="000000"/>
          <w:sz w:val="20"/>
          <w:u w:val="none"/>
        </w:rPr>
        <w:t>5.0%</w:t>
      </w:r>
      <w:r>
        <w:rPr>
          <w:rFonts w:ascii="Times New Roman" w:eastAsia="Times New Roman" w:hAnsi="Times New Roman" w:cs="Times New Roman"/>
          <w:b w:val="0"/>
          <w:i w:val="0"/>
          <w:sz w:val="20"/>
        </w:rPr>
        <w:t xml:space="preserve">, during the three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three months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primarily due to higher selling prices, reflecting the pass-through of increased raw material costs to customers</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higher</w:t>
      </w:r>
      <w:r>
        <w:rPr>
          <w:rFonts w:ascii="Times New Roman" w:eastAsia="Times New Roman" w:hAnsi="Times New Roman" w:cs="Times New Roman"/>
          <w:b w:val="0"/>
          <w:i w:val="0"/>
          <w:sz w:val="20"/>
        </w:rPr>
        <w:t xml:space="preserve"> volumes </w:t>
      </w:r>
      <w:r>
        <w:rPr>
          <w:rFonts w:ascii="Times New Roman" w:eastAsia="Times New Roman" w:hAnsi="Times New Roman" w:cs="Times New Roman"/>
          <w:b w:val="0"/>
          <w:i w:val="0"/>
          <w:sz w:val="20"/>
        </w:rPr>
        <w:t xml:space="preserve">and favorable foreign exchange effects. </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00"/>
          <w:sz w:val="20"/>
          <w:u w:val="none"/>
        </w:rPr>
        <w:t>Loss from operations</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$0.8 million</w:t>
      </w:r>
      <w:r>
        <w:rPr>
          <w:rFonts w:ascii="Times New Roman" w:eastAsia="Times New Roman" w:hAnsi="Times New Roman" w:cs="Times New Roman"/>
          <w:b w:val="0"/>
          <w:i w:val="0"/>
          <w:sz w:val="20"/>
        </w:rPr>
        <w:t xml:space="preserve"> or </w:t>
      </w:r>
      <w:r>
        <w:rPr>
          <w:rFonts w:ascii="Times New Roman" w:eastAsia="Times New Roman" w:hAnsi="Times New Roman" w:cs="Times New Roman"/>
          <w:b w:val="0"/>
          <w:i w:val="0"/>
          <w:color w:val="000000"/>
          <w:sz w:val="20"/>
          <w:u w:val="none"/>
        </w:rPr>
        <w:t>75.4%</w:t>
      </w:r>
      <w:r>
        <w:rPr>
          <w:rFonts w:ascii="Times New Roman" w:eastAsia="Times New Roman" w:hAnsi="Times New Roman" w:cs="Times New Roman"/>
          <w:b w:val="0"/>
          <w:i w:val="0"/>
          <w:sz w:val="20"/>
        </w:rPr>
        <w:t xml:space="preserve"> during the three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compared to the same period in the prior year</w:t>
      </w:r>
      <w:r>
        <w:rPr>
          <w:rFonts w:ascii="Times New Roman" w:eastAsia="Times New Roman" w:hAnsi="Times New Roman" w:cs="Times New Roman"/>
          <w:b w:val="0"/>
          <w:i w:val="0"/>
          <w:sz w:val="20"/>
        </w:rPr>
        <w:t>.</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The </w:t>
      </w:r>
      <w:r>
        <w:rPr>
          <w:rFonts w:ascii="Times New Roman" w:eastAsia="Times New Roman" w:hAnsi="Times New Roman" w:cs="Times New Roman"/>
          <w:b w:val="0"/>
          <w:i w:val="0"/>
          <w:sz w:val="20"/>
        </w:rPr>
        <w:t xml:space="preserve">increase </w:t>
      </w:r>
      <w:r>
        <w:rPr>
          <w:rFonts w:ascii="Times New Roman" w:eastAsia="Times New Roman" w:hAnsi="Times New Roman" w:cs="Times New Roman"/>
          <w:b w:val="0"/>
          <w:i w:val="0"/>
          <w:sz w:val="20"/>
        </w:rPr>
        <w:t>was primarily due to</w:t>
      </w:r>
      <w:r>
        <w:rPr>
          <w:rFonts w:ascii="Times New Roman" w:eastAsia="Times New Roman" w:hAnsi="Times New Roman" w:cs="Times New Roman"/>
          <w:b w:val="0"/>
          <w:i w:val="0"/>
          <w:sz w:val="20"/>
        </w:rPr>
        <w:t xml:space="preserve"> higher </w:t>
      </w:r>
      <w:r>
        <w:rPr>
          <w:rFonts w:ascii="Times New Roman" w:eastAsia="Times New Roman" w:hAnsi="Times New Roman" w:cs="Times New Roman"/>
          <w:b w:val="0"/>
          <w:i w:val="0"/>
          <w:sz w:val="20"/>
        </w:rPr>
        <w:t>costs</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from </w:t>
      </w:r>
      <w:r>
        <w:rPr>
          <w:rFonts w:ascii="Times New Roman" w:eastAsia="Times New Roman" w:hAnsi="Times New Roman" w:cs="Times New Roman"/>
          <w:b w:val="0"/>
          <w:i w:val="0"/>
          <w:sz w:val="20"/>
        </w:rPr>
        <w:t xml:space="preserve">an unfavorable </w:t>
      </w:r>
      <w:r>
        <w:rPr>
          <w:rFonts w:ascii="Times New Roman" w:eastAsia="Times New Roman" w:hAnsi="Times New Roman" w:cs="Times New Roman"/>
          <w:b w:val="0"/>
          <w:i w:val="0"/>
          <w:sz w:val="20"/>
        </w:rPr>
        <w:t>plant</w:t>
      </w:r>
      <w:r>
        <w:rPr>
          <w:rFonts w:ascii="Times New Roman" w:eastAsia="Times New Roman" w:hAnsi="Times New Roman" w:cs="Times New Roman"/>
          <w:b w:val="0"/>
          <w:i w:val="0"/>
          <w:sz w:val="20"/>
        </w:rPr>
        <w:t xml:space="preserve"> mix</w:t>
      </w:r>
      <w:r>
        <w:rPr>
          <w:rFonts w:ascii="Times New Roman" w:eastAsia="Times New Roman" w:hAnsi="Times New Roman" w:cs="Times New Roman"/>
          <w:b w:val="0"/>
          <w:i w:val="0"/>
          <w:sz w:val="20"/>
        </w:rPr>
        <w:t>.</w:t>
      </w:r>
    </w:p>
    <w:p>
      <w:pPr>
        <w:keepNext/>
        <w:keepLines/>
        <w:pageBreakBefore w:val="0"/>
        <w:widowControl w:val="0"/>
        <w:numPr>
          <w:ilvl w:val="0"/>
          <w:numId w:val="0"/>
        </w:numPr>
        <w:spacing w:before="24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POWER SOLUTIONS </w:t>
      </w:r>
    </w:p>
    <w:tbl>
      <w:tblPr>
        <w:tblStyle w:val="TableNormal0"/>
        <w:tblW w:w="10260" w:type="dxa"/>
        <w:jc w:val="left"/>
        <w:tblInd w:w="0" w:type="dxa"/>
        <w:tblLayout w:type="fixed"/>
      </w:tblPr>
      <w:tblGrid>
        <w:gridCol w:w="6510"/>
        <w:gridCol w:w="1200"/>
        <w:gridCol w:w="75"/>
        <w:gridCol w:w="1200"/>
        <w:gridCol w:w="75"/>
        <w:gridCol w:w="1200"/>
      </w:tblGrid>
      <w:tr>
        <w:tblPrEx>
          <w:tblW w:w="10260" w:type="dxa"/>
          <w:tblInd w:w="0" w:type="dxa"/>
          <w:tblLayout w:type="fixed"/>
        </w:tblPrEx>
        <w:trPr>
          <w:trHeight w:hRule="exact" w:val="240"/>
        </w:trPr>
        <w:tc>
          <w:tcPr>
            <w:tcW w:w="6510"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16"/>
                <w:u w:val="none"/>
              </w:rPr>
              <w:t> </w:t>
            </w:r>
          </w:p>
        </w:tc>
        <w:tc>
          <w:tcPr>
            <w:tcW w:w="3750" w:type="dxa"/>
            <w:gridSpan w:val="5"/>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Three Months Ended June 30,</w:t>
            </w:r>
          </w:p>
        </w:tc>
      </w:tr>
      <w:tr>
        <w:tblPrEx>
          <w:tblW w:w="10260" w:type="dxa"/>
          <w:tblInd w:w="0" w:type="dxa"/>
          <w:tblLayout w:type="fixed"/>
        </w:tblPrEx>
        <w:trPr>
          <w:trHeight w:hRule="exact" w:val="240"/>
        </w:trPr>
        <w:tc>
          <w:tcPr>
            <w:tcW w:w="6510" w:type="dxa"/>
            <w:tcBorders>
              <w:top w:val="nil"/>
              <w:left w:val="nil"/>
              <w:bottom w:val="nil"/>
              <w:right w:val="nil"/>
            </w:tcBorders>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16"/>
                <w:u w:val="none"/>
              </w:rPr>
              <w:t> </w:t>
            </w:r>
          </w:p>
        </w:tc>
        <w:tc>
          <w:tcPr>
            <w:tcW w:w="120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2025</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 Change</w:t>
            </w:r>
          </w:p>
        </w:tc>
      </w:tr>
      <w:tr>
        <w:tblPrEx>
          <w:tblW w:w="10260" w:type="dxa"/>
          <w:tblInd w:w="0" w:type="dxa"/>
          <w:tblLayout w:type="fixed"/>
        </w:tblPrEx>
        <w:trPr>
          <w:trHeight w:hRule="exact" w:val="300"/>
        </w:trPr>
        <w:tc>
          <w:tcPr>
            <w:tcW w:w="6510"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Net sales</w:t>
            </w: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62,293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44,641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20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17"/>
                <w:tab w:val="left" w:pos="1132"/>
              </w:tabs>
              <w:spacing w:before="55" w:after="30" w:line="240" w:lineRule="auto"/>
              <w:jc w:val="right"/>
            </w:pPr>
            <w:r>
              <w:rPr>
                <w:rFonts w:ascii="Times New Roman" w:eastAsia="Times New Roman" w:hAnsi="Times New Roman" w:cs="Times New Roman"/>
                <w:b w:val="0"/>
                <w:i w:val="0"/>
                <w:color w:val="000000"/>
                <w:sz w:val="20"/>
                <w:u w:val="none"/>
              </w:rPr>
              <w:t>$</w:t>
              <w:tab/>
              <w:t>17,652</w:t>
              <w:tab/>
            </w:r>
          </w:p>
        </w:tc>
      </w:tr>
      <w:tr>
        <w:tblPrEx>
          <w:tblW w:w="10260" w:type="dxa"/>
          <w:tblInd w:w="0" w:type="dxa"/>
          <w:tblLayout w:type="fixed"/>
        </w:tblPrEx>
        <w:trPr>
          <w:trHeight w:hRule="exact" w:val="285"/>
        </w:trPr>
        <w:tc>
          <w:tcPr>
            <w:tcW w:w="6510" w:type="dxa"/>
            <w:tcBorders>
              <w:top w:val="nil"/>
              <w:left w:val="nil"/>
              <w:bottom w:val="nil"/>
              <w:right w:val="nil"/>
            </w:tcBorders>
            <w:shd w:val="clear" w:color="auto" w:fill="FFFFFF"/>
            <w:tcMar>
              <w:top w:w="0" w:type="dxa"/>
              <w:left w:w="53" w:type="dxa"/>
              <w:bottom w:w="0" w:type="dxa"/>
              <w:right w:w="53" w:type="dxa"/>
            </w:tcMar>
            <w:vAlign w:val="top"/>
          </w:tcPr>
          <w:p>
            <w:pPr>
              <w:pageBreakBefore w:val="0"/>
              <w:spacing w:before="75" w:after="30" w:line="240" w:lineRule="auto"/>
              <w:jc w:val="left"/>
            </w:pPr>
            <w:r>
              <w:rPr>
                <w:rFonts w:ascii="Times New Roman" w:eastAsia="Times New Roman" w:hAnsi="Times New Roman" w:cs="Times New Roman"/>
                <w:b w:val="0"/>
                <w:i w:val="0"/>
                <w:color w:val="000000"/>
                <w:sz w:val="20"/>
                <w:u w:val="none"/>
              </w:rPr>
              <w:t>Income from operations</w:t>
            </w: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w:t>
              <w:tab/>
              <w:t>9,049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w:t>
              <w:tab/>
              <w:t>5,782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20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17"/>
                <w:tab w:val="left" w:pos="1132"/>
              </w:tabs>
              <w:spacing w:before="75" w:after="30" w:line="240" w:lineRule="auto"/>
              <w:jc w:val="right"/>
            </w:pPr>
            <w:r>
              <w:rPr>
                <w:rFonts w:ascii="Times New Roman" w:eastAsia="Times New Roman" w:hAnsi="Times New Roman" w:cs="Times New Roman"/>
                <w:b w:val="0"/>
                <w:i w:val="0"/>
                <w:color w:val="000000"/>
                <w:sz w:val="20"/>
                <w:u w:val="none"/>
              </w:rPr>
              <w:t>$</w:t>
              <w:tab/>
              <w:t>3,267</w:t>
              <w:tab/>
            </w:r>
          </w:p>
        </w:tc>
      </w:tr>
    </w:tbl>
    <w:p>
      <w:pPr>
        <w:keepNext w:val="0"/>
        <w:keepLines w:val="0"/>
        <w:pageBreakBefore w:val="0"/>
        <w:widowControl/>
        <w:numPr>
          <w:ilvl w:val="0"/>
          <w:numId w:val="0"/>
        </w:numPr>
        <w:spacing w:before="120" w:after="0" w:line="269"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Net sales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$17.7 million</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or </w:t>
      </w:r>
      <w:r>
        <w:rPr>
          <w:rFonts w:ascii="Times New Roman" w:eastAsia="Times New Roman" w:hAnsi="Times New Roman" w:cs="Times New Roman"/>
          <w:b w:val="0"/>
          <w:i w:val="0"/>
          <w:color w:val="000000"/>
          <w:sz w:val="20"/>
          <w:u w:val="none"/>
        </w:rPr>
        <w:t>39.5%</w:t>
      </w:r>
      <w:r>
        <w:rPr>
          <w:rFonts w:ascii="Times New Roman" w:eastAsia="Times New Roman" w:hAnsi="Times New Roman" w:cs="Times New Roman"/>
          <w:b w:val="0"/>
          <w:i w:val="0"/>
          <w:sz w:val="20"/>
        </w:rPr>
        <w:t xml:space="preserve">, during the three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three months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primarily due to higher selling prices, reflecting the pass-through of increased raw material costs to customers</w:t>
      </w:r>
      <w:r>
        <w:rPr>
          <w:rFonts w:ascii="Times New Roman" w:eastAsia="Times New Roman" w:hAnsi="Times New Roman" w:cs="Times New Roman"/>
          <w:b w:val="0"/>
          <w:i w:val="0"/>
          <w:sz w:val="20"/>
        </w:rPr>
        <w:t>, higher volume</w:t>
      </w:r>
      <w:r>
        <w:rPr>
          <w:rFonts w:ascii="Times New Roman" w:eastAsia="Times New Roman" w:hAnsi="Times New Roman" w:cs="Times New Roman"/>
          <w:b w:val="0"/>
          <w:i w:val="0"/>
          <w:sz w:val="20"/>
        </w:rPr>
        <w:t>s</w:t>
      </w:r>
      <w:r>
        <w:rPr>
          <w:rFonts w:ascii="Times New Roman" w:eastAsia="Times New Roman" w:hAnsi="Times New Roman" w:cs="Times New Roman"/>
          <w:b w:val="0"/>
          <w:i w:val="0"/>
          <w:sz w:val="20"/>
        </w:rPr>
        <w:t xml:space="preserve">, and favorable foreign exchange effects. </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color w:val="000000"/>
          <w:sz w:val="20"/>
          <w:u w:val="none"/>
        </w:rPr>
        <w:t>Income from operations</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$3.3 million</w:t>
      </w:r>
      <w:r>
        <w:rPr>
          <w:rFonts w:ascii="Times New Roman" w:eastAsia="Times New Roman" w:hAnsi="Times New Roman" w:cs="Times New Roman"/>
          <w:b w:val="0"/>
          <w:i w:val="0"/>
          <w:sz w:val="20"/>
        </w:rPr>
        <w:t xml:space="preserve"> during the three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same period in the prior year, </w:t>
      </w:r>
      <w:r>
        <w:rPr>
          <w:rFonts w:ascii="Times New Roman" w:eastAsia="Times New Roman" w:hAnsi="Times New Roman" w:cs="Times New Roman"/>
          <w:b w:val="0"/>
          <w:i w:val="0"/>
          <w:sz w:val="20"/>
        </w:rPr>
        <w:t>primarily due to higher selling prices,</w:t>
      </w:r>
      <w:r>
        <w:rPr>
          <w:rFonts w:ascii="Times New Roman" w:eastAsia="Times New Roman" w:hAnsi="Times New Roman" w:cs="Times New Roman"/>
          <w:b w:val="0"/>
          <w:i w:val="0"/>
          <w:sz w:val="20"/>
        </w:rPr>
        <w:t xml:space="preserve"> improved product mix, and higher volumes. </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sectPr>
          <w:type w:val="continuous"/>
          <w:pgSz w:w="12240" w:h="15840"/>
          <w:pgMar w:top="810" w:right="990" w:bottom="810" w:left="990" w:header="270" w:footer="270"/>
          <w:cols w:space="708"/>
        </w:sectPr>
      </w:pPr>
    </w:p>
    <w:p>
      <w:pPr>
        <w:keepNext/>
        <w:keepLines/>
        <w:pageBreakBefore w:val="0"/>
        <w:widowControl w:val="0"/>
        <w:numPr>
          <w:ilvl w:val="0"/>
          <w:numId w:val="0"/>
        </w:numPr>
        <w:spacing w:before="240" w:after="60" w:line="288" w:lineRule="auto"/>
        <w:ind w:left="0" w:right="0" w:firstLine="0"/>
        <w:jc w:val="left"/>
        <w:outlineLvl w:val="2"/>
        <w:rPr>
          <w:rFonts w:ascii="Times New Roman" w:eastAsia="Times New Roman" w:hAnsi="Times New Roman" w:cs="Times New Roman"/>
          <w:b w:val="0"/>
          <w:i/>
          <w:sz w:val="20"/>
        </w:rPr>
      </w:pPr>
      <w:bookmarkStart w:id="30" w:name="Section32"/>
      <w:bookmarkEnd w:id="30"/>
      <w:r>
        <w:rPr>
          <w:rFonts w:ascii="Times New Roman" w:eastAsia="Times New Roman" w:hAnsi="Times New Roman" w:cs="Times New Roman"/>
          <w:b w:val="0"/>
          <w:i/>
          <w:color w:val="000000"/>
          <w:sz w:val="20"/>
          <w:u w:val="none"/>
        </w:rPr>
        <w:t>Six Months Ended June 30, 2026</w:t>
      </w:r>
      <w:r>
        <w:rPr>
          <w:rFonts w:ascii="Times New Roman" w:eastAsia="Times New Roman" w:hAnsi="Times New Roman" w:cs="Times New Roman"/>
          <w:b w:val="0"/>
          <w:i/>
          <w:sz w:val="20"/>
        </w:rPr>
        <w:t xml:space="preserve"> compared to the </w:t>
      </w:r>
      <w:r>
        <w:rPr>
          <w:rFonts w:ascii="Times New Roman" w:eastAsia="Times New Roman" w:hAnsi="Times New Roman" w:cs="Times New Roman"/>
          <w:b w:val="0"/>
          <w:i/>
          <w:color w:val="000000"/>
          <w:sz w:val="20"/>
          <w:u w:val="none"/>
        </w:rPr>
        <w:t>Six Months Ended June 30, 2025</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sz w:val="20"/>
        </w:rPr>
      </w:pPr>
      <w:r>
        <w:rPr>
          <w:rFonts w:ascii="Times New Roman" w:eastAsia="Times New Roman" w:hAnsi="Times New Roman" w:cs="Times New Roman"/>
          <w:b w:val="0"/>
          <w:i w:val="0"/>
          <w:color w:val="000000"/>
          <w:sz w:val="20"/>
          <w:u w:val="single"/>
        </w:rPr>
        <w:t>Consolidated Results</w:t>
      </w:r>
      <w:r>
        <w:rPr>
          <w:rFonts w:ascii="Times New Roman" w:eastAsia="Times New Roman" w:hAnsi="Times New Roman" w:cs="Times New Roman"/>
          <w:b w:val="0"/>
          <w:i w:val="0"/>
          <w:sz w:val="20"/>
        </w:rPr>
        <w:t xml:space="preserve"> </w:t>
      </w:r>
    </w:p>
    <w:tbl>
      <w:tblPr>
        <w:tblStyle w:val="TableNormal0"/>
        <w:tblW w:w="10260" w:type="dxa"/>
        <w:jc w:val="left"/>
        <w:tblInd w:w="0" w:type="dxa"/>
        <w:tblLayout w:type="fixed"/>
      </w:tblPr>
      <w:tblGrid>
        <w:gridCol w:w="6195"/>
        <w:gridCol w:w="1305"/>
        <w:gridCol w:w="75"/>
        <w:gridCol w:w="1305"/>
        <w:gridCol w:w="75"/>
        <w:gridCol w:w="1305"/>
      </w:tblGrid>
      <w:tr>
        <w:tblPrEx>
          <w:tblW w:w="10260" w:type="dxa"/>
          <w:tblInd w:w="0" w:type="dxa"/>
          <w:tblLayout w:type="fixed"/>
        </w:tblPrEx>
        <w:trPr>
          <w:trHeight w:hRule="exact" w:val="240"/>
        </w:trPr>
        <w:tc>
          <w:tcPr>
            <w:tcW w:w="619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16"/>
                <w:u w:val="none"/>
              </w:rPr>
              <w:t> </w:t>
            </w:r>
          </w:p>
        </w:tc>
        <w:tc>
          <w:tcPr>
            <w:tcW w:w="4065" w:type="dxa"/>
            <w:gridSpan w:val="5"/>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Six Months Ended June 30,</w:t>
            </w:r>
          </w:p>
        </w:tc>
      </w:tr>
      <w:tr>
        <w:tblPrEx>
          <w:tblW w:w="10260" w:type="dxa"/>
          <w:tblInd w:w="0" w:type="dxa"/>
          <w:tblLayout w:type="fixed"/>
        </w:tblPrEx>
        <w:trPr>
          <w:trHeight w:hRule="exact" w:val="240"/>
        </w:trPr>
        <w:tc>
          <w:tcPr>
            <w:tcW w:w="61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16"/>
                <w:u w:val="none"/>
              </w:rPr>
              <w:t> </w:t>
            </w:r>
          </w:p>
        </w:tc>
        <w:tc>
          <w:tcPr>
            <w:tcW w:w="130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30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2025</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30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 Change</w:t>
            </w:r>
          </w:p>
        </w:tc>
      </w:tr>
      <w:tr>
        <w:tblPrEx>
          <w:tblW w:w="10260" w:type="dxa"/>
          <w:tblInd w:w="0" w:type="dxa"/>
          <w:tblLayout w:type="fixed"/>
        </w:tblPrEx>
        <w:trPr>
          <w:trHeight w:hRule="exact" w:val="285"/>
        </w:trPr>
        <w:tc>
          <w:tcPr>
            <w:tcW w:w="619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55" w:after="30" w:line="240" w:lineRule="auto"/>
              <w:ind w:left="360" w:hanging="360"/>
              <w:jc w:val="left"/>
            </w:pPr>
            <w:r>
              <w:rPr>
                <w:rFonts w:ascii="Times New Roman" w:eastAsia="Times New Roman" w:hAnsi="Times New Roman" w:cs="Times New Roman"/>
                <w:b w:val="0"/>
                <w:i w:val="0"/>
                <w:color w:val="000000"/>
                <w:sz w:val="20"/>
                <w:u w:val="none"/>
              </w:rPr>
              <w:t>Net sales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247,193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213,609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33,584</w:t>
              <w:tab/>
            </w:r>
          </w:p>
        </w:tc>
      </w:tr>
      <w:tr>
        <w:tblPrEx>
          <w:tblW w:w="10260" w:type="dxa"/>
          <w:tblInd w:w="0" w:type="dxa"/>
          <w:tblLayout w:type="fixed"/>
        </w:tblPrEx>
        <w:trPr>
          <w:trHeight w:hRule="exact" w:val="495"/>
        </w:trPr>
        <w:tc>
          <w:tcPr>
            <w:tcW w:w="619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ind w:left="360" w:hanging="360"/>
              <w:jc w:val="left"/>
            </w:pPr>
            <w:r>
              <w:rPr>
                <w:rFonts w:ascii="Times New Roman" w:eastAsia="Times New Roman" w:hAnsi="Times New Roman" w:cs="Times New Roman"/>
                <w:b w:val="0"/>
                <w:i w:val="0"/>
                <w:color w:val="000000"/>
                <w:sz w:val="20"/>
                <w:u w:val="none"/>
              </w:rPr>
              <w:t>Cost of sales (exclusive of depreciation and amortization shown separately below)</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75" w:after="30" w:line="240" w:lineRule="auto"/>
              <w:jc w:val="right"/>
            </w:pPr>
            <w:r>
              <w:rPr>
                <w:rFonts w:ascii="Times New Roman" w:eastAsia="Times New Roman" w:hAnsi="Times New Roman" w:cs="Times New Roman"/>
                <w:b w:val="0"/>
                <w:i w:val="0"/>
                <w:color w:val="000000"/>
                <w:sz w:val="20"/>
                <w:u w:val="none"/>
              </w:rPr>
              <w:tab/>
              <w:t>205,894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522"/>
                <w:tab w:val="left" w:pos="1237"/>
              </w:tabs>
              <w:spacing w:before="75" w:after="30" w:line="240" w:lineRule="auto"/>
              <w:jc w:val="right"/>
            </w:pPr>
            <w:r>
              <w:rPr>
                <w:rFonts w:ascii="Times New Roman" w:eastAsia="Times New Roman" w:hAnsi="Times New Roman" w:cs="Times New Roman"/>
                <w:b w:val="0"/>
                <w:i w:val="0"/>
                <w:color w:val="000000"/>
                <w:sz w:val="20"/>
                <w:u w:val="none"/>
              </w:rPr>
              <w:tab/>
              <w:t>181,345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24,549</w:t>
              <w:tab/>
            </w:r>
          </w:p>
        </w:tc>
      </w:tr>
      <w:tr>
        <w:tblPrEx>
          <w:tblW w:w="10260" w:type="dxa"/>
          <w:tblInd w:w="0" w:type="dxa"/>
          <w:tblLayout w:type="fixed"/>
        </w:tblPrEx>
        <w:trPr>
          <w:trHeight w:hRule="exact" w:val="285"/>
        </w:trPr>
        <w:tc>
          <w:tcPr>
            <w:tcW w:w="619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ind w:left="360" w:hanging="360"/>
              <w:jc w:val="left"/>
            </w:pPr>
            <w:r>
              <w:rPr>
                <w:rFonts w:ascii="Times New Roman" w:eastAsia="Times New Roman" w:hAnsi="Times New Roman" w:cs="Times New Roman"/>
                <w:b w:val="0"/>
                <w:i w:val="0"/>
                <w:color w:val="000000"/>
                <w:sz w:val="20"/>
                <w:u w:val="none"/>
              </w:rPr>
              <w:t>Selling, general, and administrative expense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25,864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23,265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2,599</w:t>
              <w:tab/>
            </w:r>
          </w:p>
        </w:tc>
      </w:tr>
      <w:tr>
        <w:tblPrEx>
          <w:tblW w:w="10260" w:type="dxa"/>
          <w:tblInd w:w="0" w:type="dxa"/>
          <w:tblLayout w:type="fixed"/>
        </w:tblPrEx>
        <w:trPr>
          <w:trHeight w:hRule="exact" w:val="285"/>
        </w:trPr>
        <w:tc>
          <w:tcPr>
            <w:tcW w:w="619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ind w:left="360" w:hanging="360"/>
              <w:jc w:val="left"/>
            </w:pPr>
            <w:r>
              <w:rPr>
                <w:rFonts w:ascii="Times New Roman" w:eastAsia="Times New Roman" w:hAnsi="Times New Roman" w:cs="Times New Roman"/>
                <w:b w:val="0"/>
                <w:i w:val="0"/>
                <w:color w:val="000000"/>
                <w:sz w:val="20"/>
                <w:u w:val="none"/>
              </w:rPr>
              <w:t>Depreciation and amortization</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18,584</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17,692</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892</w:t>
              <w:tab/>
            </w:r>
          </w:p>
        </w:tc>
      </w:tr>
      <w:tr>
        <w:tblPrEx>
          <w:tblW w:w="10260" w:type="dxa"/>
          <w:tblInd w:w="0" w:type="dxa"/>
          <w:tblLayout w:type="fixed"/>
        </w:tblPrEx>
        <w:trPr>
          <w:trHeight w:hRule="exact" w:val="285"/>
        </w:trPr>
        <w:tc>
          <w:tcPr>
            <w:tcW w:w="619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ind w:left="360" w:hanging="360"/>
              <w:jc w:val="left"/>
            </w:pPr>
            <w:r>
              <w:rPr>
                <w:rFonts w:ascii="Times New Roman" w:eastAsia="Times New Roman" w:hAnsi="Times New Roman" w:cs="Times New Roman"/>
                <w:b w:val="0"/>
                <w:i w:val="0"/>
                <w:color w:val="000000"/>
                <w:sz w:val="20"/>
                <w:u w:val="none"/>
              </w:rPr>
              <w:t>Other operating income, net</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36"/>
              </w:tabs>
              <w:spacing w:before="75" w:after="30" w:line="240" w:lineRule="auto"/>
              <w:jc w:val="right"/>
            </w:pPr>
            <w:r>
              <w:rPr>
                <w:rFonts w:ascii="Times New Roman" w:eastAsia="Times New Roman" w:hAnsi="Times New Roman" w:cs="Times New Roman"/>
                <w:b w:val="0"/>
                <w:i w:val="0"/>
                <w:color w:val="000000"/>
                <w:sz w:val="20"/>
                <w:u w:val="none"/>
              </w:rPr>
              <w:tab/>
              <w:t>(2,096)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36"/>
              </w:tabs>
              <w:spacing w:before="75" w:after="30" w:line="240" w:lineRule="auto"/>
              <w:jc w:val="right"/>
            </w:pPr>
            <w:r>
              <w:rPr>
                <w:rFonts w:ascii="Times New Roman" w:eastAsia="Times New Roman" w:hAnsi="Times New Roman" w:cs="Times New Roman"/>
                <w:b w:val="0"/>
                <w:i w:val="0"/>
                <w:color w:val="000000"/>
                <w:sz w:val="20"/>
                <w:u w:val="none"/>
              </w:rPr>
              <w:tab/>
              <w:t>(2,440)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344</w:t>
              <w:tab/>
            </w:r>
          </w:p>
        </w:tc>
      </w:tr>
      <w:tr>
        <w:tblPrEx>
          <w:tblW w:w="10260" w:type="dxa"/>
          <w:tblInd w:w="0" w:type="dxa"/>
          <w:tblLayout w:type="fixed"/>
        </w:tblPrEx>
        <w:trPr>
          <w:trHeight w:hRule="exact" w:val="285"/>
        </w:trPr>
        <w:tc>
          <w:tcPr>
            <w:tcW w:w="619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5" w:after="30" w:line="240" w:lineRule="auto"/>
              <w:ind w:left="360" w:hanging="360"/>
              <w:jc w:val="left"/>
            </w:pPr>
            <w:r>
              <w:rPr>
                <w:rFonts w:ascii="Times New Roman" w:eastAsia="Times New Roman" w:hAnsi="Times New Roman" w:cs="Times New Roman"/>
                <w:b/>
                <w:i w:val="0"/>
                <w:color w:val="000000"/>
                <w:sz w:val="20"/>
                <w:u w:val="none"/>
              </w:rPr>
              <w:t>Loss from operations</w:t>
            </w: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ab/>
              <w:t>(1,053)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ab/>
              <w:t>(6,253)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5" w:after="30" w:line="240" w:lineRule="auto"/>
              <w:jc w:val="right"/>
            </w:pPr>
            <w:r>
              <w:rPr>
                <w:rFonts w:ascii="Times New Roman" w:eastAsia="Times New Roman" w:hAnsi="Times New Roman" w:cs="Times New Roman"/>
                <w:b w:val="0"/>
                <w:i w:val="0"/>
                <w:color w:val="000000"/>
                <w:sz w:val="20"/>
                <w:u w:val="none"/>
              </w:rPr>
              <w:tab/>
              <w:t>5,200</w:t>
              <w:tab/>
            </w:r>
          </w:p>
        </w:tc>
      </w:tr>
      <w:tr>
        <w:tblPrEx>
          <w:tblW w:w="10260" w:type="dxa"/>
          <w:tblInd w:w="0" w:type="dxa"/>
          <w:tblLayout w:type="fixed"/>
        </w:tblPrEx>
        <w:trPr>
          <w:trHeight w:hRule="exact" w:val="285"/>
        </w:trPr>
        <w:tc>
          <w:tcPr>
            <w:tcW w:w="619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ind w:left="360" w:hanging="360"/>
              <w:jc w:val="left"/>
            </w:pPr>
            <w:r>
              <w:rPr>
                <w:rFonts w:ascii="Times New Roman" w:eastAsia="Times New Roman" w:hAnsi="Times New Roman" w:cs="Times New Roman"/>
                <w:b w:val="0"/>
                <w:i w:val="0"/>
                <w:color w:val="000000"/>
                <w:sz w:val="20"/>
                <w:u w:val="none"/>
              </w:rPr>
              <w:t>Interest expense</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11,489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75" w:after="30" w:line="240" w:lineRule="auto"/>
              <w:jc w:val="right"/>
            </w:pPr>
            <w:r>
              <w:rPr>
                <w:rFonts w:ascii="Times New Roman" w:eastAsia="Times New Roman" w:hAnsi="Times New Roman" w:cs="Times New Roman"/>
                <w:b w:val="0"/>
                <w:i w:val="0"/>
                <w:color w:val="000000"/>
                <w:sz w:val="20"/>
                <w:u w:val="none"/>
              </w:rPr>
              <w:tab/>
              <w:t>10,851</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638</w:t>
              <w:tab/>
            </w:r>
          </w:p>
        </w:tc>
      </w:tr>
      <w:tr>
        <w:tblPrEx>
          <w:tblW w:w="10260" w:type="dxa"/>
          <w:tblInd w:w="0" w:type="dxa"/>
          <w:tblLayout w:type="fixed"/>
        </w:tblPrEx>
        <w:trPr>
          <w:trHeight w:hRule="exact" w:val="300"/>
        </w:trPr>
        <w:tc>
          <w:tcPr>
            <w:tcW w:w="619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ind w:left="360" w:hanging="360"/>
              <w:jc w:val="left"/>
            </w:pPr>
            <w:r>
              <w:rPr>
                <w:rFonts w:ascii="Times New Roman" w:eastAsia="Times New Roman" w:hAnsi="Times New Roman" w:cs="Times New Roman"/>
                <w:b w:val="0"/>
                <w:i w:val="0"/>
                <w:color w:val="000000"/>
                <w:sz w:val="20"/>
                <w:u w:val="none"/>
              </w:rPr>
              <w:t>Loss on extinguishment of debt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972"/>
                <w:tab w:val="left" w:pos="123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3,007</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636"/>
              </w:tabs>
              <w:spacing w:before="75" w:after="30" w:line="240" w:lineRule="auto"/>
              <w:jc w:val="right"/>
            </w:pPr>
            <w:r>
              <w:rPr>
                <w:rFonts w:ascii="Times New Roman" w:eastAsia="Times New Roman" w:hAnsi="Times New Roman" w:cs="Times New Roman"/>
                <w:b w:val="0"/>
                <w:i w:val="0"/>
                <w:color w:val="000000"/>
                <w:sz w:val="20"/>
                <w:u w:val="none"/>
              </w:rPr>
              <w:tab/>
              <w:t>(3,007)</w:t>
            </w:r>
          </w:p>
        </w:tc>
      </w:tr>
      <w:tr>
        <w:tblPrEx>
          <w:tblW w:w="10260" w:type="dxa"/>
          <w:tblInd w:w="0" w:type="dxa"/>
          <w:tblLayout w:type="fixed"/>
        </w:tblPrEx>
        <w:trPr>
          <w:trHeight w:hRule="exact" w:val="285"/>
        </w:trPr>
        <w:tc>
          <w:tcPr>
            <w:tcW w:w="619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ind w:left="360" w:hanging="360"/>
              <w:jc w:val="left"/>
            </w:pPr>
            <w:r>
              <w:rPr>
                <w:rFonts w:ascii="Times New Roman" w:eastAsia="Times New Roman" w:hAnsi="Times New Roman" w:cs="Times New Roman"/>
                <w:b w:val="0"/>
                <w:i w:val="0"/>
                <w:color w:val="000000"/>
                <w:sz w:val="20"/>
                <w:u w:val="none"/>
              </w:rPr>
              <w:t>Other expense (income), net</w:t>
            </w: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285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636"/>
              </w:tabs>
              <w:spacing w:before="75" w:after="30" w:line="240" w:lineRule="auto"/>
              <w:jc w:val="right"/>
            </w:pPr>
            <w:r>
              <w:rPr>
                <w:rFonts w:ascii="Times New Roman" w:eastAsia="Times New Roman" w:hAnsi="Times New Roman" w:cs="Times New Roman"/>
                <w:b w:val="0"/>
                <w:i w:val="0"/>
                <w:color w:val="000000"/>
                <w:sz w:val="20"/>
                <w:u w:val="none"/>
              </w:rPr>
              <w:tab/>
              <w:t>(2,788)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3,073</w:t>
              <w:tab/>
            </w:r>
          </w:p>
        </w:tc>
      </w:tr>
      <w:tr>
        <w:tblPrEx>
          <w:tblW w:w="10260" w:type="dxa"/>
          <w:tblInd w:w="0" w:type="dxa"/>
          <w:tblLayout w:type="fixed"/>
        </w:tblPrEx>
        <w:trPr>
          <w:trHeight w:hRule="exact" w:val="495"/>
        </w:trPr>
        <w:tc>
          <w:tcPr>
            <w:tcW w:w="619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55" w:after="30" w:line="240" w:lineRule="auto"/>
              <w:ind w:left="360" w:hanging="360"/>
              <w:jc w:val="left"/>
            </w:pPr>
            <w:r>
              <w:rPr>
                <w:rFonts w:ascii="Times New Roman" w:eastAsia="Times New Roman" w:hAnsi="Times New Roman" w:cs="Times New Roman"/>
                <w:b w:val="0"/>
                <w:i w:val="0"/>
                <w:color w:val="000000"/>
                <w:sz w:val="20"/>
                <w:u w:val="none"/>
              </w:rPr>
              <w:t>Loss before provision for income taxes and share of net income from joint venture</w:t>
            </w: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6"/>
              </w:tabs>
              <w:spacing w:before="55" w:after="30" w:line="240" w:lineRule="auto"/>
              <w:jc w:val="right"/>
            </w:pPr>
            <w:r>
              <w:rPr>
                <w:rFonts w:ascii="Times New Roman" w:eastAsia="Times New Roman" w:hAnsi="Times New Roman" w:cs="Times New Roman"/>
                <w:b w:val="0"/>
                <w:i w:val="0"/>
                <w:color w:val="000000"/>
                <w:sz w:val="20"/>
                <w:u w:val="none"/>
              </w:rPr>
              <w:tab/>
              <w:t>(12,827)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536"/>
              </w:tabs>
              <w:spacing w:before="55" w:after="30" w:line="240" w:lineRule="auto"/>
              <w:jc w:val="right"/>
            </w:pPr>
            <w:r>
              <w:rPr>
                <w:rFonts w:ascii="Times New Roman" w:eastAsia="Times New Roman" w:hAnsi="Times New Roman" w:cs="Times New Roman"/>
                <w:b w:val="0"/>
                <w:i w:val="0"/>
                <w:color w:val="000000"/>
                <w:sz w:val="20"/>
                <w:u w:val="none"/>
              </w:rPr>
              <w:tab/>
              <w:t>(17,323)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55" w:after="30" w:line="240" w:lineRule="auto"/>
              <w:jc w:val="right"/>
            </w:pPr>
            <w:r>
              <w:rPr>
                <w:rFonts w:ascii="Times New Roman" w:eastAsia="Times New Roman" w:hAnsi="Times New Roman" w:cs="Times New Roman"/>
                <w:b w:val="0"/>
                <w:i w:val="0"/>
                <w:color w:val="000000"/>
                <w:sz w:val="20"/>
                <w:u w:val="none"/>
              </w:rPr>
              <w:tab/>
              <w:t>4,496</w:t>
              <w:tab/>
            </w:r>
          </w:p>
        </w:tc>
      </w:tr>
      <w:tr>
        <w:tblPrEx>
          <w:tblW w:w="10260" w:type="dxa"/>
          <w:tblInd w:w="0" w:type="dxa"/>
          <w:tblLayout w:type="fixed"/>
        </w:tblPrEx>
        <w:trPr>
          <w:trHeight w:hRule="exact" w:val="285"/>
        </w:trPr>
        <w:tc>
          <w:tcPr>
            <w:tcW w:w="619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ind w:left="360" w:hanging="360"/>
              <w:jc w:val="left"/>
            </w:pPr>
            <w:r>
              <w:rPr>
                <w:rFonts w:ascii="Times New Roman" w:eastAsia="Times New Roman" w:hAnsi="Times New Roman" w:cs="Times New Roman"/>
                <w:b w:val="0"/>
                <w:i w:val="0"/>
                <w:color w:val="000000"/>
                <w:sz w:val="20"/>
                <w:u w:val="none"/>
              </w:rPr>
              <w:t>Provision for income taxes</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6"/>
              </w:tabs>
              <w:spacing w:before="75" w:after="30" w:line="240" w:lineRule="auto"/>
              <w:jc w:val="right"/>
            </w:pPr>
            <w:r>
              <w:rPr>
                <w:rFonts w:ascii="Times New Roman" w:eastAsia="Times New Roman" w:hAnsi="Times New Roman" w:cs="Times New Roman"/>
                <w:b w:val="0"/>
                <w:i w:val="0"/>
                <w:color w:val="000000"/>
                <w:sz w:val="20"/>
                <w:u w:val="none"/>
              </w:rPr>
              <w:tab/>
              <w:t>(906)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6"/>
              </w:tabs>
              <w:spacing w:before="75" w:after="30" w:line="240" w:lineRule="auto"/>
              <w:jc w:val="right"/>
            </w:pPr>
            <w:r>
              <w:rPr>
                <w:rFonts w:ascii="Times New Roman" w:eastAsia="Times New Roman" w:hAnsi="Times New Roman" w:cs="Times New Roman"/>
                <w:b w:val="0"/>
                <w:i w:val="0"/>
                <w:color w:val="000000"/>
                <w:sz w:val="20"/>
                <w:u w:val="none"/>
              </w:rPr>
              <w:tab/>
              <w:t>(2,084)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1,178</w:t>
              <w:tab/>
            </w:r>
          </w:p>
        </w:tc>
      </w:tr>
      <w:tr>
        <w:tblPrEx>
          <w:tblW w:w="10260" w:type="dxa"/>
          <w:tblInd w:w="0" w:type="dxa"/>
          <w:tblLayout w:type="fixed"/>
        </w:tblPrEx>
        <w:trPr>
          <w:trHeight w:hRule="exact" w:val="285"/>
        </w:trPr>
        <w:tc>
          <w:tcPr>
            <w:tcW w:w="619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ind w:left="360" w:hanging="360"/>
              <w:jc w:val="left"/>
            </w:pPr>
            <w:r>
              <w:rPr>
                <w:rFonts w:ascii="Times New Roman" w:eastAsia="Times New Roman" w:hAnsi="Times New Roman" w:cs="Times New Roman"/>
                <w:b w:val="0"/>
                <w:i w:val="0"/>
                <w:color w:val="000000"/>
                <w:sz w:val="20"/>
                <w:u w:val="none"/>
              </w:rPr>
              <w:t>Share of net income from joint venture</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4,638</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4,620</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972"/>
                <w:tab w:val="left" w:pos="1237"/>
              </w:tabs>
              <w:spacing w:before="75" w:after="30" w:line="240" w:lineRule="auto"/>
              <w:jc w:val="right"/>
            </w:pPr>
            <w:r>
              <w:rPr>
                <w:rFonts w:ascii="Times New Roman" w:eastAsia="Times New Roman" w:hAnsi="Times New Roman" w:cs="Times New Roman"/>
                <w:b w:val="0"/>
                <w:i w:val="0"/>
                <w:color w:val="000000"/>
                <w:sz w:val="20"/>
                <w:u w:val="none"/>
              </w:rPr>
              <w:tab/>
              <w:t>18</w:t>
              <w:tab/>
            </w:r>
          </w:p>
        </w:tc>
      </w:tr>
      <w:tr>
        <w:tblPrEx>
          <w:tblW w:w="10260" w:type="dxa"/>
          <w:tblInd w:w="0" w:type="dxa"/>
          <w:tblLayout w:type="fixed"/>
        </w:tblPrEx>
        <w:trPr>
          <w:trHeight w:hRule="exact" w:val="285"/>
        </w:trPr>
        <w:tc>
          <w:tcPr>
            <w:tcW w:w="6195" w:type="dxa"/>
            <w:tcBorders>
              <w:top w:val="nil"/>
              <w:left w:val="nil"/>
              <w:bottom w:val="nil"/>
              <w:right w:val="nil"/>
            </w:tcBorders>
            <w:shd w:val="clear" w:color="auto" w:fill="CCEEFF"/>
            <w:tcMar>
              <w:top w:w="0" w:type="dxa"/>
              <w:left w:w="53" w:type="dxa"/>
              <w:bottom w:w="0" w:type="dxa"/>
              <w:right w:w="53" w:type="dxa"/>
            </w:tcMar>
            <w:vAlign w:val="top"/>
          </w:tcPr>
          <w:p>
            <w:pPr>
              <w:pageBreakBefore w:val="0"/>
              <w:spacing w:before="55" w:after="30" w:line="240" w:lineRule="auto"/>
              <w:ind w:left="360" w:hanging="360"/>
              <w:jc w:val="left"/>
            </w:pPr>
            <w:r>
              <w:rPr>
                <w:rFonts w:ascii="Times New Roman" w:eastAsia="Times New Roman" w:hAnsi="Times New Roman" w:cs="Times New Roman"/>
                <w:b/>
                <w:i w:val="0"/>
                <w:color w:val="000000"/>
                <w:sz w:val="20"/>
                <w:u w:val="none"/>
              </w:rPr>
              <w:t>Net loss</w:t>
            </w: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36"/>
              </w:tabs>
              <w:spacing w:before="55" w:after="30" w:line="240" w:lineRule="auto"/>
              <w:jc w:val="right"/>
            </w:pPr>
            <w:r>
              <w:rPr>
                <w:rFonts w:ascii="Times New Roman" w:eastAsia="Times New Roman" w:hAnsi="Times New Roman" w:cs="Times New Roman"/>
                <w:b w:val="0"/>
                <w:i w:val="0"/>
                <w:color w:val="000000"/>
                <w:sz w:val="20"/>
                <w:u w:val="none"/>
              </w:rPr>
              <w:t>$</w:t>
              <w:tab/>
              <w:t>(9,095)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536"/>
              </w:tabs>
              <w:spacing w:before="55" w:after="30" w:line="240" w:lineRule="auto"/>
              <w:jc w:val="right"/>
            </w:pPr>
            <w:r>
              <w:rPr>
                <w:rFonts w:ascii="Times New Roman" w:eastAsia="Times New Roman" w:hAnsi="Times New Roman" w:cs="Times New Roman"/>
                <w:b w:val="0"/>
                <w:i w:val="0"/>
                <w:color w:val="000000"/>
                <w:sz w:val="20"/>
                <w:u w:val="none"/>
              </w:rPr>
              <w:t>$</w:t>
              <w:tab/>
              <w:t>(14,787)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7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5,692</w:t>
              <w:tab/>
            </w:r>
          </w:p>
        </w:tc>
      </w:tr>
    </w:tbl>
    <w:p>
      <w:pPr>
        <w:keepNext w:val="0"/>
        <w:keepLines w:val="0"/>
        <w:pageBreakBefore w:val="0"/>
        <w:widowControl/>
        <w:numPr>
          <w:ilvl w:val="0"/>
          <w:numId w:val="0"/>
        </w:numPr>
        <w:spacing w:before="180" w:after="0" w:line="269"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sz w:val="20"/>
        </w:rPr>
        <w:t>Net Sales</w:t>
      </w:r>
      <w:r>
        <w:rPr>
          <w:rFonts w:ascii="Times New Roman" w:eastAsia="Times New Roman" w:hAnsi="Times New Roman" w:cs="Times New Roman"/>
          <w:b w:val="0"/>
          <w:i w:val="0"/>
          <w:sz w:val="20"/>
        </w:rPr>
        <w:t xml:space="preserve">.  Net sales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$33.6 million</w:t>
      </w:r>
      <w:r>
        <w:rPr>
          <w:rFonts w:ascii="Times New Roman" w:eastAsia="Times New Roman" w:hAnsi="Times New Roman" w:cs="Times New Roman"/>
          <w:b w:val="0"/>
          <w:i w:val="0"/>
          <w:sz w:val="20"/>
        </w:rPr>
        <w:t xml:space="preserve">, or </w:t>
      </w:r>
      <w:r>
        <w:rPr>
          <w:rFonts w:ascii="Times New Roman" w:eastAsia="Times New Roman" w:hAnsi="Times New Roman" w:cs="Times New Roman"/>
          <w:b w:val="0"/>
          <w:i w:val="0"/>
          <w:color w:val="000000"/>
          <w:sz w:val="20"/>
          <w:u w:val="none"/>
        </w:rPr>
        <w:t>15.7%</w:t>
      </w:r>
      <w:r>
        <w:rPr>
          <w:rFonts w:ascii="Times New Roman" w:eastAsia="Times New Roman" w:hAnsi="Times New Roman" w:cs="Times New Roman"/>
          <w:b w:val="0"/>
          <w:i w:val="0"/>
          <w:sz w:val="20"/>
        </w:rPr>
        <w:t xml:space="preserve">,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primarily due to higher selling prices, reflecting the pass-through of increased raw material costs to customers</w:t>
      </w:r>
      <w:r>
        <w:rPr>
          <w:rFonts w:ascii="Times New Roman" w:eastAsia="Times New Roman" w:hAnsi="Times New Roman" w:cs="Times New Roman"/>
          <w:b w:val="0"/>
          <w:i w:val="0"/>
          <w:sz w:val="20"/>
        </w:rPr>
        <w:t>, higher volume</w:t>
      </w:r>
      <w:r>
        <w:rPr>
          <w:rFonts w:ascii="Times New Roman" w:eastAsia="Times New Roman" w:hAnsi="Times New Roman" w:cs="Times New Roman"/>
          <w:b w:val="0"/>
          <w:i w:val="0"/>
          <w:sz w:val="20"/>
        </w:rPr>
        <w:t>s</w:t>
      </w:r>
      <w:r>
        <w:rPr>
          <w:rFonts w:ascii="Times New Roman" w:eastAsia="Times New Roman" w:hAnsi="Times New Roman" w:cs="Times New Roman"/>
          <w:b w:val="0"/>
          <w:i w:val="0"/>
          <w:sz w:val="20"/>
        </w:rPr>
        <w:t>, and favorable foreign exchange effects.</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sz w:val="20"/>
        </w:rPr>
        <w:t>Cost of Sales.</w:t>
      </w:r>
      <w:r>
        <w:rPr>
          <w:rFonts w:ascii="Times New Roman" w:eastAsia="Times New Roman" w:hAnsi="Times New Roman" w:cs="Times New Roman"/>
          <w:b w:val="0"/>
          <w:i w:val="0"/>
          <w:sz w:val="20"/>
        </w:rPr>
        <w:t xml:space="preserve">  Cost of sales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$24.5 million</w:t>
      </w:r>
      <w:r>
        <w:rPr>
          <w:rFonts w:ascii="Times New Roman" w:eastAsia="Times New Roman" w:hAnsi="Times New Roman" w:cs="Times New Roman"/>
          <w:b w:val="0"/>
          <w:i w:val="0"/>
          <w:sz w:val="20"/>
        </w:rPr>
        <w:t xml:space="preserve">, or </w:t>
      </w:r>
      <w:r>
        <w:rPr>
          <w:rFonts w:ascii="Times New Roman" w:eastAsia="Times New Roman" w:hAnsi="Times New Roman" w:cs="Times New Roman"/>
          <w:b w:val="0"/>
          <w:i w:val="0"/>
          <w:color w:val="000000"/>
          <w:sz w:val="20"/>
          <w:u w:val="none"/>
        </w:rPr>
        <w:t>13.5%</w:t>
      </w:r>
      <w:r>
        <w:rPr>
          <w:rFonts w:ascii="Times New Roman" w:eastAsia="Times New Roman" w:hAnsi="Times New Roman" w:cs="Times New Roman"/>
          <w:b w:val="0"/>
          <w:i w:val="0"/>
          <w:sz w:val="20"/>
        </w:rPr>
        <w:t xml:space="preserve">,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primarily due to </w:t>
      </w:r>
      <w:r>
        <w:rPr>
          <w:rFonts w:ascii="Times New Roman" w:eastAsia="Times New Roman" w:hAnsi="Times New Roman" w:cs="Times New Roman"/>
          <w:b w:val="0"/>
          <w:i w:val="0"/>
          <w:sz w:val="20"/>
        </w:rPr>
        <w:t xml:space="preserve">raw material price increases, higher volumes, and unfavorable </w:t>
      </w:r>
      <w:r>
        <w:rPr>
          <w:rFonts w:ascii="Times New Roman" w:eastAsia="Times New Roman" w:hAnsi="Times New Roman" w:cs="Times New Roman"/>
          <w:b w:val="0"/>
          <w:i w:val="0"/>
          <w:sz w:val="20"/>
        </w:rPr>
        <w:t>plant</w:t>
      </w:r>
      <w:r>
        <w:rPr>
          <w:rFonts w:ascii="Times New Roman" w:eastAsia="Times New Roman" w:hAnsi="Times New Roman" w:cs="Times New Roman"/>
          <w:b w:val="0"/>
          <w:i w:val="0"/>
          <w:sz w:val="20"/>
        </w:rPr>
        <w:t xml:space="preserve"> mix costs. </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sz w:val="20"/>
        </w:rPr>
        <w:t>Selling, General, and Administrative Expense.</w:t>
      </w:r>
      <w:r>
        <w:rPr>
          <w:rFonts w:ascii="Times New Roman" w:eastAsia="Times New Roman" w:hAnsi="Times New Roman" w:cs="Times New Roman"/>
          <w:b w:val="0"/>
          <w:i w:val="0"/>
          <w:sz w:val="20"/>
        </w:rPr>
        <w:t xml:space="preserve">  Selling, general, and administrative expense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$2.6 million</w:t>
      </w:r>
      <w:r>
        <w:rPr>
          <w:rFonts w:ascii="Times New Roman" w:eastAsia="Times New Roman" w:hAnsi="Times New Roman" w:cs="Times New Roman"/>
          <w:b w:val="0"/>
          <w:i w:val="0"/>
          <w:sz w:val="20"/>
        </w:rPr>
        <w:t xml:space="preserve">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primarily due to</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higher compensation costs</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consulting</w:t>
      </w:r>
      <w:r>
        <w:rPr>
          <w:rFonts w:ascii="Times New Roman" w:eastAsia="Times New Roman" w:hAnsi="Times New Roman" w:cs="Times New Roman"/>
          <w:b w:val="0"/>
          <w:i w:val="0"/>
          <w:sz w:val="20"/>
        </w:rPr>
        <w:t xml:space="preserve"> fees</w:t>
      </w:r>
      <w:r>
        <w:rPr>
          <w:rFonts w:ascii="Times New Roman" w:eastAsia="Times New Roman" w:hAnsi="Times New Roman" w:cs="Times New Roman"/>
          <w:b w:val="0"/>
          <w:i w:val="0"/>
          <w:sz w:val="20"/>
        </w:rPr>
        <w:t>,</w:t>
      </w:r>
      <w:r>
        <w:rPr>
          <w:rFonts w:ascii="Times New Roman" w:eastAsia="Times New Roman" w:hAnsi="Times New Roman" w:cs="Times New Roman"/>
          <w:b w:val="0"/>
          <w:i w:val="0"/>
          <w:sz w:val="20"/>
        </w:rPr>
        <w:t xml:space="preserve"> and legal fees</w:t>
      </w:r>
      <w:r>
        <w:rPr>
          <w:rFonts w:ascii="Times New Roman" w:eastAsia="Times New Roman" w:hAnsi="Times New Roman" w:cs="Times New Roman"/>
          <w:b w:val="0"/>
          <w:i w:val="0"/>
          <w:sz w:val="20"/>
        </w:rPr>
        <w:t>.</w:t>
      </w:r>
      <w:r>
        <w:rPr>
          <w:rFonts w:ascii="Times New Roman" w:eastAsia="Times New Roman" w:hAnsi="Times New Roman" w:cs="Times New Roman"/>
          <w:b w:val="0"/>
          <w:i w:val="0"/>
          <w:sz w:val="20"/>
        </w:rPr>
        <w:t xml:space="preserve"> T</w:t>
      </w:r>
      <w:r>
        <w:rPr>
          <w:rFonts w:ascii="Times New Roman" w:eastAsia="Times New Roman" w:hAnsi="Times New Roman" w:cs="Times New Roman"/>
          <w:b w:val="0"/>
          <w:i w:val="0"/>
          <w:sz w:val="20"/>
        </w:rPr>
        <w:t xml:space="preserve">he remaining impact </w:t>
      </w:r>
      <w:r>
        <w:rPr>
          <w:rFonts w:ascii="Times New Roman" w:eastAsia="Times New Roman" w:hAnsi="Times New Roman" w:cs="Times New Roman"/>
          <w:b w:val="0"/>
          <w:i w:val="0"/>
          <w:sz w:val="20"/>
        </w:rPr>
        <w:t>was</w:t>
      </w:r>
      <w:r>
        <w:rPr>
          <w:rFonts w:ascii="Times New Roman" w:eastAsia="Times New Roman" w:hAnsi="Times New Roman" w:cs="Times New Roman"/>
          <w:b w:val="0"/>
          <w:i w:val="0"/>
          <w:sz w:val="20"/>
        </w:rPr>
        <w:t xml:space="preserve"> primarily driven by </w:t>
      </w:r>
      <w:r>
        <w:rPr>
          <w:rFonts w:ascii="Times New Roman" w:eastAsia="Times New Roman" w:hAnsi="Times New Roman" w:cs="Times New Roman"/>
          <w:b w:val="0"/>
          <w:i w:val="0"/>
          <w:sz w:val="20"/>
        </w:rPr>
        <w:t xml:space="preserve">unfavorable foreign exchange </w:t>
      </w:r>
      <w:r>
        <w:rPr>
          <w:rFonts w:ascii="Times New Roman" w:eastAsia="Times New Roman" w:hAnsi="Times New Roman" w:cs="Times New Roman"/>
          <w:b w:val="0"/>
          <w:i w:val="0"/>
          <w:sz w:val="20"/>
        </w:rPr>
        <w:t xml:space="preserve">and inflationary effects. </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sz w:val="20"/>
        </w:rPr>
        <w:t>Depreciation and amortization</w:t>
      </w:r>
      <w:r>
        <w:rPr>
          <w:rFonts w:ascii="Times New Roman" w:eastAsia="Times New Roman" w:hAnsi="Times New Roman" w:cs="Times New Roman"/>
          <w:b w:val="0"/>
          <w:i w:val="0"/>
          <w:sz w:val="20"/>
        </w:rPr>
        <w:t xml:space="preserve">. Depreciation and amortization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$0.9 million</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primarily due to the impact of capital expenditures placed in service in the current and prior year</w:t>
      </w:r>
      <w:r>
        <w:rPr>
          <w:rFonts w:ascii="Times New Roman" w:eastAsia="Times New Roman" w:hAnsi="Times New Roman" w:cs="Times New Roman"/>
          <w:b w:val="0"/>
          <w:i w:val="0"/>
          <w:sz w:val="20"/>
        </w:rPr>
        <w:t>.</w:t>
      </w:r>
    </w:p>
    <w:p>
      <w:pPr>
        <w:keepNext w:val="0"/>
        <w:keepLines w:val="0"/>
        <w:pageBreakBefore w:val="0"/>
        <w:widowControl/>
        <w:numPr>
          <w:ilvl w:val="0"/>
          <w:numId w:val="0"/>
        </w:numPr>
        <w:spacing w:before="0" w:after="120" w:line="269"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   </w:t>
      </w:r>
    </w:p>
    <w:p>
      <w:pPr>
        <w:keepNext/>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sz w:val="20"/>
        </w:rPr>
        <w:t>Interest Expense.</w:t>
      </w:r>
      <w:r>
        <w:rPr>
          <w:rFonts w:ascii="Times New Roman" w:eastAsia="Times New Roman" w:hAnsi="Times New Roman" w:cs="Times New Roman"/>
          <w:b w:val="0"/>
          <w:i w:val="0"/>
          <w:sz w:val="20"/>
        </w:rPr>
        <w:t xml:space="preserve">  Interest expense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$0.6 million</w:t>
      </w:r>
      <w:r>
        <w:rPr>
          <w:rFonts w:ascii="Times New Roman" w:eastAsia="Times New Roman" w:hAnsi="Times New Roman" w:cs="Times New Roman"/>
          <w:b w:val="0"/>
          <w:i w:val="0"/>
          <w:sz w:val="20"/>
        </w:rPr>
        <w:t xml:space="preserve">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primarily due to higher average debt balances offset by lower amortization of debt issuance costs and discounts.</w:t>
      </w:r>
    </w:p>
    <w:tbl>
      <w:tblPr>
        <w:tblStyle w:val="TableNormal0"/>
        <w:tblW w:w="10260" w:type="dxa"/>
        <w:jc w:val="left"/>
        <w:tblInd w:w="0" w:type="dxa"/>
        <w:tblLayout w:type="fixed"/>
      </w:tblPr>
      <w:tblGrid>
        <w:gridCol w:w="7575"/>
        <w:gridCol w:w="1305"/>
        <w:gridCol w:w="75"/>
        <w:gridCol w:w="1305"/>
      </w:tblGrid>
      <w:tr>
        <w:tblPrEx>
          <w:tblW w:w="10260" w:type="dxa"/>
          <w:tblInd w:w="0" w:type="dxa"/>
          <w:tblLayout w:type="fixed"/>
        </w:tblPrEx>
        <w:trPr>
          <w:trHeight w:hRule="exact" w:val="240"/>
        </w:trPr>
        <w:tc>
          <w:tcPr>
            <w:tcW w:w="757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16"/>
                <w:u w:val="none"/>
              </w:rPr>
              <w:t> </w:t>
            </w:r>
          </w:p>
        </w:tc>
        <w:tc>
          <w:tcPr>
            <w:tcW w:w="2685" w:type="dxa"/>
            <w:gridSpan w:val="3"/>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Six Months Ended June 30,</w:t>
            </w:r>
          </w:p>
        </w:tc>
      </w:tr>
      <w:tr>
        <w:tblPrEx>
          <w:tblW w:w="10260" w:type="dxa"/>
          <w:tblInd w:w="0" w:type="dxa"/>
          <w:tblLayout w:type="fixed"/>
        </w:tblPrEx>
        <w:trPr>
          <w:trHeight w:hRule="exact" w:val="240"/>
        </w:trPr>
        <w:tc>
          <w:tcPr>
            <w:tcW w:w="7575" w:type="dxa"/>
            <w:tcBorders>
              <w:top w:val="nil"/>
              <w:left w:val="nil"/>
              <w:bottom w:val="nil"/>
              <w:right w:val="nil"/>
            </w:tcBorders>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16"/>
                <w:u w:val="none"/>
              </w:rPr>
              <w:t> </w:t>
            </w:r>
          </w:p>
        </w:tc>
        <w:tc>
          <w:tcPr>
            <w:tcW w:w="13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2025</w:t>
            </w:r>
          </w:p>
        </w:tc>
      </w:tr>
      <w:tr>
        <w:tblPrEx>
          <w:tblW w:w="10260" w:type="dxa"/>
          <w:tblInd w:w="0" w:type="dxa"/>
          <w:tblLayout w:type="fixed"/>
        </w:tblPrEx>
        <w:trPr>
          <w:trHeight w:hRule="exact" w:val="285"/>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Interest on debt</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11,064</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9,782</w:t>
              <w:tab/>
            </w:r>
          </w:p>
        </w:tc>
      </w:tr>
      <w:tr>
        <w:tblPrEx>
          <w:tblW w:w="10260" w:type="dxa"/>
          <w:tblInd w:w="0" w:type="dxa"/>
          <w:tblLayout w:type="fixed"/>
        </w:tblPrEx>
        <w:trPr>
          <w:trHeight w:hRule="exact" w:val="285"/>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Amortization of debt issuance costs and discount</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499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keepNext/>
              <w:pageBreakBefore w:val="0"/>
              <w:tabs>
                <w:tab w:val="left" w:pos="722"/>
                <w:tab w:val="left" w:pos="1237"/>
              </w:tabs>
              <w:spacing w:before="75" w:after="30" w:line="240" w:lineRule="auto"/>
              <w:jc w:val="right"/>
            </w:pPr>
            <w:r>
              <w:rPr>
                <w:rFonts w:ascii="Times New Roman" w:eastAsia="Times New Roman" w:hAnsi="Times New Roman" w:cs="Times New Roman"/>
                <w:b w:val="0"/>
                <w:i w:val="0"/>
                <w:color w:val="000000"/>
                <w:sz w:val="20"/>
                <w:u w:val="none"/>
              </w:rPr>
              <w:tab/>
              <w:t>1,024</w:t>
              <w:tab/>
            </w:r>
          </w:p>
        </w:tc>
      </w:tr>
      <w:tr>
        <w:tblPrEx>
          <w:tblW w:w="10260" w:type="dxa"/>
          <w:tblInd w:w="0" w:type="dxa"/>
          <w:tblLayout w:type="fixed"/>
        </w:tblPrEx>
        <w:trPr>
          <w:trHeight w:hRule="exact" w:val="285"/>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Capitalized interest</w:t>
            </w: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6"/>
              </w:tabs>
              <w:spacing w:before="75" w:after="30" w:line="240" w:lineRule="auto"/>
              <w:jc w:val="right"/>
            </w:pPr>
            <w:r>
              <w:rPr>
                <w:rFonts w:ascii="Times New Roman" w:eastAsia="Times New Roman" w:hAnsi="Times New Roman" w:cs="Times New Roman"/>
                <w:b w:val="0"/>
                <w:i w:val="0"/>
                <w:color w:val="000000"/>
                <w:sz w:val="20"/>
                <w:u w:val="none"/>
              </w:rPr>
              <w:tab/>
              <w:t>(553)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nil"/>
              <w:right w:val="nil"/>
            </w:tcBorders>
            <w:shd w:val="clear" w:color="auto" w:fill="CCEEFF"/>
            <w:tcMar>
              <w:top w:w="0" w:type="dxa"/>
              <w:left w:w="0" w:type="dxa"/>
              <w:bottom w:w="0" w:type="dxa"/>
              <w:right w:w="15" w:type="dxa"/>
            </w:tcMar>
            <w:vAlign w:val="bottom"/>
          </w:tcPr>
          <w:p>
            <w:pPr>
              <w:keepNext/>
              <w:pageBreakBefore w:val="0"/>
              <w:tabs>
                <w:tab w:val="left" w:pos="786"/>
              </w:tabs>
              <w:spacing w:before="75" w:after="30" w:line="240" w:lineRule="auto"/>
              <w:jc w:val="right"/>
            </w:pPr>
            <w:r>
              <w:rPr>
                <w:rFonts w:ascii="Times New Roman" w:eastAsia="Times New Roman" w:hAnsi="Times New Roman" w:cs="Times New Roman"/>
                <w:b w:val="0"/>
                <w:i w:val="0"/>
                <w:color w:val="000000"/>
                <w:sz w:val="20"/>
                <w:u w:val="none"/>
              </w:rPr>
              <w:tab/>
              <w:t>(407)</w:t>
            </w:r>
          </w:p>
        </w:tc>
      </w:tr>
      <w:tr>
        <w:tblPrEx>
          <w:tblW w:w="10260" w:type="dxa"/>
          <w:tblInd w:w="0" w:type="dxa"/>
          <w:tblLayout w:type="fixed"/>
        </w:tblPrEx>
        <w:trPr>
          <w:trHeight w:hRule="exact" w:val="285"/>
        </w:trPr>
        <w:tc>
          <w:tcPr>
            <w:tcW w:w="757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Other</w:t>
            </w: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479</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pPr>
          </w:p>
        </w:tc>
        <w:tc>
          <w:tcPr>
            <w:tcW w:w="130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872"/>
                <w:tab w:val="left" w:pos="1237"/>
              </w:tabs>
              <w:spacing w:before="75" w:after="30" w:line="240" w:lineRule="auto"/>
              <w:jc w:val="right"/>
            </w:pPr>
            <w:r>
              <w:rPr>
                <w:rFonts w:ascii="Times New Roman" w:eastAsia="Times New Roman" w:hAnsi="Times New Roman" w:cs="Times New Roman"/>
                <w:b w:val="0"/>
                <w:i w:val="0"/>
                <w:color w:val="000000"/>
                <w:sz w:val="20"/>
                <w:u w:val="none"/>
              </w:rPr>
              <w:tab/>
              <w:t>452</w:t>
              <w:tab/>
            </w:r>
          </w:p>
        </w:tc>
      </w:tr>
      <w:tr>
        <w:tblPrEx>
          <w:tblW w:w="10260" w:type="dxa"/>
          <w:tblInd w:w="0" w:type="dxa"/>
          <w:tblLayout w:type="fixed"/>
        </w:tblPrEx>
        <w:trPr>
          <w:trHeight w:hRule="exact" w:val="285"/>
        </w:trPr>
        <w:tc>
          <w:tcPr>
            <w:tcW w:w="7575" w:type="dxa"/>
            <w:tcBorders>
              <w:top w:val="nil"/>
              <w:left w:val="nil"/>
              <w:bottom w:val="nil"/>
              <w:right w:val="nil"/>
            </w:tcBorders>
            <w:shd w:val="clear" w:color="auto" w:fill="CCEEFF"/>
            <w:tcMar>
              <w:top w:w="0" w:type="dxa"/>
              <w:left w:w="53" w:type="dxa"/>
              <w:bottom w:w="0" w:type="dxa"/>
              <w:right w:w="53" w:type="dxa"/>
            </w:tcMar>
            <w:vAlign w:val="top"/>
          </w:tcPr>
          <w:p>
            <w:pPr>
              <w:pageBreakBefore w:val="0"/>
              <w:spacing w:before="55" w:after="30" w:line="240" w:lineRule="auto"/>
              <w:ind w:left="225"/>
              <w:jc w:val="left"/>
            </w:pPr>
            <w:r>
              <w:rPr>
                <w:rFonts w:ascii="Times New Roman" w:eastAsia="Times New Roman" w:hAnsi="Times New Roman" w:cs="Times New Roman"/>
                <w:b w:val="0"/>
                <w:i w:val="0"/>
                <w:color w:val="000000"/>
                <w:sz w:val="20"/>
                <w:u w:val="none"/>
              </w:rPr>
              <w:t>Total interest expense</w:t>
            </w: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11,489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pageBreakBefore w:val="0"/>
              <w:spacing w:before="0" w:after="0"/>
            </w:pPr>
          </w:p>
        </w:tc>
        <w:tc>
          <w:tcPr>
            <w:tcW w:w="130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6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10,851</w:t>
              <w:tab/>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sz w:val="20"/>
        </w:rPr>
        <w:t>Loss on Extinguishment of Debt.</w:t>
      </w:r>
      <w:r>
        <w:rPr>
          <w:rFonts w:ascii="Times New Roman" w:eastAsia="Times New Roman" w:hAnsi="Times New Roman" w:cs="Times New Roman"/>
          <w:b w:val="0"/>
          <w:i w:val="0"/>
          <w:sz w:val="20"/>
        </w:rPr>
        <w:t xml:space="preserve"> Loss on extinguishment of debt was $3.0 million during the six months ended June 30, 2025 due to the termination of the 2021 Term Loan Facility. No debt extinguishment has occurred during the six months ended June 30, 2026. </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sz w:val="20"/>
        </w:rPr>
        <w:t xml:space="preserve">Other </w:t>
      </w:r>
      <w:r>
        <w:rPr>
          <w:rFonts w:ascii="Times New Roman" w:eastAsia="Times New Roman" w:hAnsi="Times New Roman" w:cs="Times New Roman"/>
          <w:b w:val="0"/>
          <w:i/>
          <w:sz w:val="20"/>
        </w:rPr>
        <w:t>Expense (</w:t>
      </w:r>
      <w:r>
        <w:rPr>
          <w:rFonts w:ascii="Times New Roman" w:eastAsia="Times New Roman" w:hAnsi="Times New Roman" w:cs="Times New Roman"/>
          <w:b w:val="0"/>
          <w:i/>
          <w:sz w:val="20"/>
        </w:rPr>
        <w:t>Income</w:t>
      </w:r>
      <w:r>
        <w:rPr>
          <w:rFonts w:ascii="Times New Roman" w:eastAsia="Times New Roman" w:hAnsi="Times New Roman" w:cs="Times New Roman"/>
          <w:b w:val="0"/>
          <w:i/>
          <w:sz w:val="20"/>
        </w:rPr>
        <w:t>)</w:t>
      </w:r>
      <w:r>
        <w:rPr>
          <w:rFonts w:ascii="Times New Roman" w:eastAsia="Times New Roman" w:hAnsi="Times New Roman" w:cs="Times New Roman"/>
          <w:b w:val="0"/>
          <w:i/>
          <w:sz w:val="20"/>
        </w:rPr>
        <w:t xml:space="preserve">, Net.  </w:t>
      </w:r>
      <w:r>
        <w:rPr>
          <w:rFonts w:ascii="Times New Roman" w:eastAsia="Times New Roman" w:hAnsi="Times New Roman" w:cs="Times New Roman"/>
          <w:b w:val="0"/>
          <w:i w:val="0"/>
          <w:color w:val="000000"/>
          <w:sz w:val="20"/>
          <w:u w:val="none"/>
        </w:rPr>
        <w:t>Other expense (income), net</w:t>
      </w:r>
      <w:r>
        <w:rPr>
          <w:rFonts w:ascii="Times New Roman" w:eastAsia="Times New Roman" w:hAnsi="Times New Roman" w:cs="Times New Roman"/>
          <w:b w:val="0"/>
          <w:i w:val="0"/>
          <w:sz w:val="20"/>
        </w:rPr>
        <w:t xml:space="preserve"> changed </w:t>
      </w:r>
      <w:r>
        <w:rPr>
          <w:rFonts w:ascii="Times New Roman" w:eastAsia="Times New Roman" w:hAnsi="Times New Roman" w:cs="Times New Roman"/>
          <w:b w:val="0"/>
          <w:i w:val="0"/>
          <w:color w:val="000000"/>
          <w:sz w:val="20"/>
          <w:u w:val="none"/>
        </w:rPr>
        <w:t>unfavorably</w:t>
      </w:r>
      <w:r>
        <w:rPr>
          <w:rFonts w:ascii="Times New Roman" w:eastAsia="Times New Roman" w:hAnsi="Times New Roman" w:cs="Times New Roman"/>
          <w:b w:val="0"/>
          <w:i w:val="0"/>
          <w:sz w:val="20"/>
        </w:rPr>
        <w:t xml:space="preserve"> by </w:t>
      </w:r>
      <w:r>
        <w:rPr>
          <w:rFonts w:ascii="Times New Roman" w:eastAsia="Times New Roman" w:hAnsi="Times New Roman" w:cs="Times New Roman"/>
          <w:b w:val="0"/>
          <w:i w:val="0"/>
          <w:color w:val="000000"/>
          <w:sz w:val="20"/>
          <w:u w:val="none"/>
        </w:rPr>
        <w:t>$3.1 million</w:t>
      </w:r>
      <w:r>
        <w:rPr>
          <w:rFonts w:ascii="Times New Roman" w:eastAsia="Times New Roman" w:hAnsi="Times New Roman" w:cs="Times New Roman"/>
          <w:b w:val="0"/>
          <w:i w:val="0"/>
          <w:sz w:val="20"/>
        </w:rPr>
        <w:t xml:space="preserve">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primarily due to noncash derivative mark-to-market loss recognized during the first </w:t>
      </w:r>
      <w:r>
        <w:rPr>
          <w:rFonts w:ascii="Times New Roman" w:eastAsia="Times New Roman" w:hAnsi="Times New Roman" w:cs="Times New Roman"/>
          <w:b w:val="0"/>
          <w:i w:val="0"/>
          <w:sz w:val="20"/>
        </w:rPr>
        <w:t>six months</w:t>
      </w:r>
      <w:r>
        <w:rPr>
          <w:rFonts w:ascii="Times New Roman" w:eastAsia="Times New Roman" w:hAnsi="Times New Roman" w:cs="Times New Roman"/>
          <w:b w:val="0"/>
          <w:i w:val="0"/>
          <w:sz w:val="20"/>
        </w:rPr>
        <w:t xml:space="preserve"> of 2026 compared to noncash derivative mark-to-market gain </w:t>
      </w:r>
      <w:r>
        <w:rPr>
          <w:rFonts w:ascii="Times New Roman" w:eastAsia="Times New Roman" w:hAnsi="Times New Roman" w:cs="Times New Roman"/>
          <w:b w:val="0"/>
          <w:i w:val="0"/>
          <w:sz w:val="20"/>
        </w:rPr>
        <w:t xml:space="preserve">in </w:t>
      </w:r>
      <w:r>
        <w:rPr>
          <w:rFonts w:ascii="Times New Roman" w:eastAsia="Times New Roman" w:hAnsi="Times New Roman" w:cs="Times New Roman"/>
          <w:b w:val="0"/>
          <w:i w:val="0"/>
          <w:sz w:val="20"/>
        </w:rPr>
        <w:t xml:space="preserve">the first </w:t>
      </w:r>
      <w:r>
        <w:rPr>
          <w:rFonts w:ascii="Times New Roman" w:eastAsia="Times New Roman" w:hAnsi="Times New Roman" w:cs="Times New Roman"/>
          <w:b w:val="0"/>
          <w:i w:val="0"/>
          <w:sz w:val="20"/>
        </w:rPr>
        <w:t>six months</w:t>
      </w:r>
      <w:r>
        <w:rPr>
          <w:rFonts w:ascii="Times New Roman" w:eastAsia="Times New Roman" w:hAnsi="Times New Roman" w:cs="Times New Roman"/>
          <w:b w:val="0"/>
          <w:i w:val="0"/>
          <w:sz w:val="20"/>
        </w:rPr>
        <w:t xml:space="preserve"> of 2025.</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69" w:lineRule="auto"/>
        <w:ind w:left="0" w:right="0" w:firstLine="0"/>
        <w:jc w:val="left"/>
        <w:outlineLvl w:val="9"/>
        <w:rPr>
          <w:rFonts w:ascii="Calibri" w:eastAsia="Calibri" w:hAnsi="Calibri" w:cs="Calibri"/>
          <w:b w:val="0"/>
          <w:i w:val="0"/>
          <w:color w:val="000000"/>
          <w:sz w:val="22"/>
          <w:highlight w:val="yellow"/>
          <w:u w:val="none"/>
        </w:rPr>
      </w:pPr>
      <w:r>
        <w:rPr>
          <w:rFonts w:ascii="Times New Roman" w:eastAsia="Times New Roman" w:hAnsi="Times New Roman" w:cs="Times New Roman"/>
          <w:b w:val="0"/>
          <w:i/>
          <w:sz w:val="20"/>
        </w:rPr>
        <w:t xml:space="preserve">Provision for Income Taxes. </w:t>
      </w:r>
      <w:r>
        <w:rPr>
          <w:rFonts w:ascii="Times New Roman" w:eastAsia="Times New Roman" w:hAnsi="Times New Roman" w:cs="Times New Roman"/>
          <w:b w:val="0"/>
          <w:i w:val="0"/>
          <w:sz w:val="20"/>
        </w:rPr>
        <w:t xml:space="preserve"> Our effective tax rate was </w:t>
      </w:r>
      <w:r>
        <w:rPr>
          <w:rFonts w:ascii="Times New Roman" w:eastAsia="Times New Roman" w:hAnsi="Times New Roman" w:cs="Times New Roman"/>
          <w:b w:val="0"/>
          <w:i w:val="0"/>
          <w:color w:val="000000"/>
          <w:sz w:val="20"/>
          <w:u w:val="none"/>
        </w:rPr>
        <w:t>(7.1)%</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w:t>
      </w:r>
      <w:r>
        <w:rPr>
          <w:rFonts w:ascii="Times New Roman" w:eastAsia="Times New Roman" w:hAnsi="Times New Roman" w:cs="Times New Roman"/>
          <w:b w:val="0"/>
          <w:i w:val="0"/>
          <w:color w:val="000000"/>
          <w:sz w:val="20"/>
          <w:u w:val="none"/>
        </w:rPr>
        <w:t>(12.0)%</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The rate for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was unfavorably impacted due to the accrual of tax on non-permanently reinvested unremitted earnings of foreign subsidiaries and by the limitation of the amount of tax benefit recorded for losses in certain jurisdictions where we believe it is more likely than not that a future tax benefit may not be realized.</w:t>
      </w:r>
    </w:p>
    <w:p>
      <w:pPr>
        <w:keepNext w:val="0"/>
        <w:keepLines w:val="0"/>
        <w:pageBreakBefore w:val="0"/>
        <w:widowControl/>
        <w:numPr>
          <w:ilvl w:val="0"/>
          <w:numId w:val="0"/>
        </w:numPr>
        <w:spacing w:before="0" w:after="0" w:line="269" w:lineRule="auto"/>
        <w:ind w:left="0" w:right="0" w:firstLine="0"/>
        <w:jc w:val="left"/>
        <w:outlineLvl w:val="9"/>
        <w:rPr>
          <w:rFonts w:ascii="Calibri" w:eastAsia="Calibri" w:hAnsi="Calibri" w:cs="Calibri"/>
          <w:b w:val="0"/>
          <w:i w:val="0"/>
          <w:color w:val="414142"/>
          <w:sz w:val="22"/>
          <w:u w:val="none"/>
        </w:rPr>
      </w:pP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color w:val="000000"/>
          <w:sz w:val="24"/>
          <w:highlight w:val="yellow"/>
          <w:u w:val="none"/>
        </w:rPr>
      </w:pPr>
      <w:r>
        <w:rPr>
          <w:rFonts w:ascii="Times New Roman" w:eastAsia="Times New Roman" w:hAnsi="Times New Roman" w:cs="Times New Roman"/>
          <w:b w:val="0"/>
          <w:i/>
          <w:sz w:val="20"/>
        </w:rPr>
        <w:t xml:space="preserve">Share of Net Income from Joint Venture. </w:t>
      </w:r>
      <w:r>
        <w:rPr>
          <w:rFonts w:ascii="Times New Roman" w:eastAsia="Times New Roman" w:hAnsi="Times New Roman" w:cs="Times New Roman"/>
          <w:b w:val="0"/>
          <w:i w:val="0"/>
          <w:sz w:val="20"/>
        </w:rPr>
        <w:t xml:space="preserve"> Share of net income from the JV remained unchanged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The JV, in which we own a 49% investment, recognized net sales of </w:t>
      </w:r>
      <w:r>
        <w:rPr>
          <w:rFonts w:ascii="Times New Roman" w:eastAsia="Times New Roman" w:hAnsi="Times New Roman" w:cs="Times New Roman"/>
          <w:b w:val="0"/>
          <w:i w:val="0"/>
          <w:color w:val="000000"/>
          <w:sz w:val="20"/>
          <w:u w:val="none"/>
        </w:rPr>
        <w:t>$71.0 million</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$64.3 million</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and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sz w:val="20"/>
        </w:rPr>
        <w:t>, respectively.</w:t>
      </w:r>
    </w:p>
    <w:p>
      <w:pPr>
        <w:keepNext/>
        <w:keepLines/>
        <w:pageBreakBefore w:val="0"/>
        <w:widowControl w:val="0"/>
        <w:numPr>
          <w:ilvl w:val="0"/>
          <w:numId w:val="0"/>
        </w:numPr>
        <w:spacing w:before="24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color w:val="000000"/>
          <w:sz w:val="20"/>
          <w:u w:val="single"/>
        </w:rPr>
        <w:t>Results by Segment</w:t>
      </w:r>
      <w:r>
        <w:rPr>
          <w:rFonts w:ascii="Times New Roman" w:eastAsia="Times New Roman" w:hAnsi="Times New Roman" w:cs="Times New Roman"/>
          <w:b w:val="0"/>
          <w:i w:val="0"/>
          <w:sz w:val="20"/>
        </w:rPr>
        <w:t xml:space="preserve"> </w:t>
      </w:r>
    </w:p>
    <w:p>
      <w:pPr>
        <w:keepNext/>
        <w:keepLines/>
        <w:pageBreakBefore w:val="0"/>
        <w:widowControl w:val="0"/>
        <w:numPr>
          <w:ilvl w:val="0"/>
          <w:numId w:val="0"/>
        </w:numPr>
        <w:spacing w:before="12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MOBILE SOLUTIONS </w:t>
      </w:r>
    </w:p>
    <w:tbl>
      <w:tblPr>
        <w:tblStyle w:val="TableNormal0"/>
        <w:tblW w:w="10260" w:type="dxa"/>
        <w:jc w:val="left"/>
        <w:tblInd w:w="0" w:type="dxa"/>
        <w:tblLayout w:type="fixed"/>
      </w:tblPr>
      <w:tblGrid>
        <w:gridCol w:w="6195"/>
        <w:gridCol w:w="1305"/>
        <w:gridCol w:w="75"/>
        <w:gridCol w:w="1305"/>
        <w:gridCol w:w="75"/>
        <w:gridCol w:w="1305"/>
      </w:tblGrid>
      <w:tr>
        <w:tblPrEx>
          <w:tblW w:w="10260" w:type="dxa"/>
          <w:tblInd w:w="0" w:type="dxa"/>
          <w:tblLayout w:type="fixed"/>
        </w:tblPrEx>
        <w:trPr>
          <w:trHeight w:hRule="exact" w:val="240"/>
        </w:trPr>
        <w:tc>
          <w:tcPr>
            <w:tcW w:w="619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16"/>
                <w:u w:val="none"/>
              </w:rPr>
              <w:t> </w:t>
            </w:r>
          </w:p>
        </w:tc>
        <w:tc>
          <w:tcPr>
            <w:tcW w:w="4065" w:type="dxa"/>
            <w:gridSpan w:val="5"/>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Six Months Ended June 30,</w:t>
            </w:r>
          </w:p>
        </w:tc>
      </w:tr>
      <w:tr>
        <w:tblPrEx>
          <w:tblW w:w="10260" w:type="dxa"/>
          <w:tblInd w:w="0" w:type="dxa"/>
          <w:tblLayout w:type="fixed"/>
        </w:tblPrEx>
        <w:trPr>
          <w:trHeight w:hRule="exact" w:val="240"/>
        </w:trPr>
        <w:tc>
          <w:tcPr>
            <w:tcW w:w="6195" w:type="dxa"/>
            <w:tcBorders>
              <w:top w:val="nil"/>
              <w:left w:val="nil"/>
              <w:bottom w:val="nil"/>
              <w:right w:val="nil"/>
            </w:tcBorders>
            <w:shd w:val="clear" w:color="auto" w:fill="FFFFFF"/>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16"/>
                <w:u w:val="none"/>
              </w:rPr>
              <w:t> </w:t>
            </w:r>
          </w:p>
        </w:tc>
        <w:tc>
          <w:tcPr>
            <w:tcW w:w="130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30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2025</w:t>
            </w:r>
          </w:p>
        </w:tc>
        <w:tc>
          <w:tcPr>
            <w:tcW w:w="75" w:type="dxa"/>
            <w:tcBorders>
              <w:top w:val="single" w:sz="8" w:space="0" w:color="000000"/>
              <w:left w:val="nil"/>
              <w:bottom w:val="nil"/>
              <w:right w:val="nil"/>
            </w:tcBorders>
            <w:shd w:val="clear" w:color="auto" w:fill="FFFFFF"/>
            <w:tcMar>
              <w:top w:w="0" w:type="dxa"/>
              <w:left w:w="0" w:type="dxa"/>
              <w:bottom w:w="0" w:type="dxa"/>
              <w:right w:w="0" w:type="dxa"/>
            </w:tcMar>
            <w:vAlign w:val="bottom"/>
          </w:tcPr>
          <w:p>
            <w:pPr>
              <w:keepNext/>
              <w:pageBreakBefore w:val="0"/>
              <w:spacing w:before="0" w:after="0"/>
              <w:rPr>
                <w:sz w:val="16"/>
              </w:rPr>
            </w:pPr>
          </w:p>
        </w:tc>
        <w:tc>
          <w:tcPr>
            <w:tcW w:w="1305" w:type="dxa"/>
            <w:tcBorders>
              <w:top w:val="single" w:sz="8" w:space="0" w:color="000000"/>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 Change</w:t>
            </w:r>
          </w:p>
        </w:tc>
      </w:tr>
      <w:tr>
        <w:tblPrEx>
          <w:tblW w:w="10260" w:type="dxa"/>
          <w:tblInd w:w="0" w:type="dxa"/>
          <w:tblLayout w:type="fixed"/>
        </w:tblPrEx>
        <w:trPr>
          <w:trHeight w:hRule="exact" w:val="285"/>
        </w:trPr>
        <w:tc>
          <w:tcPr>
            <w:tcW w:w="619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Net sales</w:t>
            </w: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129,703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125,635</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0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22"/>
                <w:tab w:val="left" w:pos="1237"/>
              </w:tabs>
              <w:spacing w:before="55" w:after="30" w:line="240" w:lineRule="auto"/>
              <w:jc w:val="right"/>
            </w:pPr>
            <w:r>
              <w:rPr>
                <w:rFonts w:ascii="Times New Roman" w:eastAsia="Times New Roman" w:hAnsi="Times New Roman" w:cs="Times New Roman"/>
                <w:b w:val="0"/>
                <w:i w:val="0"/>
                <w:color w:val="000000"/>
                <w:sz w:val="20"/>
                <w:u w:val="none"/>
              </w:rPr>
              <w:t>$</w:t>
              <w:tab/>
              <w:t>4,068</w:t>
              <w:tab/>
            </w:r>
          </w:p>
        </w:tc>
      </w:tr>
      <w:tr>
        <w:tblPrEx>
          <w:tblW w:w="10260" w:type="dxa"/>
          <w:tblInd w:w="0" w:type="dxa"/>
          <w:tblLayout w:type="fixed"/>
        </w:tblPrEx>
        <w:trPr>
          <w:trHeight w:hRule="exact" w:val="285"/>
        </w:trPr>
        <w:tc>
          <w:tcPr>
            <w:tcW w:w="6195" w:type="dxa"/>
            <w:tcBorders>
              <w:top w:val="nil"/>
              <w:left w:val="nil"/>
              <w:bottom w:val="nil"/>
              <w:right w:val="nil"/>
            </w:tcBorders>
            <w:shd w:val="clear" w:color="auto" w:fill="FFFFFF"/>
            <w:tcMar>
              <w:top w:w="0" w:type="dxa"/>
              <w:left w:w="53" w:type="dxa"/>
              <w:bottom w:w="0" w:type="dxa"/>
              <w:right w:w="53" w:type="dxa"/>
            </w:tcMar>
            <w:vAlign w:val="top"/>
          </w:tcPr>
          <w:p>
            <w:pPr>
              <w:pageBreakBefore w:val="0"/>
              <w:spacing w:before="75" w:after="30" w:line="240" w:lineRule="auto"/>
              <w:jc w:val="left"/>
            </w:pPr>
            <w:r>
              <w:rPr>
                <w:rFonts w:ascii="Times New Roman" w:eastAsia="Times New Roman" w:hAnsi="Times New Roman" w:cs="Times New Roman"/>
                <w:b w:val="0"/>
                <w:i w:val="0"/>
                <w:color w:val="000000"/>
                <w:sz w:val="20"/>
                <w:u w:val="none"/>
              </w:rPr>
              <w:t>Loss from operations</w:t>
            </w: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36"/>
              </w:tabs>
              <w:spacing w:before="75" w:after="30" w:line="240" w:lineRule="auto"/>
              <w:jc w:val="right"/>
            </w:pPr>
            <w:r>
              <w:rPr>
                <w:rFonts w:ascii="Times New Roman" w:eastAsia="Times New Roman" w:hAnsi="Times New Roman" w:cs="Times New Roman"/>
                <w:b w:val="0"/>
                <w:i w:val="0"/>
                <w:color w:val="000000"/>
                <w:sz w:val="20"/>
                <w:u w:val="none"/>
              </w:rPr>
              <w:t>$</w:t>
              <w:tab/>
              <w:t>(4,022)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36"/>
              </w:tabs>
              <w:spacing w:before="75" w:after="30" w:line="240" w:lineRule="auto"/>
              <w:jc w:val="right"/>
            </w:pPr>
            <w:r>
              <w:rPr>
                <w:rFonts w:ascii="Times New Roman" w:eastAsia="Times New Roman" w:hAnsi="Times New Roman" w:cs="Times New Roman"/>
                <w:b w:val="0"/>
                <w:i w:val="0"/>
                <w:color w:val="000000"/>
                <w:sz w:val="20"/>
                <w:u w:val="none"/>
              </w:rPr>
              <w:t>$</w:t>
              <w:tab/>
              <w:t>(3,797)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0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786"/>
              </w:tabs>
              <w:spacing w:before="75" w:after="30" w:line="240" w:lineRule="auto"/>
              <w:jc w:val="right"/>
            </w:pPr>
            <w:r>
              <w:rPr>
                <w:rFonts w:ascii="Times New Roman" w:eastAsia="Times New Roman" w:hAnsi="Times New Roman" w:cs="Times New Roman"/>
                <w:b w:val="0"/>
                <w:i w:val="0"/>
                <w:color w:val="000000"/>
                <w:sz w:val="20"/>
                <w:u w:val="none"/>
              </w:rPr>
              <w:t>$</w:t>
              <w:tab/>
              <w:t>(225)</w:t>
            </w:r>
          </w:p>
        </w:tc>
      </w:tr>
    </w:tbl>
    <w:p>
      <w:pPr>
        <w:keepNext w:val="0"/>
        <w:keepLines w:val="0"/>
        <w:pageBreakBefore w:val="0"/>
        <w:widowControl/>
        <w:numPr>
          <w:ilvl w:val="0"/>
          <w:numId w:val="0"/>
        </w:numPr>
        <w:spacing w:before="180" w:after="0" w:line="269"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Net sales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$4.1 million</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or </w:t>
      </w:r>
      <w:r>
        <w:rPr>
          <w:rFonts w:ascii="Times New Roman" w:eastAsia="Times New Roman" w:hAnsi="Times New Roman" w:cs="Times New Roman"/>
          <w:b w:val="0"/>
          <w:i w:val="0"/>
          <w:color w:val="000000"/>
          <w:sz w:val="20"/>
          <w:u w:val="none"/>
        </w:rPr>
        <w:t>3.2%</w:t>
      </w:r>
      <w:r>
        <w:rPr>
          <w:rFonts w:ascii="Times New Roman" w:eastAsia="Times New Roman" w:hAnsi="Times New Roman" w:cs="Times New Roman"/>
          <w:b w:val="0"/>
          <w:i w:val="0"/>
          <w:sz w:val="20"/>
        </w:rPr>
        <w:t xml:space="preserve">,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primarily due to favorable foreign currency</w:t>
      </w:r>
      <w:r>
        <w:rPr>
          <w:rFonts w:ascii="Times New Roman" w:eastAsia="Times New Roman" w:hAnsi="Times New Roman" w:cs="Times New Roman"/>
          <w:b w:val="0"/>
          <w:i w:val="0"/>
          <w:sz w:val="20"/>
        </w:rPr>
        <w:t xml:space="preserve"> effects, higher selling prices reflecting the pass-through of increased raw material costs to customers, and higher sales volumes, partially offset by the impact of rationalization actions taken in 2025 to improve profitability.</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color w:val="000000"/>
          <w:sz w:val="20"/>
          <w:u w:val="none"/>
        </w:rPr>
        <w:t>Loss from operations</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$0.2 million</w:t>
      </w:r>
      <w:r>
        <w:rPr>
          <w:rFonts w:ascii="Times New Roman" w:eastAsia="Times New Roman" w:hAnsi="Times New Roman" w:cs="Times New Roman"/>
          <w:b w:val="0"/>
          <w:i w:val="0"/>
          <w:sz w:val="20"/>
        </w:rPr>
        <w:t xml:space="preserve"> or </w:t>
      </w:r>
      <w:r>
        <w:rPr>
          <w:rFonts w:ascii="Times New Roman" w:eastAsia="Times New Roman" w:hAnsi="Times New Roman" w:cs="Times New Roman"/>
          <w:b w:val="0"/>
          <w:i w:val="0"/>
          <w:color w:val="000000"/>
          <w:sz w:val="20"/>
          <w:u w:val="none"/>
        </w:rPr>
        <w:t>5.9%</w:t>
      </w:r>
      <w:r>
        <w:rPr>
          <w:rFonts w:ascii="Times New Roman" w:eastAsia="Times New Roman" w:hAnsi="Times New Roman" w:cs="Times New Roman"/>
          <w:b w:val="0"/>
          <w:i w:val="0"/>
          <w:sz w:val="20"/>
        </w:rPr>
        <w:t xml:space="preserve">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compared to the</w:t>
      </w:r>
      <w:r>
        <w:rPr>
          <w:rFonts w:ascii="Times New Roman" w:eastAsia="Times New Roman" w:hAnsi="Times New Roman" w:cs="Times New Roman"/>
          <w:b w:val="0"/>
          <w:i w:val="0"/>
          <w:sz w:val="20"/>
        </w:rPr>
        <w:t xml:space="preserve"> six months ende</w:t>
      </w:r>
      <w:r>
        <w:rPr>
          <w:rFonts w:ascii="Times New Roman" w:eastAsia="Times New Roman" w:hAnsi="Times New Roman" w:cs="Times New Roman"/>
          <w:b w:val="0"/>
          <w:i w:val="0"/>
          <w:sz w:val="20"/>
        </w:rPr>
        <w:t>d</w:t>
      </w:r>
      <w:r>
        <w:rPr>
          <w:rFonts w:ascii="Times New Roman" w:eastAsia="Times New Roman" w:hAnsi="Times New Roman" w:cs="Times New Roman"/>
          <w:b w:val="0"/>
          <w:i w:val="0"/>
          <w:sz w:val="20"/>
        </w:rPr>
        <w:t xml:space="preserve"> June </w:t>
      </w:r>
      <w:r>
        <w:rPr>
          <w:rFonts w:ascii="Times New Roman" w:eastAsia="Times New Roman" w:hAnsi="Times New Roman" w:cs="Times New Roman"/>
          <w:b w:val="0"/>
          <w:i w:val="0"/>
          <w:sz w:val="20"/>
        </w:rPr>
        <w:t>30,</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primarily related to</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unfavorable</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raw material price increases</w:t>
      </w:r>
      <w:r>
        <w:rPr>
          <w:rFonts w:ascii="Times New Roman" w:eastAsia="Times New Roman" w:hAnsi="Times New Roman" w:cs="Times New Roman"/>
          <w:b w:val="0"/>
          <w:i w:val="0"/>
          <w:sz w:val="20"/>
        </w:rPr>
        <w:t xml:space="preserve"> and an </w:t>
      </w:r>
      <w:r>
        <w:rPr>
          <w:rFonts w:ascii="Times New Roman" w:eastAsia="Times New Roman" w:hAnsi="Times New Roman" w:cs="Times New Roman"/>
          <w:b w:val="0"/>
          <w:i w:val="0"/>
          <w:sz w:val="20"/>
        </w:rPr>
        <w:t>unfavorab</w:t>
      </w:r>
      <w:r>
        <w:rPr>
          <w:rFonts w:ascii="Times New Roman" w:eastAsia="Times New Roman" w:hAnsi="Times New Roman" w:cs="Times New Roman"/>
          <w:b w:val="0"/>
          <w:i w:val="0"/>
          <w:sz w:val="20"/>
        </w:rPr>
        <w:t xml:space="preserve">le </w:t>
      </w:r>
      <w:r>
        <w:rPr>
          <w:rFonts w:ascii="Times New Roman" w:eastAsia="Times New Roman" w:hAnsi="Times New Roman" w:cs="Times New Roman"/>
          <w:b w:val="0"/>
          <w:i w:val="0"/>
          <w:sz w:val="20"/>
        </w:rPr>
        <w:t>plant</w:t>
      </w:r>
      <w:r>
        <w:rPr>
          <w:rFonts w:ascii="Times New Roman" w:eastAsia="Times New Roman" w:hAnsi="Times New Roman" w:cs="Times New Roman"/>
          <w:b w:val="0"/>
          <w:i w:val="0"/>
          <w:sz w:val="20"/>
        </w:rPr>
        <w:t xml:space="preserve"> mix</w:t>
      </w:r>
      <w:r>
        <w:rPr>
          <w:rFonts w:ascii="Times New Roman" w:eastAsia="Times New Roman" w:hAnsi="Times New Roman" w:cs="Times New Roman"/>
          <w:b w:val="0"/>
          <w:i w:val="0"/>
          <w:sz w:val="20"/>
        </w:rPr>
        <w:t>.</w:t>
      </w:r>
      <w:r>
        <w:rPr>
          <w:rFonts w:ascii="Times New Roman" w:eastAsia="Times New Roman" w:hAnsi="Times New Roman" w:cs="Times New Roman"/>
          <w:b w:val="0"/>
          <w:i w:val="0"/>
          <w:sz w:val="20"/>
        </w:rPr>
        <w:t xml:space="preserve"> These</w:t>
      </w:r>
      <w:r>
        <w:rPr>
          <w:rFonts w:ascii="Times New Roman" w:eastAsia="Times New Roman" w:hAnsi="Times New Roman" w:cs="Times New Roman"/>
          <w:b w:val="0"/>
          <w:i w:val="0"/>
          <w:sz w:val="20"/>
        </w:rPr>
        <w:t xml:space="preserve"> were partially offset b</w:t>
      </w:r>
      <w:r>
        <w:rPr>
          <w:rFonts w:ascii="Times New Roman" w:eastAsia="Times New Roman" w:hAnsi="Times New Roman" w:cs="Times New Roman"/>
          <w:b w:val="0"/>
          <w:i w:val="0"/>
          <w:sz w:val="20"/>
        </w:rPr>
        <w:t xml:space="preserve">y </w:t>
      </w:r>
      <w:r>
        <w:rPr>
          <w:rFonts w:ascii="Times New Roman" w:eastAsia="Times New Roman" w:hAnsi="Times New Roman" w:cs="Times New Roman"/>
          <w:b w:val="0"/>
          <w:i w:val="0"/>
          <w:sz w:val="20"/>
        </w:rPr>
        <w:t xml:space="preserve">lower costs due to plant rationalization benefits and </w:t>
      </w:r>
      <w:r>
        <w:rPr>
          <w:rFonts w:ascii="Times New Roman" w:eastAsia="Times New Roman" w:hAnsi="Times New Roman" w:cs="Times New Roman"/>
          <w:b w:val="0"/>
          <w:i w:val="0"/>
          <w:sz w:val="20"/>
        </w:rPr>
        <w:t xml:space="preserve">favorable </w:t>
      </w:r>
      <w:r>
        <w:rPr>
          <w:rFonts w:ascii="Times New Roman" w:eastAsia="Times New Roman" w:hAnsi="Times New Roman" w:cs="Times New Roman"/>
          <w:b w:val="0"/>
          <w:i w:val="0"/>
          <w:sz w:val="20"/>
        </w:rPr>
        <w:t>foreign exchange effects</w:t>
      </w:r>
      <w:r>
        <w:rPr>
          <w:rFonts w:ascii="Times New Roman" w:eastAsia="Times New Roman" w:hAnsi="Times New Roman" w:cs="Times New Roman"/>
          <w:b w:val="0"/>
          <w:i w:val="0"/>
          <w:sz w:val="20"/>
        </w:rPr>
        <w:t>.</w:t>
      </w:r>
    </w:p>
    <w:p>
      <w:pPr>
        <w:keepNext/>
        <w:keepLines/>
        <w:pageBreakBefore w:val="0"/>
        <w:widowControl w:val="0"/>
        <w:numPr>
          <w:ilvl w:val="0"/>
          <w:numId w:val="0"/>
        </w:numPr>
        <w:spacing w:before="240" w:after="0" w:line="288" w:lineRule="auto"/>
        <w:ind w:left="0" w:right="0" w:firstLine="0"/>
        <w:jc w:val="left"/>
        <w:outlineLvl w:val="9"/>
        <w:rPr>
          <w:rFonts w:ascii="Times New Roman" w:eastAsia="Times New Roman" w:hAnsi="Times New Roman" w:cs="Times New Roman"/>
          <w:b w:val="0"/>
          <w:i/>
          <w:sz w:val="20"/>
        </w:rPr>
      </w:pPr>
      <w:r>
        <w:rPr>
          <w:rFonts w:ascii="Times New Roman" w:eastAsia="Times New Roman" w:hAnsi="Times New Roman" w:cs="Times New Roman"/>
          <w:b w:val="0"/>
          <w:i w:val="0"/>
          <w:sz w:val="20"/>
        </w:rPr>
        <w:t xml:space="preserve">POWER SOLUTIONS </w:t>
      </w:r>
    </w:p>
    <w:tbl>
      <w:tblPr>
        <w:tblStyle w:val="TableNormal0"/>
        <w:tblW w:w="10260" w:type="dxa"/>
        <w:jc w:val="left"/>
        <w:tblInd w:w="0" w:type="dxa"/>
        <w:tblLayout w:type="fixed"/>
      </w:tblPr>
      <w:tblGrid>
        <w:gridCol w:w="6315"/>
        <w:gridCol w:w="1320"/>
        <w:gridCol w:w="75"/>
        <w:gridCol w:w="1320"/>
        <w:gridCol w:w="75"/>
        <w:gridCol w:w="1155"/>
      </w:tblGrid>
      <w:tr>
        <w:tblPrEx>
          <w:tblW w:w="10260" w:type="dxa"/>
          <w:tblInd w:w="0" w:type="dxa"/>
          <w:tblLayout w:type="fixed"/>
        </w:tblPrEx>
        <w:trPr>
          <w:trHeight w:hRule="exact" w:val="240"/>
        </w:trPr>
        <w:tc>
          <w:tcPr>
            <w:tcW w:w="631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16"/>
                <w:u w:val="none"/>
              </w:rPr>
              <w:t> </w:t>
            </w:r>
          </w:p>
        </w:tc>
        <w:tc>
          <w:tcPr>
            <w:tcW w:w="3945" w:type="dxa"/>
            <w:gridSpan w:val="5"/>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Six Months Ended June 30,</w:t>
            </w:r>
          </w:p>
        </w:tc>
      </w:tr>
      <w:tr>
        <w:tblPrEx>
          <w:tblW w:w="10260" w:type="dxa"/>
          <w:tblInd w:w="0" w:type="dxa"/>
          <w:tblLayout w:type="fixed"/>
        </w:tblPrEx>
        <w:trPr>
          <w:trHeight w:hRule="exact" w:val="240"/>
        </w:trPr>
        <w:tc>
          <w:tcPr>
            <w:tcW w:w="6315" w:type="dxa"/>
            <w:tcBorders>
              <w:top w:val="nil"/>
              <w:left w:val="nil"/>
              <w:bottom w:val="nil"/>
              <w:right w:val="nil"/>
            </w:tcBorders>
            <w:tcMar>
              <w:top w:w="0" w:type="dxa"/>
              <w:left w:w="53" w:type="dxa"/>
              <w:bottom w:w="0" w:type="dxa"/>
              <w:right w:w="53" w:type="dxa"/>
            </w:tcMar>
            <w:vAlign w:val="bottom"/>
          </w:tcPr>
          <w:p>
            <w:pPr>
              <w:keepNext/>
              <w:pageBreakBefore w:val="0"/>
              <w:spacing w:before="55" w:after="30" w:line="240" w:lineRule="auto"/>
              <w:jc w:val="left"/>
            </w:pPr>
            <w:r>
              <w:rPr>
                <w:rFonts w:ascii="Times New Roman" w:eastAsia="Times New Roman" w:hAnsi="Times New Roman" w:cs="Times New Roman"/>
                <w:b w:val="0"/>
                <w:i w:val="0"/>
                <w:color w:val="000000"/>
                <w:sz w:val="16"/>
                <w:u w:val="none"/>
              </w:rPr>
              <w:t> </w:t>
            </w:r>
          </w:p>
        </w:tc>
        <w:tc>
          <w:tcPr>
            <w:tcW w:w="132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2026</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320"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2025</w:t>
            </w:r>
          </w:p>
        </w:tc>
        <w:tc>
          <w:tcPr>
            <w:tcW w:w="75" w:type="dxa"/>
            <w:tcBorders>
              <w:top w:val="single" w:sz="8" w:space="0" w:color="000000"/>
              <w:left w:val="nil"/>
              <w:bottom w:val="nil"/>
              <w:right w:val="nil"/>
            </w:tcBorders>
            <w:tcMar>
              <w:top w:w="0" w:type="dxa"/>
              <w:left w:w="0" w:type="dxa"/>
              <w:bottom w:w="0" w:type="dxa"/>
              <w:right w:w="0" w:type="dxa"/>
            </w:tcMar>
            <w:vAlign w:val="bottom"/>
          </w:tcPr>
          <w:p>
            <w:pPr>
              <w:keepNext/>
              <w:pageBreakBefore w:val="0"/>
              <w:spacing w:before="0" w:after="0"/>
            </w:pPr>
          </w:p>
        </w:tc>
        <w:tc>
          <w:tcPr>
            <w:tcW w:w="1155" w:type="dxa"/>
            <w:tcBorders>
              <w:top w:val="single" w:sz="8" w:space="0" w:color="000000"/>
              <w:left w:val="nil"/>
              <w:bottom w:val="single" w:sz="8" w:space="0" w:color="000000"/>
              <w:right w:val="nil"/>
            </w:tcBorders>
            <w:tcMar>
              <w:top w:w="0" w:type="dxa"/>
              <w:left w:w="53" w:type="dxa"/>
              <w:bottom w:w="0" w:type="dxa"/>
              <w:right w:w="53" w:type="dxa"/>
            </w:tcMar>
            <w:vAlign w:val="bottom"/>
          </w:tcPr>
          <w:p>
            <w:pPr>
              <w:keepNext/>
              <w:pageBreakBefore w:val="0"/>
              <w:spacing w:before="55" w:after="30" w:line="240" w:lineRule="auto"/>
              <w:jc w:val="center"/>
            </w:pPr>
            <w:r>
              <w:rPr>
                <w:rFonts w:ascii="Times New Roman" w:eastAsia="Times New Roman" w:hAnsi="Times New Roman" w:cs="Times New Roman"/>
                <w:b/>
                <w:i w:val="0"/>
                <w:color w:val="000000"/>
                <w:sz w:val="16"/>
                <w:u w:val="none"/>
              </w:rPr>
              <w:t>$ Change</w:t>
            </w:r>
          </w:p>
        </w:tc>
      </w:tr>
      <w:tr>
        <w:tblPrEx>
          <w:tblW w:w="10260" w:type="dxa"/>
          <w:tblInd w:w="0" w:type="dxa"/>
          <w:tblLayout w:type="fixed"/>
        </w:tblPrEx>
        <w:trPr>
          <w:trHeight w:hRule="exact" w:val="300"/>
        </w:trPr>
        <w:tc>
          <w:tcPr>
            <w:tcW w:w="631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Net sales</w:t>
            </w:r>
          </w:p>
        </w:tc>
        <w:tc>
          <w:tcPr>
            <w:tcW w:w="132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537"/>
                <w:tab w:val="left" w:pos="1252"/>
              </w:tabs>
              <w:spacing w:before="55" w:after="30" w:line="240" w:lineRule="auto"/>
              <w:jc w:val="right"/>
            </w:pPr>
            <w:r>
              <w:rPr>
                <w:rFonts w:ascii="Times New Roman" w:eastAsia="Times New Roman" w:hAnsi="Times New Roman" w:cs="Times New Roman"/>
                <w:b w:val="0"/>
                <w:i w:val="0"/>
                <w:color w:val="000000"/>
                <w:sz w:val="20"/>
                <w:u w:val="none"/>
              </w:rPr>
              <w:t>$</w:t>
              <w:tab/>
              <w:t>117,693</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2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637"/>
                <w:tab w:val="left" w:pos="1252"/>
              </w:tabs>
              <w:spacing w:before="55" w:after="30" w:line="240" w:lineRule="auto"/>
              <w:jc w:val="right"/>
            </w:pPr>
            <w:r>
              <w:rPr>
                <w:rFonts w:ascii="Times New Roman" w:eastAsia="Times New Roman" w:hAnsi="Times New Roman" w:cs="Times New Roman"/>
                <w:b w:val="0"/>
                <w:i w:val="0"/>
                <w:color w:val="000000"/>
                <w:sz w:val="20"/>
                <w:u w:val="none"/>
              </w:rPr>
              <w:t>$</w:t>
              <w:tab/>
              <w:t>88,149</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15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472"/>
                <w:tab w:val="left" w:pos="1087"/>
              </w:tabs>
              <w:spacing w:before="55" w:after="30" w:line="240" w:lineRule="auto"/>
              <w:jc w:val="right"/>
            </w:pPr>
            <w:r>
              <w:rPr>
                <w:rFonts w:ascii="Times New Roman" w:eastAsia="Times New Roman" w:hAnsi="Times New Roman" w:cs="Times New Roman"/>
                <w:b w:val="0"/>
                <w:i w:val="0"/>
                <w:color w:val="000000"/>
                <w:sz w:val="20"/>
                <w:u w:val="none"/>
              </w:rPr>
              <w:t>$</w:t>
              <w:tab/>
              <w:t>29,544</w:t>
              <w:tab/>
            </w:r>
          </w:p>
        </w:tc>
      </w:tr>
      <w:tr>
        <w:tblPrEx>
          <w:tblW w:w="10260" w:type="dxa"/>
          <w:tblInd w:w="0" w:type="dxa"/>
          <w:tblLayout w:type="fixed"/>
        </w:tblPrEx>
        <w:trPr>
          <w:trHeight w:hRule="exact" w:val="285"/>
        </w:trPr>
        <w:tc>
          <w:tcPr>
            <w:tcW w:w="6315" w:type="dxa"/>
            <w:tcBorders>
              <w:top w:val="nil"/>
              <w:left w:val="nil"/>
              <w:bottom w:val="nil"/>
              <w:right w:val="nil"/>
            </w:tcBorders>
            <w:shd w:val="clear" w:color="auto" w:fill="FFFFFF"/>
            <w:tcMar>
              <w:top w:w="0" w:type="dxa"/>
              <w:left w:w="53" w:type="dxa"/>
              <w:bottom w:w="0" w:type="dxa"/>
              <w:right w:w="53" w:type="dxa"/>
            </w:tcMar>
            <w:vAlign w:val="top"/>
          </w:tcPr>
          <w:p>
            <w:pPr>
              <w:pageBreakBefore w:val="0"/>
              <w:spacing w:before="75" w:after="30" w:line="240" w:lineRule="auto"/>
              <w:jc w:val="left"/>
            </w:pPr>
            <w:r>
              <w:rPr>
                <w:rFonts w:ascii="Times New Roman" w:eastAsia="Times New Roman" w:hAnsi="Times New Roman" w:cs="Times New Roman"/>
                <w:b w:val="0"/>
                <w:i w:val="0"/>
                <w:color w:val="000000"/>
                <w:sz w:val="20"/>
                <w:u w:val="none"/>
              </w:rPr>
              <w:t>Income from operations</w:t>
            </w:r>
          </w:p>
        </w:tc>
        <w:tc>
          <w:tcPr>
            <w:tcW w:w="132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637"/>
                <w:tab w:val="left" w:pos="1252"/>
              </w:tabs>
              <w:spacing w:before="75" w:after="30" w:line="240" w:lineRule="auto"/>
              <w:jc w:val="right"/>
            </w:pPr>
            <w:r>
              <w:rPr>
                <w:rFonts w:ascii="Times New Roman" w:eastAsia="Times New Roman" w:hAnsi="Times New Roman" w:cs="Times New Roman"/>
                <w:b w:val="0"/>
                <w:i w:val="0"/>
                <w:color w:val="000000"/>
                <w:sz w:val="20"/>
                <w:u w:val="none"/>
              </w:rPr>
              <w:t>$</w:t>
              <w:tab/>
              <w:t>15,346</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320"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737"/>
                <w:tab w:val="left" w:pos="1252"/>
              </w:tabs>
              <w:spacing w:before="75" w:after="30" w:line="240" w:lineRule="auto"/>
              <w:jc w:val="right"/>
            </w:pPr>
            <w:r>
              <w:rPr>
                <w:rFonts w:ascii="Times New Roman" w:eastAsia="Times New Roman" w:hAnsi="Times New Roman" w:cs="Times New Roman"/>
                <w:b w:val="0"/>
                <w:i w:val="0"/>
                <w:color w:val="000000"/>
                <w:sz w:val="20"/>
                <w:u w:val="none"/>
              </w:rPr>
              <w:t>$</w:t>
              <w:tab/>
              <w:t>8,805</w:t>
              <w:tab/>
            </w:r>
          </w:p>
        </w:tc>
        <w:tc>
          <w:tcPr>
            <w:tcW w:w="75" w:type="dxa"/>
            <w:tcBorders>
              <w:top w:val="nil"/>
              <w:left w:val="nil"/>
              <w:bottom w:val="nil"/>
              <w:right w:val="nil"/>
            </w:tcBorders>
            <w:shd w:val="clear" w:color="auto" w:fill="FFFFFF"/>
            <w:tcMar>
              <w:top w:w="0" w:type="dxa"/>
              <w:left w:w="0" w:type="dxa"/>
              <w:bottom w:w="0" w:type="dxa"/>
              <w:right w:w="0" w:type="dxa"/>
            </w:tcMar>
            <w:vAlign w:val="bottom"/>
          </w:tcPr>
          <w:p>
            <w:pPr>
              <w:pageBreakBefore w:val="0"/>
              <w:spacing w:before="0" w:after="0"/>
            </w:pPr>
          </w:p>
        </w:tc>
        <w:tc>
          <w:tcPr>
            <w:tcW w:w="1155" w:type="dxa"/>
            <w:tcBorders>
              <w:top w:val="nil"/>
              <w:left w:val="nil"/>
              <w:bottom w:val="nil"/>
              <w:right w:val="nil"/>
            </w:tcBorders>
            <w:shd w:val="clear" w:color="auto" w:fill="FFFFFF"/>
            <w:tcMar>
              <w:top w:w="0" w:type="dxa"/>
              <w:left w:w="0" w:type="dxa"/>
              <w:bottom w:w="0" w:type="dxa"/>
              <w:right w:w="15" w:type="dxa"/>
            </w:tcMar>
            <w:vAlign w:val="bottom"/>
          </w:tcPr>
          <w:p>
            <w:pPr>
              <w:pageBreakBefore w:val="0"/>
              <w:tabs>
                <w:tab w:val="left" w:pos="572"/>
                <w:tab w:val="left" w:pos="1087"/>
              </w:tabs>
              <w:spacing w:before="75" w:after="30" w:line="240" w:lineRule="auto"/>
              <w:jc w:val="right"/>
            </w:pPr>
            <w:r>
              <w:rPr>
                <w:rFonts w:ascii="Times New Roman" w:eastAsia="Times New Roman" w:hAnsi="Times New Roman" w:cs="Times New Roman"/>
                <w:b w:val="0"/>
                <w:i w:val="0"/>
                <w:color w:val="000000"/>
                <w:sz w:val="20"/>
                <w:u w:val="none"/>
              </w:rPr>
              <w:t>$</w:t>
              <w:tab/>
              <w:t>6,541</w:t>
              <w:tab/>
            </w:r>
          </w:p>
        </w:tc>
      </w:tr>
    </w:tbl>
    <w:p>
      <w:pPr>
        <w:keepNext w:val="0"/>
        <w:keepLines w:val="0"/>
        <w:pageBreakBefore w:val="0"/>
        <w:widowControl/>
        <w:numPr>
          <w:ilvl w:val="0"/>
          <w:numId w:val="0"/>
        </w:numPr>
        <w:spacing w:before="180" w:after="0" w:line="269"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Net sales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$29.5 million</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or </w:t>
      </w:r>
      <w:r>
        <w:rPr>
          <w:rFonts w:ascii="Times New Roman" w:eastAsia="Times New Roman" w:hAnsi="Times New Roman" w:cs="Times New Roman"/>
          <w:b w:val="0"/>
          <w:i w:val="0"/>
          <w:color w:val="000000"/>
          <w:sz w:val="20"/>
          <w:u w:val="none"/>
        </w:rPr>
        <w:t>33.5%</w:t>
      </w:r>
      <w:r>
        <w:rPr>
          <w:rFonts w:ascii="Times New Roman" w:eastAsia="Times New Roman" w:hAnsi="Times New Roman" w:cs="Times New Roman"/>
          <w:b w:val="0"/>
          <w:i w:val="0"/>
          <w:sz w:val="20"/>
        </w:rPr>
        <w:t xml:space="preserve">,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primarily due to higher selling prices, reflecting the pass-through of increased raw material costs to customers</w:t>
      </w:r>
      <w:r>
        <w:rPr>
          <w:rFonts w:ascii="Times New Roman" w:eastAsia="Times New Roman" w:hAnsi="Times New Roman" w:cs="Times New Roman"/>
          <w:b w:val="0"/>
          <w:i w:val="0"/>
          <w:sz w:val="20"/>
        </w:rPr>
        <w:t xml:space="preserve"> and</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higher volumes</w:t>
      </w:r>
      <w:r>
        <w:rPr>
          <w:rFonts w:ascii="Times New Roman" w:eastAsia="Times New Roman" w:hAnsi="Times New Roman" w:cs="Times New Roman"/>
          <w:b w:val="0"/>
          <w:i w:val="0"/>
          <w:sz w:val="20"/>
        </w:rPr>
        <w:t>.</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color w:val="000000"/>
          <w:sz w:val="20"/>
          <w:u w:val="none"/>
        </w:rPr>
        <w:t>Income from operations</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increase</w:t>
      </w:r>
      <w:r>
        <w:rPr>
          <w:rFonts w:ascii="Times New Roman" w:eastAsia="Times New Roman" w:hAnsi="Times New Roman" w:cs="Times New Roman"/>
          <w:b w:val="0"/>
          <w:i w:val="0"/>
          <w:sz w:val="20"/>
        </w:rPr>
        <w:t xml:space="preserve">d by </w:t>
      </w:r>
      <w:r>
        <w:rPr>
          <w:rFonts w:ascii="Times New Roman" w:eastAsia="Times New Roman" w:hAnsi="Times New Roman" w:cs="Times New Roman"/>
          <w:b w:val="0"/>
          <w:i w:val="0"/>
          <w:color w:val="000000"/>
          <w:sz w:val="20"/>
          <w:u w:val="none"/>
        </w:rPr>
        <w:t>$6.5 million</w:t>
      </w:r>
      <w:r>
        <w:rPr>
          <w:rFonts w:ascii="Times New Roman" w:eastAsia="Times New Roman" w:hAnsi="Times New Roman" w:cs="Times New Roman"/>
          <w:b w:val="0"/>
          <w:i w:val="0"/>
          <w:sz w:val="20"/>
        </w:rPr>
        <w:t xml:space="preserve">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to the same period in the prior year, </w:t>
      </w:r>
      <w:r>
        <w:rPr>
          <w:rFonts w:ascii="Times New Roman" w:eastAsia="Times New Roman" w:hAnsi="Times New Roman" w:cs="Times New Roman"/>
          <w:b w:val="0"/>
          <w:i w:val="0"/>
          <w:sz w:val="20"/>
        </w:rPr>
        <w:t>primarily due</w:t>
      </w:r>
      <w:r>
        <w:rPr>
          <w:rFonts w:ascii="Times New Roman" w:eastAsia="Times New Roman" w:hAnsi="Times New Roman" w:cs="Times New Roman"/>
          <w:b w:val="0"/>
          <w:i w:val="0"/>
          <w:sz w:val="20"/>
        </w:rPr>
        <w:t xml:space="preserve"> to</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higher selling prices, improved product mix, and higher volumes. </w:t>
      </w:r>
      <w:r>
        <w:rPr>
          <w:rFonts w:ascii="Times New Roman" w:eastAsia="Times New Roman" w:hAnsi="Times New Roman" w:cs="Times New Roman"/>
          <w:b w:val="0"/>
          <w:i w:val="0"/>
          <w:sz w:val="20"/>
        </w:rPr>
        <w:t xml:space="preserve"> </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120" w:line="288" w:lineRule="auto"/>
        <w:ind w:left="0" w:right="0" w:firstLine="0"/>
        <w:jc w:val="left"/>
        <w:outlineLvl w:val="2"/>
        <w:rPr>
          <w:rFonts w:ascii="Times New Roman" w:eastAsia="Times New Roman" w:hAnsi="Times New Roman" w:cs="Times New Roman"/>
          <w:b/>
          <w:i w:val="0"/>
          <w:color w:val="000000"/>
          <w:sz w:val="20"/>
          <w:u w:val="none"/>
        </w:rPr>
      </w:pPr>
      <w:bookmarkStart w:id="31" w:name="Section33"/>
      <w:bookmarkEnd w:id="31"/>
      <w:r>
        <w:rPr>
          <w:rFonts w:ascii="Times New Roman" w:eastAsia="Times New Roman" w:hAnsi="Times New Roman" w:cs="Times New Roman"/>
          <w:b/>
          <w:i w:val="0"/>
          <w:color w:val="000000"/>
          <w:sz w:val="20"/>
          <w:u w:val="none"/>
        </w:rPr>
        <w:t>Sources and Uses of Cash</w:t>
      </w:r>
      <w:r>
        <w:rPr>
          <w:rFonts w:ascii="Times New Roman" w:eastAsia="Times New Roman" w:hAnsi="Times New Roman" w:cs="Times New Roman"/>
          <w:b/>
          <w:i w:val="0"/>
          <w:color w:val="000000"/>
          <w:sz w:val="20"/>
          <w:u w:val="none"/>
        </w:rPr>
        <w:t xml:space="preserve"> </w:t>
      </w:r>
      <w:r>
        <w:rPr>
          <w:rFonts w:ascii="Times New Roman" w:eastAsia="Times New Roman" w:hAnsi="Times New Roman" w:cs="Times New Roman"/>
          <w:b/>
          <w:i w:val="0"/>
          <w:color w:val="000000"/>
          <w:sz w:val="20"/>
          <w:u w:val="none"/>
        </w:rPr>
        <w:t>December 31, 2025</w:t>
      </w:r>
      <w:r>
        <w:rPr>
          <w:rFonts w:ascii="Times New Roman" w:eastAsia="Times New Roman" w:hAnsi="Times New Roman" w:cs="Times New Roman"/>
          <w:b/>
          <w:i w:val="0"/>
          <w:color w:val="000000"/>
          <w:sz w:val="20"/>
          <w:u w:val="none"/>
        </w:rPr>
        <w:t xml:space="preserve"> to </w:t>
      </w:r>
      <w:r>
        <w:rPr>
          <w:rFonts w:ascii="Times New Roman" w:eastAsia="Times New Roman" w:hAnsi="Times New Roman" w:cs="Times New Roman"/>
          <w:b/>
          <w:i w:val="0"/>
          <w:color w:val="000000"/>
          <w:sz w:val="20"/>
          <w:u w:val="none"/>
        </w:rPr>
        <w:t>June 30, 2026</w:t>
      </w:r>
      <w:r>
        <w:rPr>
          <w:rFonts w:ascii="Times New Roman" w:eastAsia="Times New Roman" w:hAnsi="Times New Roman" w:cs="Times New Roman"/>
          <w:b/>
          <w:i w:val="0"/>
          <w:color w:val="000000"/>
          <w:sz w:val="20"/>
          <w:u w:val="none"/>
        </w:rPr>
        <w:t xml:space="preserve"> </w:t>
      </w:r>
    </w:p>
    <w:p>
      <w:pPr>
        <w:pStyle w:val="Subheading"/>
        <w:keepNext/>
        <w:keepLines w:val="0"/>
        <w:pageBreakBefore w:val="0"/>
        <w:widowControl/>
        <w:numPr>
          <w:ilvl w:val="0"/>
          <w:numId w:val="0"/>
        </w:numPr>
        <w:spacing w:before="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Cash Flows</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highlight w:val="yellow"/>
          <w:u w:val="none"/>
        </w:rPr>
      </w:pPr>
      <w:r>
        <w:rPr>
          <w:rFonts w:ascii="Times New Roman" w:eastAsia="Times New Roman" w:hAnsi="Times New Roman" w:cs="Times New Roman"/>
          <w:b w:val="0"/>
          <w:i w:val="0"/>
          <w:sz w:val="20"/>
        </w:rPr>
        <w:t xml:space="preserve">Cash </w:t>
      </w:r>
      <w:r>
        <w:rPr>
          <w:rFonts w:ascii="Times New Roman" w:eastAsia="Times New Roman" w:hAnsi="Times New Roman" w:cs="Times New Roman"/>
          <w:b w:val="0"/>
          <w:i w:val="0"/>
          <w:color w:val="000000"/>
          <w:sz w:val="20"/>
          <w:u w:val="none"/>
        </w:rPr>
        <w:t>provided by</w:t>
      </w:r>
      <w:r>
        <w:rPr>
          <w:rFonts w:ascii="Times New Roman" w:eastAsia="Times New Roman" w:hAnsi="Times New Roman" w:cs="Times New Roman"/>
          <w:b w:val="0"/>
          <w:i w:val="0"/>
          <w:sz w:val="20"/>
        </w:rPr>
        <w:t xml:space="preserve"> operations was </w:t>
      </w:r>
      <w:r>
        <w:rPr>
          <w:rFonts w:ascii="Times New Roman" w:eastAsia="Times New Roman" w:hAnsi="Times New Roman" w:cs="Times New Roman"/>
          <w:b w:val="0"/>
          <w:i w:val="0"/>
          <w:color w:val="000000"/>
          <w:sz w:val="20"/>
          <w:u w:val="none"/>
        </w:rPr>
        <w:t>$11.8 million</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compared</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to cash </w:t>
      </w:r>
      <w:r>
        <w:rPr>
          <w:rFonts w:ascii="Times New Roman" w:eastAsia="Times New Roman" w:hAnsi="Times New Roman" w:cs="Times New Roman"/>
          <w:b w:val="0"/>
          <w:i w:val="0"/>
          <w:sz w:val="20"/>
        </w:rPr>
        <w:t>used in operations</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of</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$4.0 million</w:t>
      </w:r>
      <w:r>
        <w:rPr>
          <w:rFonts w:ascii="Times New Roman" w:eastAsia="Times New Roman" w:hAnsi="Times New Roman" w:cs="Times New Roman"/>
          <w:b w:val="0"/>
          <w:i w:val="0"/>
          <w:sz w:val="20"/>
        </w:rPr>
        <w:t xml:space="preserve"> for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The favorable change is primarily due to a $</w:t>
      </w:r>
      <w:r>
        <w:rPr>
          <w:rFonts w:ascii="Times New Roman" w:eastAsia="Times New Roman" w:hAnsi="Times New Roman" w:cs="Times New Roman"/>
          <w:b w:val="0"/>
          <w:i w:val="0"/>
          <w:color w:val="000000"/>
          <w:sz w:val="20"/>
          <w:u w:val="none"/>
        </w:rPr>
        <w:t>12.7 million</w:t>
      </w:r>
      <w:r>
        <w:rPr>
          <w:rFonts w:ascii="Times New Roman" w:eastAsia="Times New Roman" w:hAnsi="Times New Roman" w:cs="Times New Roman"/>
          <w:b w:val="0"/>
          <w:i w:val="0"/>
          <w:sz w:val="20"/>
        </w:rPr>
        <w:t xml:space="preserve"> collection of a </w:t>
      </w:r>
      <w:r>
        <w:rPr>
          <w:rFonts w:ascii="Times New Roman" w:eastAsia="Times New Roman" w:hAnsi="Times New Roman" w:cs="Times New Roman"/>
          <w:b w:val="0"/>
          <w:i w:val="0"/>
          <w:sz w:val="20"/>
        </w:rPr>
        <w:t>tax refund claim</w:t>
      </w:r>
      <w:r>
        <w:rPr>
          <w:rFonts w:ascii="Times New Roman" w:eastAsia="Times New Roman" w:hAnsi="Times New Roman" w:cs="Times New Roman"/>
          <w:b w:val="0"/>
          <w:i w:val="0"/>
          <w:sz w:val="20"/>
        </w:rPr>
        <w:t xml:space="preserve"> and other favorable operating impacts. </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highlight w:val="yellow"/>
          <w:u w:val="none"/>
        </w:rPr>
      </w:pPr>
      <w:r>
        <w:rPr>
          <w:rFonts w:ascii="Times New Roman" w:eastAsia="Times New Roman" w:hAnsi="Times New Roman" w:cs="Times New Roman"/>
          <w:b w:val="0"/>
          <w:i w:val="0"/>
          <w:sz w:val="20"/>
        </w:rPr>
        <w:t xml:space="preserve">Cash </w:t>
      </w:r>
      <w:r>
        <w:rPr>
          <w:rFonts w:ascii="Times New Roman" w:eastAsia="Times New Roman" w:hAnsi="Times New Roman" w:cs="Times New Roman"/>
          <w:b w:val="0"/>
          <w:i w:val="0"/>
          <w:color w:val="000000"/>
          <w:sz w:val="20"/>
          <w:u w:val="none"/>
        </w:rPr>
        <w:t>used in</w:t>
      </w:r>
      <w:r>
        <w:rPr>
          <w:rFonts w:ascii="Times New Roman" w:eastAsia="Times New Roman" w:hAnsi="Times New Roman" w:cs="Times New Roman"/>
          <w:b w:val="0"/>
          <w:i w:val="0"/>
          <w:sz w:val="20"/>
        </w:rPr>
        <w:t xml:space="preserve"> investing activities </w:t>
      </w:r>
      <w:r>
        <w:rPr>
          <w:rFonts w:ascii="Times New Roman" w:eastAsia="Times New Roman" w:hAnsi="Times New Roman" w:cs="Times New Roman"/>
          <w:b w:val="0"/>
          <w:i w:val="0"/>
          <w:sz w:val="20"/>
        </w:rPr>
        <w:t xml:space="preserve">was </w:t>
      </w:r>
      <w:r>
        <w:rPr>
          <w:rFonts w:ascii="Times New Roman" w:eastAsia="Times New Roman" w:hAnsi="Times New Roman" w:cs="Times New Roman"/>
          <w:b w:val="0"/>
          <w:i w:val="0"/>
          <w:color w:val="000000"/>
          <w:sz w:val="20"/>
          <w:u w:val="none"/>
        </w:rPr>
        <w:t>$8.4 million</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for the</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with </w:t>
      </w:r>
      <w:r>
        <w:rPr>
          <w:rFonts w:ascii="Times New Roman" w:eastAsia="Times New Roman" w:hAnsi="Times New Roman" w:cs="Times New Roman"/>
          <w:b w:val="0"/>
          <w:i w:val="0"/>
          <w:color w:val="000000"/>
          <w:sz w:val="20"/>
          <w:u w:val="none"/>
        </w:rPr>
        <w:t>$7.2 million</w:t>
      </w:r>
      <w:r>
        <w:rPr>
          <w:rFonts w:ascii="Times New Roman" w:eastAsia="Times New Roman" w:hAnsi="Times New Roman" w:cs="Times New Roman"/>
          <w:b w:val="0"/>
          <w:i w:val="0"/>
          <w:sz w:val="20"/>
        </w:rPr>
        <w:t xml:space="preserve"> for the</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June 30, 2025</w:t>
      </w:r>
      <w:r>
        <w:rPr>
          <w:rFonts w:ascii="Times New Roman" w:eastAsia="Times New Roman" w:hAnsi="Times New Roman" w:cs="Times New Roman"/>
          <w:b w:val="0"/>
          <w:i w:val="0"/>
          <w:sz w:val="20"/>
        </w:rPr>
        <w:t xml:space="preserve">. The </w:t>
      </w:r>
      <w:r>
        <w:rPr>
          <w:rFonts w:ascii="Times New Roman" w:eastAsia="Times New Roman" w:hAnsi="Times New Roman" w:cs="Times New Roman"/>
          <w:b w:val="0"/>
          <w:i w:val="0"/>
          <w:sz w:val="20"/>
        </w:rPr>
        <w:t>higher use of cash</w:t>
      </w:r>
      <w:r>
        <w:rPr>
          <w:rFonts w:ascii="Times New Roman" w:eastAsia="Times New Roman" w:hAnsi="Times New Roman" w:cs="Times New Roman"/>
          <w:b w:val="0"/>
          <w:i w:val="0"/>
          <w:sz w:val="20"/>
        </w:rPr>
        <w:t xml:space="preserve"> is primarily due to additional</w:t>
      </w:r>
      <w:r>
        <w:rPr>
          <w:rFonts w:ascii="Times New Roman" w:eastAsia="Times New Roman" w:hAnsi="Times New Roman" w:cs="Times New Roman"/>
          <w:b w:val="0"/>
          <w:i w:val="0"/>
          <w:sz w:val="20"/>
        </w:rPr>
        <w:t xml:space="preserve"> purchases of property, plant</w:t>
      </w:r>
      <w:r>
        <w:rPr>
          <w:rFonts w:ascii="Times New Roman" w:eastAsia="Times New Roman" w:hAnsi="Times New Roman" w:cs="Times New Roman"/>
          <w:b w:val="0"/>
          <w:i w:val="0"/>
          <w:sz w:val="20"/>
        </w:rPr>
        <w:t xml:space="preserve"> and equipment.</w:t>
      </w: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color w:val="000000"/>
          <w:sz w:val="20"/>
          <w:highlight w:val="yellow"/>
          <w:u w:val="none"/>
        </w:rPr>
      </w:pPr>
      <w:r>
        <w:rPr>
          <w:rFonts w:ascii="Times New Roman" w:eastAsia="Times New Roman" w:hAnsi="Times New Roman" w:cs="Times New Roman"/>
          <w:b w:val="0"/>
          <w:i w:val="0"/>
          <w:sz w:val="20"/>
        </w:rPr>
        <w:t xml:space="preserve">Cash </w:t>
      </w:r>
      <w:r>
        <w:rPr>
          <w:rFonts w:ascii="Times New Roman" w:eastAsia="Times New Roman" w:hAnsi="Times New Roman" w:cs="Times New Roman"/>
          <w:b w:val="0"/>
          <w:i w:val="0"/>
          <w:color w:val="000000"/>
          <w:sz w:val="20"/>
          <w:u w:val="none"/>
        </w:rPr>
        <w:t>provided by</w:t>
      </w:r>
      <w:r>
        <w:rPr>
          <w:rFonts w:ascii="Times New Roman" w:eastAsia="Times New Roman" w:hAnsi="Times New Roman" w:cs="Times New Roman"/>
          <w:b w:val="0"/>
          <w:i w:val="0"/>
          <w:sz w:val="20"/>
        </w:rPr>
        <w:t xml:space="preserve"> financing activities decreased by </w:t>
      </w:r>
      <w:r>
        <w:rPr>
          <w:rFonts w:ascii="Times New Roman" w:eastAsia="Times New Roman" w:hAnsi="Times New Roman" w:cs="Times New Roman"/>
          <w:b w:val="0"/>
          <w:i w:val="0"/>
          <w:color w:val="000000"/>
          <w:sz w:val="20"/>
          <w:u w:val="none"/>
        </w:rPr>
        <w:t>$1.0 million</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compared </w:t>
      </w:r>
      <w:r>
        <w:rPr>
          <w:rFonts w:ascii="Times New Roman" w:eastAsia="Times New Roman" w:hAnsi="Times New Roman" w:cs="Times New Roman"/>
          <w:b w:val="0"/>
          <w:i w:val="0"/>
          <w:sz w:val="20"/>
        </w:rPr>
        <w:t>with the same period in 2025</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The decrease is primarily due to</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net</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re</w:t>
      </w:r>
      <w:r>
        <w:rPr>
          <w:rFonts w:ascii="Times New Roman" w:eastAsia="Times New Roman" w:hAnsi="Times New Roman" w:cs="Times New Roman"/>
          <w:b w:val="0"/>
          <w:i w:val="0"/>
          <w:sz w:val="20"/>
        </w:rPr>
        <w:t>payments made against our asset backed credit facilities</w:t>
      </w:r>
      <w:r>
        <w:rPr>
          <w:rFonts w:ascii="Times New Roman" w:eastAsia="Times New Roman" w:hAnsi="Times New Roman" w:cs="Times New Roman"/>
          <w:b w:val="0"/>
          <w:i w:val="0"/>
          <w:sz w:val="20"/>
        </w:rPr>
        <w:t>, offset by the $10.0 million of proceeds from the Delayed Draw Term Loan.</w:t>
      </w:r>
    </w:p>
    <w:p>
      <w:pPr>
        <w:keepNext w:val="0"/>
        <w:keepLines w:val="0"/>
        <w:pageBreakBefore w:val="0"/>
        <w:widowControl/>
        <w:numPr>
          <w:ilvl w:val="0"/>
          <w:numId w:val="0"/>
        </w:numPr>
        <w:spacing w:before="0" w:after="0" w:line="269" w:lineRule="auto"/>
        <w:ind w:left="0" w:right="0" w:firstLine="0"/>
        <w:jc w:val="left"/>
        <w:outlineLvl w:val="9"/>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0" w:right="0" w:firstLine="0"/>
        <w:jc w:val="left"/>
        <w:outlineLvl w:val="2"/>
        <w:rPr>
          <w:rFonts w:ascii="Times New Roman" w:eastAsia="Times New Roman" w:hAnsi="Times New Roman" w:cs="Times New Roman"/>
          <w:b/>
          <w:i w:val="0"/>
          <w:color w:val="000000"/>
          <w:sz w:val="20"/>
          <w:u w:val="none"/>
        </w:rPr>
      </w:pPr>
      <w:bookmarkStart w:id="32" w:name="Section34"/>
      <w:bookmarkEnd w:id="32"/>
      <w:r>
        <w:rPr>
          <w:rFonts w:ascii="Times New Roman" w:eastAsia="Times New Roman" w:hAnsi="Times New Roman" w:cs="Times New Roman"/>
          <w:b/>
          <w:i w:val="0"/>
          <w:color w:val="000000"/>
          <w:sz w:val="20"/>
          <w:u w:val="none"/>
        </w:rPr>
        <w:t xml:space="preserve">Liquidity and Capital Resources </w:t>
      </w:r>
    </w:p>
    <w:p>
      <w:pPr>
        <w:pStyle w:val="Subheading"/>
        <w:keepNext/>
        <w:keepLines/>
        <w:pageBreakBefore w:val="0"/>
        <w:widowControl w:val="0"/>
        <w:numPr>
          <w:ilvl w:val="0"/>
          <w:numId w:val="0"/>
        </w:numPr>
        <w:spacing w:before="0" w:after="60" w:line="288" w:lineRule="auto"/>
        <w:ind w:left="0" w:right="0" w:firstLine="0"/>
        <w:jc w:val="left"/>
        <w:outlineLvl w:val="9"/>
        <w:rPr>
          <w:rFonts w:ascii="Times New Roman" w:eastAsia="Times New Roman" w:hAnsi="Times New Roman" w:cs="Times New Roman"/>
          <w:b w:val="0"/>
          <w:i/>
          <w:color w:val="000000"/>
          <w:sz w:val="20"/>
          <w:u w:val="none"/>
        </w:rPr>
      </w:pPr>
      <w:r>
        <w:rPr>
          <w:rFonts w:ascii="Times New Roman" w:eastAsia="Times New Roman" w:hAnsi="Times New Roman" w:cs="Times New Roman"/>
          <w:b w:val="0"/>
          <w:i/>
          <w:color w:val="000000"/>
          <w:sz w:val="20"/>
          <w:u w:val="none"/>
        </w:rPr>
        <w:t>Overview</w:t>
      </w:r>
    </w:p>
    <w:p>
      <w:pPr>
        <w:keepNext/>
        <w:keepLines/>
        <w:pageBreakBefore w:val="0"/>
        <w:widowControl w:val="0"/>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As of June 30, 2026, our primary sources of liquidity were cash and cash equivalents, availability under our ABL Facility, and cash flows from operating activities. </w:t>
      </w:r>
      <w:r>
        <w:rPr>
          <w:rFonts w:ascii="Times New Roman" w:eastAsia="Times New Roman" w:hAnsi="Times New Roman" w:cs="Times New Roman"/>
          <w:b w:val="0"/>
          <w:i w:val="0"/>
          <w:sz w:val="20"/>
        </w:rPr>
        <w:t>On July 2, 2026, we received net proceeds of approximately $70.4 million from the closing of the Private Placement. On August 5, 2026, we completed the Redemption utilizing cash received in the</w:t>
      </w:r>
      <w:r>
        <w:rPr>
          <w:rFonts w:ascii="Times New Roman" w:eastAsia="Times New Roman" w:hAnsi="Times New Roman" w:cs="Times New Roman"/>
          <w:b w:val="0"/>
          <w:i w:val="0"/>
          <w:sz w:val="20"/>
        </w:rPr>
        <w:t xml:space="preserve"> Private Placement and completed the Exchange.</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We believe that the execution of these transactions will help </w:t>
      </w:r>
      <w:r>
        <w:rPr>
          <w:rFonts w:ascii="Times New Roman" w:eastAsia="Times New Roman" w:hAnsi="Times New Roman" w:cs="Times New Roman"/>
          <w:b w:val="0"/>
          <w:i w:val="0"/>
          <w:sz w:val="20"/>
        </w:rPr>
        <w:t>support our long-term liquidity</w:t>
      </w:r>
      <w:r>
        <w:rPr>
          <w:rFonts w:ascii="Times New Roman" w:eastAsia="Times New Roman" w:hAnsi="Times New Roman" w:cs="Times New Roman"/>
          <w:b w:val="0"/>
          <w:i w:val="0"/>
          <w:sz w:val="20"/>
        </w:rPr>
        <w:t>.</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sz w:val="24"/>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Based on our current cash positi</w:t>
      </w:r>
      <w:r>
        <w:rPr>
          <w:rFonts w:ascii="Times New Roman" w:eastAsia="Times New Roman" w:hAnsi="Times New Roman" w:cs="Times New Roman"/>
          <w:b w:val="0"/>
          <w:i w:val="0"/>
          <w:sz w:val="20"/>
        </w:rPr>
        <w:t>on,</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 xml:space="preserve">anticipated cash flows from operating activities, and anticipated borrowing capacity under the ABL Facility, we believe we will have sufficient liquidity to fund our operations, capital expenditures, and debt service requirements for the next 12 months. Our ability to meet these requirements is subject to the factors described in Item 1A, "Risk Factors," in our 2025 Annual Report, including the level and timing of future cash flows, prevailing economic conditions, and restrictions under our credit </w:t>
      </w:r>
      <w:r>
        <w:rPr>
          <w:rFonts w:ascii="Times New Roman" w:eastAsia="Times New Roman" w:hAnsi="Times New Roman" w:cs="Times New Roman"/>
          <w:b w:val="0"/>
          <w:i w:val="0"/>
          <w:sz w:val="20"/>
        </w:rPr>
        <w:t>agreements</w:t>
      </w:r>
      <w:r>
        <w:rPr>
          <w:rFonts w:ascii="Times New Roman" w:eastAsia="Times New Roman" w:hAnsi="Times New Roman" w:cs="Times New Roman"/>
          <w:b w:val="0"/>
          <w:i w:val="0"/>
          <w:sz w:val="20"/>
        </w:rPr>
        <w:t>.</w:t>
      </w: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As of June 30, 2026</w:t>
      </w:r>
      <w:r>
        <w:rPr>
          <w:rFonts w:ascii="Times New Roman" w:eastAsia="Times New Roman" w:hAnsi="Times New Roman" w:cs="Times New Roman"/>
          <w:b w:val="0"/>
          <w:i w:val="0"/>
          <w:sz w:val="20"/>
        </w:rPr>
        <w:t>, we had total available liquidity of:</w:t>
      </w:r>
    </w:p>
    <w:tbl>
      <w:tblPr>
        <w:tblStyle w:val="TableNormal0"/>
        <w:tblW w:w="10260" w:type="dxa"/>
        <w:jc w:val="left"/>
        <w:tblInd w:w="0" w:type="dxa"/>
        <w:tblLayout w:type="fixed"/>
      </w:tblPr>
      <w:tblGrid>
        <w:gridCol w:w="8235"/>
        <w:gridCol w:w="2025"/>
      </w:tblGrid>
      <w:tr>
        <w:tblPrEx>
          <w:tblW w:w="10260" w:type="dxa"/>
          <w:tblInd w:w="0" w:type="dxa"/>
          <w:tblLayout w:type="fixed"/>
        </w:tblPrEx>
        <w:trPr>
          <w:trHeight w:hRule="exact" w:val="315"/>
        </w:trPr>
        <w:tc>
          <w:tcPr>
            <w:tcW w:w="823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jc w:val="left"/>
            </w:pPr>
          </w:p>
        </w:tc>
        <w:tc>
          <w:tcPr>
            <w:tcW w:w="2025" w:type="dxa"/>
            <w:tcBorders>
              <w:top w:val="nil"/>
              <w:left w:val="nil"/>
              <w:bottom w:val="single" w:sz="8" w:space="0" w:color="000000"/>
              <w:right w:val="nil"/>
            </w:tcBorders>
            <w:shd w:val="clear" w:color="auto" w:fill="FFFFFF"/>
            <w:tcMar>
              <w:top w:w="0" w:type="dxa"/>
              <w:left w:w="53" w:type="dxa"/>
              <w:bottom w:w="0" w:type="dxa"/>
              <w:right w:w="53" w:type="dxa"/>
            </w:tcMar>
            <w:vAlign w:val="bottom"/>
          </w:tcPr>
          <w:p>
            <w:pPr>
              <w:keepNext/>
              <w:pageBreakBefore w:val="0"/>
              <w:spacing w:before="75" w:after="30" w:line="240" w:lineRule="auto"/>
              <w:jc w:val="center"/>
            </w:pPr>
            <w:r>
              <w:rPr>
                <w:rFonts w:ascii="Times New Roman" w:eastAsia="Times New Roman" w:hAnsi="Times New Roman" w:cs="Times New Roman"/>
                <w:b/>
                <w:i w:val="0"/>
                <w:color w:val="000000"/>
                <w:sz w:val="16"/>
                <w:u w:val="none"/>
              </w:rPr>
              <w:t>June 30, 2026</w:t>
            </w:r>
          </w:p>
        </w:tc>
      </w:tr>
      <w:tr>
        <w:tblPrEx>
          <w:tblW w:w="10260" w:type="dxa"/>
          <w:tblInd w:w="0" w:type="dxa"/>
          <w:tblLayout w:type="fixed"/>
        </w:tblPrEx>
        <w:trPr>
          <w:trHeight w:hRule="exact" w:val="285"/>
        </w:trPr>
        <w:tc>
          <w:tcPr>
            <w:tcW w:w="8235" w:type="dxa"/>
            <w:tcBorders>
              <w:top w:val="nil"/>
              <w:left w:val="nil"/>
              <w:bottom w:val="nil"/>
              <w:right w:val="nil"/>
            </w:tcBorders>
            <w:shd w:val="clear" w:color="auto" w:fill="CCEEFF"/>
            <w:tcMar>
              <w:top w:w="0" w:type="dxa"/>
              <w:left w:w="53" w:type="dxa"/>
              <w:bottom w:w="0" w:type="dxa"/>
              <w:right w:w="53" w:type="dxa"/>
            </w:tcMar>
            <w:vAlign w:val="top"/>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Cash &amp; Cash Equivalents</w:t>
            </w:r>
          </w:p>
        </w:tc>
        <w:tc>
          <w:tcPr>
            <w:tcW w:w="202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342"/>
                <w:tab w:val="left" w:pos="1957"/>
              </w:tabs>
              <w:spacing w:before="55" w:after="30" w:line="240" w:lineRule="auto"/>
              <w:jc w:val="right"/>
            </w:pPr>
            <w:r>
              <w:rPr>
                <w:rFonts w:ascii="Times New Roman" w:eastAsia="Times New Roman" w:hAnsi="Times New Roman" w:cs="Times New Roman"/>
                <w:b w:val="0"/>
                <w:i w:val="0"/>
                <w:color w:val="000000"/>
                <w:sz w:val="20"/>
                <w:u w:val="none"/>
              </w:rPr>
              <w:t>$</w:t>
              <w:tab/>
              <w:t>16,450</w:t>
              <w:tab/>
            </w:r>
          </w:p>
        </w:tc>
      </w:tr>
      <w:tr>
        <w:tblPrEx>
          <w:tblW w:w="10260" w:type="dxa"/>
          <w:tblInd w:w="0" w:type="dxa"/>
          <w:tblLayout w:type="fixed"/>
        </w:tblPrEx>
        <w:trPr>
          <w:trHeight w:hRule="exact" w:val="285"/>
        </w:trPr>
        <w:tc>
          <w:tcPr>
            <w:tcW w:w="8235" w:type="dxa"/>
            <w:tcBorders>
              <w:top w:val="nil"/>
              <w:left w:val="nil"/>
              <w:bottom w:val="nil"/>
              <w:right w:val="nil"/>
            </w:tcBorders>
            <w:shd w:val="clear" w:color="auto" w:fill="FFFFFF"/>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Undrawn Commitments</w:t>
            </w:r>
          </w:p>
        </w:tc>
        <w:tc>
          <w:tcPr>
            <w:tcW w:w="2025" w:type="dxa"/>
            <w:tcBorders>
              <w:top w:val="nil"/>
              <w:left w:val="nil"/>
              <w:bottom w:val="single" w:sz="8" w:space="0" w:color="000000"/>
              <w:right w:val="nil"/>
            </w:tcBorders>
            <w:shd w:val="clear" w:color="auto" w:fill="FFFFFF"/>
            <w:tcMar>
              <w:top w:w="0" w:type="dxa"/>
              <w:left w:w="0" w:type="dxa"/>
              <w:bottom w:w="0" w:type="dxa"/>
              <w:right w:w="15" w:type="dxa"/>
            </w:tcMar>
            <w:vAlign w:val="bottom"/>
          </w:tcPr>
          <w:p>
            <w:pPr>
              <w:keepNext/>
              <w:pageBreakBefore w:val="0"/>
              <w:tabs>
                <w:tab w:val="left" w:pos="1342"/>
                <w:tab w:val="left" w:pos="1957"/>
              </w:tabs>
              <w:spacing w:before="75" w:after="30" w:line="240" w:lineRule="auto"/>
              <w:jc w:val="right"/>
            </w:pPr>
            <w:r>
              <w:rPr>
                <w:rFonts w:ascii="Times New Roman" w:eastAsia="Times New Roman" w:hAnsi="Times New Roman" w:cs="Times New Roman"/>
                <w:b w:val="0"/>
                <w:i w:val="0"/>
                <w:color w:val="000000"/>
                <w:sz w:val="20"/>
                <w:u w:val="none"/>
              </w:rPr>
              <w:tab/>
              <w:t>35,342</w:t>
              <w:tab/>
            </w:r>
          </w:p>
        </w:tc>
      </w:tr>
      <w:tr>
        <w:tblPrEx>
          <w:tblW w:w="10260" w:type="dxa"/>
          <w:tblInd w:w="0" w:type="dxa"/>
          <w:tblLayout w:type="fixed"/>
        </w:tblPrEx>
        <w:trPr>
          <w:trHeight w:hRule="exact" w:val="285"/>
        </w:trPr>
        <w:tc>
          <w:tcPr>
            <w:tcW w:w="8235" w:type="dxa"/>
            <w:tcBorders>
              <w:top w:val="nil"/>
              <w:left w:val="nil"/>
              <w:bottom w:val="nil"/>
              <w:right w:val="nil"/>
            </w:tcBorders>
            <w:shd w:val="clear" w:color="auto" w:fill="CCEEFF"/>
            <w:tcMar>
              <w:top w:w="0" w:type="dxa"/>
              <w:left w:w="53" w:type="dxa"/>
              <w:bottom w:w="0" w:type="dxa"/>
              <w:right w:w="53" w:type="dxa"/>
            </w:tcMar>
            <w:vAlign w:val="top"/>
          </w:tcPr>
          <w:p>
            <w:pPr>
              <w:pageBreakBefore w:val="0"/>
              <w:spacing w:before="55" w:after="30" w:line="240" w:lineRule="auto"/>
              <w:jc w:val="left"/>
            </w:pPr>
            <w:r>
              <w:rPr>
                <w:rFonts w:ascii="Times New Roman" w:eastAsia="Times New Roman" w:hAnsi="Times New Roman" w:cs="Times New Roman"/>
                <w:b/>
                <w:i w:val="0"/>
                <w:color w:val="000000"/>
                <w:sz w:val="20"/>
                <w:u w:val="none"/>
              </w:rPr>
              <w:t>Total Availability</w:t>
            </w:r>
          </w:p>
        </w:tc>
        <w:tc>
          <w:tcPr>
            <w:tcW w:w="2025" w:type="dxa"/>
            <w:tcBorders>
              <w:top w:val="single" w:sz="8" w:space="0" w:color="000000"/>
              <w:left w:val="nil"/>
              <w:bottom w:val="double" w:sz="8" w:space="0" w:color="000000"/>
              <w:right w:val="nil"/>
            </w:tcBorders>
            <w:shd w:val="clear" w:color="auto" w:fill="CCEEFF"/>
            <w:tcMar>
              <w:top w:w="0" w:type="dxa"/>
              <w:left w:w="0" w:type="dxa"/>
              <w:bottom w:w="0" w:type="dxa"/>
              <w:right w:w="15" w:type="dxa"/>
            </w:tcMar>
            <w:vAlign w:val="bottom"/>
          </w:tcPr>
          <w:p>
            <w:pPr>
              <w:pageBreakBefore w:val="0"/>
              <w:tabs>
                <w:tab w:val="left" w:pos="1342"/>
                <w:tab w:val="left" w:pos="1957"/>
              </w:tabs>
              <w:spacing w:before="55" w:after="30" w:line="240" w:lineRule="auto"/>
              <w:jc w:val="right"/>
            </w:pPr>
            <w:r>
              <w:rPr>
                <w:rFonts w:ascii="Times New Roman" w:eastAsia="Times New Roman" w:hAnsi="Times New Roman" w:cs="Times New Roman"/>
                <w:b w:val="0"/>
                <w:i w:val="0"/>
                <w:color w:val="000000"/>
                <w:sz w:val="20"/>
                <w:u w:val="none"/>
              </w:rPr>
              <w:t>$</w:t>
              <w:tab/>
              <w:t>51,792</w:t>
              <w:tab/>
            </w:r>
          </w:p>
        </w:tc>
      </w:tr>
    </w:tbl>
    <w:p>
      <w:pPr>
        <w:keepNext/>
        <w:keepLines/>
        <w:pageBreakBefore w:val="0"/>
        <w:widowControl w:val="0"/>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keepLines/>
        <w:pageBreakBefore w:val="0"/>
        <w:widowControl w:val="0"/>
        <w:numPr>
          <w:ilvl w:val="0"/>
          <w:numId w:val="0"/>
        </w:numPr>
        <w:spacing w:before="0" w:after="60" w:line="288" w:lineRule="auto"/>
        <w:ind w:left="0" w:right="0" w:firstLine="0"/>
        <w:jc w:val="left"/>
        <w:outlineLvl w:val="9"/>
        <w:rPr>
          <w:rFonts w:ascii="Times New Roman" w:eastAsia="Times New Roman" w:hAnsi="Times New Roman" w:cs="Times New Roman"/>
          <w:b w:val="0"/>
          <w:i/>
          <w:sz w:val="20"/>
        </w:rPr>
      </w:pPr>
      <w:r>
        <w:rPr>
          <w:rFonts w:ascii="Times New Roman" w:eastAsia="Times New Roman" w:hAnsi="Times New Roman" w:cs="Times New Roman"/>
          <w:b w:val="0"/>
          <w:i/>
          <w:sz w:val="20"/>
        </w:rPr>
        <w:t>Credit Facilities</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color w:val="000000"/>
          <w:sz w:val="24"/>
          <w:highlight w:val="yellow"/>
          <w:u w:val="none"/>
        </w:rPr>
      </w:pPr>
      <w:r>
        <w:rPr>
          <w:rFonts w:ascii="Times New Roman" w:eastAsia="Times New Roman" w:hAnsi="Times New Roman" w:cs="Times New Roman"/>
          <w:b w:val="0"/>
          <w:i w:val="0"/>
          <w:sz w:val="20"/>
        </w:rPr>
        <w:t xml:space="preserve">The debt and credit facilities descriptions in Note 8 are incorporated in this section by reference. </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We are currently in compliance with all covenants as of </w:t>
      </w:r>
      <w:r>
        <w:rPr>
          <w:rFonts w:ascii="Times New Roman" w:eastAsia="Times New Roman" w:hAnsi="Times New Roman" w:cs="Times New Roman"/>
          <w:b w:val="0"/>
          <w:i w:val="0"/>
          <w:sz w:val="20"/>
        </w:rPr>
        <w:t>June</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30</w:t>
      </w:r>
      <w:r>
        <w:rPr>
          <w:rFonts w:ascii="Times New Roman" w:eastAsia="Times New Roman" w:hAnsi="Times New Roman" w:cs="Times New Roman"/>
          <w:b w:val="0"/>
          <w:i w:val="0"/>
          <w:sz w:val="20"/>
        </w:rPr>
        <w:t xml:space="preserve">, 2026. </w:t>
      </w:r>
    </w:p>
    <w:p>
      <w:pPr>
        <w:keepNext/>
        <w:keepLines w:val="0"/>
        <w:pageBreakBefore w:val="0"/>
        <w:widowControl/>
        <w:numPr>
          <w:ilvl w:val="0"/>
          <w:numId w:val="0"/>
        </w:numPr>
        <w:spacing w:before="180" w:after="60" w:line="288" w:lineRule="auto"/>
        <w:ind w:left="0" w:right="0" w:firstLine="0"/>
        <w:jc w:val="left"/>
        <w:outlineLvl w:val="9"/>
        <w:rPr>
          <w:rFonts w:ascii="Times New Roman" w:eastAsia="Times New Roman" w:hAnsi="Times New Roman" w:cs="Times New Roman"/>
          <w:b w:val="0"/>
          <w:i/>
          <w:sz w:val="20"/>
        </w:rPr>
      </w:pPr>
      <w:r>
        <w:rPr>
          <w:rFonts w:ascii="Times New Roman" w:eastAsia="Times New Roman" w:hAnsi="Times New Roman" w:cs="Times New Roman"/>
          <w:b w:val="0"/>
          <w:i/>
          <w:sz w:val="20"/>
        </w:rPr>
        <w:t xml:space="preserve">Working Capital Management </w:t>
      </w:r>
    </w:p>
    <w:p>
      <w:pPr>
        <w:keepNext w:val="0"/>
        <w:keepLines w:val="0"/>
        <w:pageBreakBefore w:val="0"/>
        <w:widowControl/>
        <w:numPr>
          <w:ilvl w:val="0"/>
          <w:numId w:val="0"/>
        </w:numPr>
        <w:spacing w:before="0" w:after="120" w:line="288" w:lineRule="auto"/>
        <w:ind w:left="0" w:right="0" w:firstLine="0"/>
        <w:jc w:val="left"/>
        <w:outlineLvl w:val="9"/>
        <w:rPr>
          <w:rFonts w:ascii="Calibri" w:eastAsia="Calibri" w:hAnsi="Calibri" w:cs="Calibri"/>
          <w:b w:val="0"/>
          <w:i/>
          <w:color w:val="000000"/>
          <w:sz w:val="22"/>
          <w:u w:val="none"/>
        </w:rPr>
      </w:pPr>
      <w:r>
        <w:rPr>
          <w:rFonts w:ascii="Times New Roman" w:eastAsia="Times New Roman" w:hAnsi="Times New Roman" w:cs="Times New Roman"/>
          <w:b w:val="0"/>
          <w:i w:val="0"/>
          <w:sz w:val="20"/>
        </w:rPr>
        <w:t>We manage our liquidity and working capital to fund our operations, meet debt service obligations, finance capital expenditures and fund other business initiatives.  The cost of raw materials, primarily for steel, copper and precious metals is subject to price volatility due to tariffs, supply chain constraints and market supply and demand.  A significant increase in the prices we pay for raw materials may cause our working capital needs to increase, which could reduce our liquidity and borrowing availability.</w:t>
      </w:r>
    </w:p>
    <w:p>
      <w:pPr>
        <w:keepNext w:val="0"/>
        <w:keepLines w:val="0"/>
        <w:pageBreakBefore w:val="0"/>
        <w:widowControl/>
        <w:numPr>
          <w:ilvl w:val="0"/>
          <w:numId w:val="0"/>
        </w:numPr>
        <w:spacing w:before="180" w:after="60" w:line="288" w:lineRule="auto"/>
        <w:ind w:left="0" w:right="0" w:firstLine="0"/>
        <w:jc w:val="left"/>
        <w:outlineLvl w:val="9"/>
        <w:rPr>
          <w:rFonts w:ascii="Times New Roman" w:eastAsia="Times New Roman" w:hAnsi="Times New Roman" w:cs="Times New Roman"/>
          <w:b w:val="0"/>
          <w:i/>
          <w:sz w:val="20"/>
        </w:rPr>
      </w:pPr>
      <w:r>
        <w:rPr>
          <w:rFonts w:ascii="Times New Roman" w:eastAsia="Times New Roman" w:hAnsi="Times New Roman" w:cs="Times New Roman"/>
          <w:b w:val="0"/>
          <w:i/>
          <w:sz w:val="20"/>
        </w:rPr>
        <w:t xml:space="preserve">Accounts Receivable Sales Programs </w:t>
      </w:r>
    </w:p>
    <w:p>
      <w:pPr>
        <w:keepNext w:val="0"/>
        <w:keepLines w:val="0"/>
        <w:pageBreakBefore w:val="0"/>
        <w:widowControl/>
        <w:numPr>
          <w:ilvl w:val="0"/>
          <w:numId w:val="0"/>
        </w:numPr>
        <w:spacing w:before="0" w:after="120" w:line="288" w:lineRule="auto"/>
        <w:ind w:left="0" w:right="0" w:firstLine="0"/>
        <w:jc w:val="left"/>
        <w:outlineLvl w:val="9"/>
        <w:rPr>
          <w:rFonts w:ascii="Calibri" w:eastAsia="Calibri" w:hAnsi="Calibri" w:cs="Calibri"/>
          <w:b w:val="0"/>
          <w:i/>
          <w:color w:val="000000"/>
          <w:sz w:val="22"/>
          <w:highlight w:val="yellow"/>
          <w:u w:val="none"/>
        </w:rPr>
      </w:pPr>
      <w:r>
        <w:rPr>
          <w:rFonts w:ascii="Times New Roman" w:eastAsia="Times New Roman" w:hAnsi="Times New Roman" w:cs="Times New Roman"/>
          <w:b w:val="0"/>
          <w:i w:val="0"/>
          <w:sz w:val="20"/>
        </w:rPr>
        <w:t>We participate in programs established by our customers and financial institutions which allow us to sell certain receivables from customers on a non-recourse basis to a third-party financial institution.  In exchange, we receive payment on the receivables, less a discount, sooner than under the customary credit terms we have extended to customer</w:t>
      </w:r>
      <w:r>
        <w:rPr>
          <w:rFonts w:ascii="Times New Roman" w:eastAsia="Times New Roman" w:hAnsi="Times New Roman" w:cs="Times New Roman"/>
          <w:b w:val="0"/>
          <w:i w:val="0"/>
          <w:sz w:val="20"/>
        </w:rPr>
        <w:t>s</w:t>
      </w:r>
      <w:r>
        <w:rPr>
          <w:rFonts w:ascii="Times New Roman" w:eastAsia="Times New Roman" w:hAnsi="Times New Roman" w:cs="Times New Roman"/>
          <w:b w:val="0"/>
          <w:i w:val="0"/>
          <w:sz w:val="20"/>
        </w:rPr>
        <w:t xml:space="preserve">.  These programs allow us to improve working capital and cash flows at the same or lower interest rates as available on our ABL Facility. Our participation in these programs is based on our specific cash needs throughout the year, the discount charged to receive payment earlier, the length of the payment terms with our customers, as well being subject to limits in our ABL Facility and Term Loan Facility agreements. </w:t>
      </w:r>
    </w:p>
    <w:p>
      <w:pPr>
        <w:keepNext/>
        <w:keepLines w:val="0"/>
        <w:pageBreakBefore w:val="0"/>
        <w:widowControl/>
        <w:numPr>
          <w:ilvl w:val="0"/>
          <w:numId w:val="0"/>
        </w:numPr>
        <w:spacing w:before="180" w:after="60" w:line="288" w:lineRule="auto"/>
        <w:ind w:left="0" w:right="0" w:firstLine="0"/>
        <w:jc w:val="left"/>
        <w:outlineLvl w:val="9"/>
        <w:rPr>
          <w:rFonts w:ascii="Times New Roman" w:eastAsia="Times New Roman" w:hAnsi="Times New Roman" w:cs="Times New Roman"/>
          <w:b w:val="0"/>
          <w:i/>
          <w:sz w:val="20"/>
        </w:rPr>
      </w:pPr>
      <w:r>
        <w:rPr>
          <w:rFonts w:ascii="Times New Roman" w:eastAsia="Times New Roman" w:hAnsi="Times New Roman" w:cs="Times New Roman"/>
          <w:b w:val="0"/>
          <w:i/>
          <w:sz w:val="20"/>
        </w:rPr>
        <w:t xml:space="preserve">Other Receivables </w:t>
      </w:r>
    </w:p>
    <w:p>
      <w:pPr>
        <w:keepNext w:val="0"/>
        <w:keepLines w:val="0"/>
        <w:pageBreakBefore w:val="0"/>
        <w:widowControl/>
        <w:numPr>
          <w:ilvl w:val="0"/>
          <w:numId w:val="0"/>
        </w:numPr>
        <w:spacing w:before="0" w:after="0" w:line="269" w:lineRule="auto"/>
        <w:ind w:left="0" w:right="0" w:firstLine="0"/>
        <w:jc w:val="left"/>
        <w:outlineLvl w:val="9"/>
        <w:rPr>
          <w:rFonts w:ascii="Calibri" w:eastAsia="Calibri" w:hAnsi="Calibri" w:cs="Calibri"/>
          <w:b w:val="0"/>
          <w:i w:val="0"/>
          <w:color w:val="000000"/>
          <w:sz w:val="22"/>
          <w:u w:val="none"/>
        </w:rPr>
      </w:pPr>
      <w:r>
        <w:rPr>
          <w:rFonts w:ascii="Times New Roman" w:eastAsia="Times New Roman" w:hAnsi="Times New Roman" w:cs="Times New Roman"/>
          <w:b w:val="0"/>
          <w:i w:val="0"/>
          <w:sz w:val="20"/>
        </w:rPr>
        <w:t xml:space="preserve">In 2021, we filed a refund claim with the IRS as a result of the Coronavirus Aid, Relief, and Economic Security Act (the “CARES Act”).  </w:t>
      </w:r>
      <w:r>
        <w:rPr>
          <w:rFonts w:ascii="Times New Roman" w:eastAsia="Times New Roman" w:hAnsi="Times New Roman" w:cs="Times New Roman"/>
          <w:b w:val="0"/>
          <w:i w:val="0"/>
          <w:sz w:val="20"/>
        </w:rPr>
        <w:t>I</w:t>
      </w:r>
      <w:r>
        <w:rPr>
          <w:rFonts w:ascii="Times New Roman" w:eastAsia="Times New Roman" w:hAnsi="Times New Roman" w:cs="Times New Roman"/>
          <w:b w:val="0"/>
          <w:i w:val="0"/>
          <w:sz w:val="20"/>
        </w:rPr>
        <w:t>n May 2026, we received a refund check of</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color w:val="000000"/>
          <w:sz w:val="20"/>
          <w:u w:val="none"/>
        </w:rPr>
        <w:t>12.7 million</w:t>
      </w: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in</w:t>
      </w:r>
      <w:r>
        <w:rPr>
          <w:rFonts w:ascii="Times New Roman" w:eastAsia="Times New Roman" w:hAnsi="Times New Roman" w:cs="Times New Roman"/>
          <w:b w:val="0"/>
          <w:i w:val="0"/>
          <w:sz w:val="20"/>
        </w:rPr>
        <w:t xml:space="preserve"> full payment of our claim, including interest.</w:t>
      </w:r>
    </w:p>
    <w:p>
      <w:pPr>
        <w:pStyle w:val="ItemandNotesheading"/>
        <w:keepNext/>
        <w:keepLines w:val="0"/>
        <w:pageBreakBefore w:val="0"/>
        <w:widowControl/>
        <w:numPr>
          <w:ilvl w:val="0"/>
          <w:numId w:val="0"/>
        </w:numPr>
        <w:spacing w:before="240" w:after="60" w:line="288" w:lineRule="auto"/>
        <w:ind w:left="0" w:right="0" w:firstLine="0"/>
        <w:jc w:val="left"/>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Seasonality and Fluctuation in Quarterly Results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General economic conditions impact our business and financial results, and certain businesses experience seasonal and other trends related to the industries and end markets that they serve. For example, European sales are often weaker in the summer months as customers slow production, and sales to original equipment manufacturers are often stronger immediately preceding and following the launch of new products. However, as a whole, we are not materially impacted by seasonality.</w:t>
      </w:r>
    </w:p>
    <w:p>
      <w:pPr>
        <w:pStyle w:val="ItemandNotesheading"/>
        <w:keepNext/>
        <w:keepLines w:val="0"/>
        <w:pageBreakBefore w:val="0"/>
        <w:widowControl/>
        <w:numPr>
          <w:ilvl w:val="0"/>
          <w:numId w:val="0"/>
        </w:numPr>
        <w:spacing w:before="240" w:after="60" w:line="288" w:lineRule="auto"/>
        <w:ind w:left="0" w:right="0" w:firstLine="0"/>
        <w:jc w:val="left"/>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Critical Accounting Estimates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color w:val="000000"/>
          <w:sz w:val="20"/>
          <w:highlight w:val="yellow"/>
          <w:u w:val="none"/>
        </w:rPr>
      </w:pPr>
      <w:r>
        <w:rPr>
          <w:rFonts w:ascii="Times New Roman" w:eastAsia="Times New Roman" w:hAnsi="Times New Roman" w:cs="Times New Roman"/>
          <w:b w:val="0"/>
          <w:i w:val="0"/>
          <w:sz w:val="20"/>
        </w:rPr>
        <w:t xml:space="preserve">Our significant accounting policies, including the assumptions and judgments underlying them, are disclosed in Note 1 of the Notes to Consolidated Financial Statements included in the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sz w:val="20"/>
        </w:rPr>
        <w:t xml:space="preserve"> Annual Report. </w:t>
      </w:r>
      <w:r>
        <w:rPr>
          <w:rFonts w:ascii="Times New Roman" w:eastAsia="Times New Roman" w:hAnsi="Times New Roman" w:cs="Times New Roman"/>
          <w:b w:val="0"/>
          <w:i w:val="0"/>
          <w:sz w:val="20"/>
        </w:rPr>
        <w:t xml:space="preserve">Our most critical accounting estimates are discussed in the Management’s Discussion and Analysis of Financial Condition and Results of Operations included in the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sz w:val="20"/>
        </w:rPr>
        <w:t xml:space="preserve"> Annual Report.  There have been no material changes to our significant accounting policies or critical accounting estimates during the </w:t>
      </w:r>
      <w:r>
        <w:rPr>
          <w:rFonts w:ascii="Times New Roman" w:eastAsia="Times New Roman" w:hAnsi="Times New Roman" w:cs="Times New Roman"/>
          <w:b w:val="0"/>
          <w:i w:val="0"/>
          <w:color w:val="000000"/>
          <w:sz w:val="20"/>
          <w:u w:val="none"/>
        </w:rPr>
        <w:t>six months</w:t>
      </w:r>
      <w:r>
        <w:rPr>
          <w:rFonts w:ascii="Times New Roman" w:eastAsia="Times New Roman" w:hAnsi="Times New Roman" w:cs="Times New Roman"/>
          <w:b w:val="0"/>
          <w:i w:val="0"/>
          <w:sz w:val="20"/>
        </w:rPr>
        <w:t xml:space="preserve">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sz w:val="20"/>
        </w:rPr>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14"/>
        </w:numPr>
        <w:spacing w:before="240" w:after="60" w:line="288" w:lineRule="auto"/>
        <w:ind w:left="1440" w:right="0" w:hanging="1440"/>
        <w:jc w:val="left"/>
        <w:outlineLvl w:val="1"/>
        <w:rPr>
          <w:rFonts w:ascii="Times New Roman" w:eastAsia="Times New Roman" w:hAnsi="Times New Roman" w:cs="Times New Roman"/>
          <w:b/>
          <w:i w:val="0"/>
          <w:color w:val="000000"/>
          <w:sz w:val="20"/>
          <w:u w:val="none"/>
        </w:rPr>
      </w:pPr>
      <w:bookmarkStart w:id="33" w:name="Section35"/>
      <w:bookmarkEnd w:id="33"/>
      <w:r>
        <w:rPr>
          <w:rFonts w:ascii="Times New Roman" w:eastAsia="Times New Roman" w:hAnsi="Times New Roman" w:cs="Times New Roman"/>
          <w:b/>
          <w:i w:val="0"/>
          <w:color w:val="000000"/>
          <w:sz w:val="20"/>
          <w:u w:val="none"/>
        </w:rPr>
        <w:t>Quantitative and Qualitative Disclosures About Market Risk</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are exposed to changes in financial market conditions in the normal course of business due to use of certain financial instruments as well as transacting business in various foreign currencies. To mitigate the exposure to these market risks, we have established policies, procedures, and internal processes governing the management of financial market risks. We are exposed to changes in interest rates primarily as a result of borrowing activities.</w:t>
      </w:r>
    </w:p>
    <w:p>
      <w:pPr>
        <w:pStyle w:val="ItemandNotesheading"/>
        <w:keepNext/>
        <w:keepLines w:val="0"/>
        <w:pageBreakBefore w:val="0"/>
        <w:widowControl/>
        <w:numPr>
          <w:ilvl w:val="0"/>
          <w:numId w:val="0"/>
        </w:numPr>
        <w:spacing w:before="240" w:after="60" w:line="288" w:lineRule="auto"/>
        <w:ind w:left="0" w:right="0" w:firstLine="0"/>
        <w:jc w:val="left"/>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Interest Rate Risk</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We are subject to interest rate risk due to our variable rate debt, which comprises a majority of our outstanding indebtedness.  The nature and amount of borrowings may vary as a result of future business requirements, market conditions, and other factors.  To manage interest rate risk, we have used, and may in the future use, interest rate swap agreements.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color w:val="000000"/>
          <w:sz w:val="20"/>
          <w:highlight w:val="yellow"/>
          <w:u w:val="none"/>
        </w:rPr>
      </w:pPr>
      <w:r>
        <w:rPr>
          <w:rFonts w:ascii="Times New Roman" w:eastAsia="Times New Roman" w:hAnsi="Times New Roman" w:cs="Times New Roman"/>
          <w:b w:val="0"/>
          <w:i w:val="0"/>
          <w:sz w:val="20"/>
        </w:rPr>
        <w:t xml:space="preserve">At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we had </w:t>
      </w:r>
      <w:r>
        <w:rPr>
          <w:rFonts w:ascii="Times New Roman" w:eastAsia="Times New Roman" w:hAnsi="Times New Roman" w:cs="Times New Roman"/>
          <w:b w:val="0"/>
          <w:i w:val="0"/>
          <w:color w:val="000000"/>
          <w:sz w:val="20"/>
          <w:u w:val="none"/>
        </w:rPr>
        <w:t>$133.5 million</w:t>
      </w:r>
      <w:r>
        <w:rPr>
          <w:rFonts w:ascii="Times New Roman" w:eastAsia="Times New Roman" w:hAnsi="Times New Roman" w:cs="Times New Roman"/>
          <w:b w:val="0"/>
          <w:i w:val="0"/>
          <w:sz w:val="20"/>
        </w:rPr>
        <w:t xml:space="preserve"> of principal outstanding under the Term Loan Facility without regard to capitalized debt issuance costs.  A one-percent increase in one-month SOFR would have resulted in a net increase in interest expense of $</w:t>
      </w:r>
      <w:r>
        <w:rPr>
          <w:rFonts w:ascii="Times New Roman" w:eastAsia="Times New Roman" w:hAnsi="Times New Roman" w:cs="Times New Roman"/>
          <w:b w:val="0"/>
          <w:i w:val="0"/>
          <w:color w:val="000000"/>
          <w:sz w:val="20"/>
          <w:u w:val="none"/>
        </w:rPr>
        <w:t>1.3 million</w:t>
      </w:r>
      <w:r>
        <w:rPr>
          <w:rFonts w:ascii="Times New Roman" w:eastAsia="Times New Roman" w:hAnsi="Times New Roman" w:cs="Times New Roman"/>
          <w:b w:val="0"/>
          <w:i w:val="0"/>
          <w:sz w:val="20"/>
        </w:rPr>
        <w:t xml:space="preserve"> on an annualized basis.  </w:t>
      </w:r>
    </w:p>
    <w:p>
      <w:pPr>
        <w:keepNext/>
        <w:keepLines w:val="0"/>
        <w:pageBreakBefore w:val="0"/>
        <w:widowControl w:val="0"/>
        <w:numPr>
          <w:ilvl w:val="0"/>
          <w:numId w:val="0"/>
        </w:numPr>
        <w:spacing w:before="0" w:after="120" w:line="288" w:lineRule="auto"/>
        <w:ind w:left="0" w:right="0" w:firstLine="0"/>
        <w:jc w:val="left"/>
        <w:outlineLvl w:val="9"/>
        <w:rPr>
          <w:rFonts w:ascii="Times New Roman" w:eastAsia="Times New Roman" w:hAnsi="Times New Roman" w:cs="Times New Roman"/>
          <w:b w:val="0"/>
          <w:i/>
          <w:color w:val="000000"/>
          <w:sz w:val="20"/>
          <w:highlight w:val="yellow"/>
          <w:u w:val="none"/>
        </w:rPr>
      </w:pPr>
      <w:r>
        <w:rPr>
          <w:rFonts w:ascii="Times New Roman" w:eastAsia="Times New Roman" w:hAnsi="Times New Roman" w:cs="Times New Roman"/>
          <w:b w:val="0"/>
          <w:i w:val="0"/>
          <w:sz w:val="20"/>
        </w:rPr>
        <w:t xml:space="preserve">During the </w:t>
      </w:r>
      <w:r>
        <w:rPr>
          <w:rFonts w:ascii="Times New Roman" w:eastAsia="Times New Roman" w:hAnsi="Times New Roman" w:cs="Times New Roman"/>
          <w:b w:val="0"/>
          <w:i w:val="0"/>
          <w:sz w:val="20"/>
        </w:rPr>
        <w:t>six</w:t>
      </w:r>
      <w:r>
        <w:rPr>
          <w:rFonts w:ascii="Times New Roman" w:eastAsia="Times New Roman" w:hAnsi="Times New Roman" w:cs="Times New Roman"/>
          <w:b w:val="0"/>
          <w:i w:val="0"/>
          <w:sz w:val="20"/>
        </w:rPr>
        <w:t xml:space="preserve"> months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based on the </w:t>
      </w:r>
      <w:r>
        <w:rPr>
          <w:rFonts w:ascii="Times New Roman" w:eastAsia="Times New Roman" w:hAnsi="Times New Roman" w:cs="Times New Roman"/>
          <w:b w:val="0"/>
          <w:i w:val="0"/>
          <w:color w:val="000000"/>
          <w:sz w:val="20"/>
          <w:u w:val="none"/>
        </w:rPr>
        <w:t>Alternative Base Rate</w:t>
      </w:r>
      <w:r>
        <w:rPr>
          <w:rFonts w:ascii="Times New Roman" w:eastAsia="Times New Roman" w:hAnsi="Times New Roman" w:cs="Times New Roman"/>
          <w:b w:val="0"/>
          <w:i w:val="0"/>
          <w:sz w:val="20"/>
        </w:rPr>
        <w:t xml:space="preserve">, the average interest rate on outstanding borrowings under the ABL Facility was </w:t>
      </w:r>
      <w:r>
        <w:rPr>
          <w:rFonts w:ascii="Times New Roman" w:eastAsia="Times New Roman" w:hAnsi="Times New Roman" w:cs="Times New Roman"/>
          <w:b w:val="0"/>
          <w:i w:val="0"/>
          <w:color w:val="000000"/>
          <w:sz w:val="20"/>
          <w:highlight w:val="white"/>
          <w:u w:val="none"/>
        </w:rPr>
        <w:t>7.25</w:t>
      </w:r>
      <w:r>
        <w:rPr>
          <w:rFonts w:ascii="Times New Roman" w:eastAsia="Times New Roman" w:hAnsi="Times New Roman" w:cs="Times New Roman"/>
          <w:b w:val="0"/>
          <w:i w:val="0"/>
          <w:color w:val="000000"/>
          <w:sz w:val="20"/>
          <w:highlight w:val="white"/>
          <w:u w:val="none"/>
        </w:rPr>
        <w:t>%</w:t>
      </w:r>
      <w:r>
        <w:rPr>
          <w:rFonts w:ascii="Times New Roman" w:eastAsia="Times New Roman" w:hAnsi="Times New Roman" w:cs="Times New Roman"/>
          <w:b w:val="0"/>
          <w:i w:val="0"/>
          <w:sz w:val="20"/>
        </w:rPr>
        <w:t xml:space="preserve">.  </w:t>
      </w:r>
    </w:p>
    <w:p>
      <w:pPr>
        <w:pStyle w:val="ItemandNotesheading"/>
        <w:keepNext/>
        <w:keepLines w:val="0"/>
        <w:pageBreakBefore w:val="0"/>
        <w:widowControl/>
        <w:numPr>
          <w:ilvl w:val="0"/>
          <w:numId w:val="0"/>
        </w:numPr>
        <w:spacing w:before="240" w:after="60" w:line="288" w:lineRule="auto"/>
        <w:ind w:left="0" w:right="0" w:firstLine="0"/>
        <w:jc w:val="left"/>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Foreign Currency Risk</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highlight w:val="yellow"/>
          <w:u w:val="none"/>
        </w:rPr>
      </w:pPr>
      <w:r>
        <w:rPr>
          <w:rFonts w:ascii="Times New Roman" w:eastAsia="Times New Roman" w:hAnsi="Times New Roman" w:cs="Times New Roman"/>
          <w:b w:val="0"/>
          <w:i w:val="0"/>
          <w:sz w:val="20"/>
        </w:rPr>
        <w:t xml:space="preserve">Translation of our operating cash flows denominated in foreign currencies is impacted by changes in foreign exchange rates. We invoice and receive payment from many of our customers in various other currencies.  Additionally, we are party to third party and intercompany loans, payables, and receivables denominated in currencies other than the U.S. dollar.  Various strategies to manage this risk are available to management, including producing and selling in local currencies and hedging programs. We did not hold a position in any foreign currency derivatives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w:t>
      </w:r>
    </w:p>
    <w:p>
      <w:pPr>
        <w:keepNext w:val="0"/>
        <w:keepLines w:val="0"/>
        <w:pageBreakBefore w:val="0"/>
        <w:widowControl/>
        <w:numPr>
          <w:ilvl w:val="0"/>
          <w:numId w:val="0"/>
        </w:numPr>
        <w:spacing w:before="0" w:after="120" w:line="288" w:lineRule="auto"/>
        <w:ind w:left="0" w:right="0" w:firstLine="0"/>
        <w:jc w:val="left"/>
        <w:outlineLvl w:val="9"/>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0" w:line="288" w:lineRule="auto"/>
        <w:ind w:left="1080" w:right="0" w:hanging="1080"/>
        <w:jc w:val="left"/>
        <w:outlineLvl w:val="1"/>
        <w:rPr>
          <w:rFonts w:ascii="Times New Roman" w:eastAsia="Times New Roman" w:hAnsi="Times New Roman" w:cs="Times New Roman"/>
          <w:b/>
          <w:i w:val="0"/>
          <w:color w:val="000000"/>
          <w:sz w:val="20"/>
          <w:u w:val="none"/>
        </w:rPr>
      </w:pPr>
      <w:bookmarkStart w:id="34" w:name="Section36"/>
      <w:bookmarkEnd w:id="34"/>
      <w:r>
        <w:rPr>
          <w:rFonts w:ascii="Times New Roman" w:eastAsia="Times New Roman" w:hAnsi="Times New Roman" w:cs="Times New Roman"/>
          <w:b/>
          <w:i w:val="0"/>
          <w:color w:val="000000"/>
          <w:sz w:val="20"/>
          <w:u w:val="none"/>
        </w:rPr>
        <w:t>Item 4.</w:t>
      </w:r>
      <w:r>
        <w:rPr>
          <w:rFonts w:ascii="Times New Roman" w:eastAsia="Times New Roman" w:hAnsi="Times New Roman" w:cs="Times New Roman"/>
          <w:b/>
          <w:i w:val="0"/>
          <w:color w:val="000000"/>
          <w:sz w:val="20"/>
          <w:u w:val="none"/>
        </w:rPr>
        <w:tab/>
      </w:r>
      <w:r>
        <w:rPr>
          <w:rFonts w:ascii="Times New Roman" w:eastAsia="Times New Roman" w:hAnsi="Times New Roman" w:cs="Times New Roman"/>
          <w:b/>
          <w:i w:val="0"/>
          <w:color w:val="000000"/>
          <w:sz w:val="20"/>
          <w:u w:val="none"/>
        </w:rPr>
        <w:t>Controls and Procedures</w:t>
      </w:r>
    </w:p>
    <w:p>
      <w:pPr>
        <w:pStyle w:val="ItemandNotesheading"/>
        <w:keepNext/>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Disclosure Controls and Procedures</w:t>
      </w:r>
    </w:p>
    <w:p>
      <w:pPr>
        <w:keepNext w:val="0"/>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Under the supervision and with the participation of management, including our Chief Executive Officer and Chief Financial Officer, we evaluated the effectiveness of disclosure controls and procedures (as defined in Rule 13a-15(e) and 15d-15(e) of the Exchange Act).  Based upon that evaluation, our Chief Executive Officer and Chief Financial Officer concluded that our disclosure controls and procedures were effective as of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to ensure that information required to be disclosed in the reports that we file or submit under the Exchange Act is recorded, processed, summarized, and reported within the time periods specified in the SEC’s rules and forms, and that such information is accumulated and communicated to management, including the Chief Executive Officer and Chief Financial Officer, as appropriate, to allow for timely decisions regarding required disclosure.</w:t>
      </w:r>
    </w:p>
    <w:p>
      <w:pPr>
        <w:pStyle w:val="ItemandNotesheading"/>
        <w:keepNext/>
        <w:keepLines w:val="0"/>
        <w:pageBreakBefore w:val="0"/>
        <w:widowControl/>
        <w:numPr>
          <w:ilvl w:val="0"/>
          <w:numId w:val="0"/>
        </w:numPr>
        <w:spacing w:before="240" w:after="60" w:line="288" w:lineRule="auto"/>
        <w:ind w:left="0" w:right="0" w:firstLine="0"/>
        <w:jc w:val="left"/>
        <w:outlineLvl w:val="9"/>
        <w:rPr>
          <w:rFonts w:ascii="Times New Roman" w:eastAsia="Times New Roman" w:hAnsi="Times New Roman" w:cs="Times New Roman"/>
          <w:b/>
          <w:i w:val="0"/>
          <w:color w:val="000000"/>
          <w:sz w:val="20"/>
          <w:u w:val="none"/>
        </w:rPr>
      </w:pPr>
      <w:r>
        <w:rPr>
          <w:rFonts w:ascii="Times New Roman" w:eastAsia="Times New Roman" w:hAnsi="Times New Roman" w:cs="Times New Roman"/>
          <w:b/>
          <w:i w:val="0"/>
          <w:color w:val="000000"/>
          <w:sz w:val="20"/>
          <w:u w:val="none"/>
        </w:rPr>
        <w:t>Changes in Internal Control Over Financial Reporting</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There were no changes in our internal control over financial reporting (as defined in the Exchange Act Rules 13a-15(f) and 15d-15(f)) that occurred during the fiscal quarter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that have materially affected, or are reasonably likely to materially affect, our internal control over financial reporting.</w:t>
      </w:r>
    </w:p>
    <w:p>
      <w:pPr>
        <w:keepNext w:val="0"/>
        <w:keepLines w:val="0"/>
        <w:pageBreakBefore w:val="0"/>
        <w:widowControl/>
        <w:numPr>
          <w:ilvl w:val="0"/>
          <w:numId w:val="0"/>
        </w:numPr>
        <w:spacing w:before="0" w:after="120" w:line="288" w:lineRule="auto"/>
        <w:ind w:left="0" w:right="0" w:firstLine="0"/>
        <w:jc w:val="left"/>
        <w:outlineLvl w:val="9"/>
        <w:sectPr>
          <w:type w:val="continuous"/>
          <w:pgSz w:w="12240" w:h="15840"/>
          <w:pgMar w:top="810" w:right="990" w:bottom="810" w:left="990" w:header="270" w:footer="270"/>
          <w:cols w:space="708"/>
        </w:sectPr>
      </w:pPr>
    </w:p>
    <w:p>
      <w:pPr>
        <w:pStyle w:val="PARTheading"/>
        <w:keepNext w:val="0"/>
        <w:keepLines w:val="0"/>
        <w:pageBreakBefore w:val="0"/>
        <w:widowControl/>
        <w:numPr>
          <w:ilvl w:val="0"/>
          <w:numId w:val="0"/>
        </w:numPr>
        <w:spacing w:before="0" w:after="0" w:line="288" w:lineRule="auto"/>
        <w:ind w:left="0" w:right="0" w:firstLine="0"/>
        <w:jc w:val="center"/>
        <w:outlineLvl w:val="0"/>
        <w:rPr>
          <w:rFonts w:ascii="Times New Roman" w:eastAsia="Times New Roman" w:hAnsi="Times New Roman" w:cs="Times New Roman"/>
          <w:b/>
          <w:i w:val="0"/>
          <w:color w:val="000000"/>
          <w:sz w:val="20"/>
          <w:u w:val="none"/>
        </w:rPr>
      </w:pPr>
      <w:bookmarkStart w:id="35" w:name="Section37"/>
      <w:bookmarkEnd w:id="35"/>
      <w:r>
        <w:rPr>
          <w:rFonts w:ascii="Times New Roman" w:eastAsia="Times New Roman" w:hAnsi="Times New Roman" w:cs="Times New Roman"/>
          <w:b/>
          <w:i w:val="0"/>
          <w:color w:val="000000"/>
          <w:sz w:val="20"/>
          <w:u w:val="none"/>
        </w:rPr>
        <w:t>PART II. OTHER INFORMATION</w:t>
      </w:r>
    </w:p>
    <w:p>
      <w:pPr>
        <w:pStyle w:val="PARTheading"/>
        <w:keepNext w:val="0"/>
        <w:keepLines w:val="0"/>
        <w:pageBreakBefore w:val="0"/>
        <w:widowControl/>
        <w:numPr>
          <w:ilvl w:val="0"/>
          <w:numId w:val="0"/>
        </w:numPr>
        <w:spacing w:before="0" w:after="0" w:line="288" w:lineRule="auto"/>
        <w:ind w:left="0" w:right="0" w:firstLine="0"/>
        <w:jc w:val="center"/>
        <w:outlineLvl w:val="0"/>
        <w:sectPr>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1080" w:right="0" w:hanging="1080"/>
        <w:jc w:val="left"/>
        <w:outlineLvl w:val="1"/>
        <w:rPr>
          <w:rFonts w:ascii="Times New Roman" w:eastAsia="Times New Roman" w:hAnsi="Times New Roman" w:cs="Times New Roman"/>
          <w:b/>
          <w:i w:val="0"/>
          <w:color w:val="000000"/>
          <w:sz w:val="20"/>
          <w:u w:val="none"/>
        </w:rPr>
      </w:pPr>
      <w:bookmarkStart w:id="36" w:name="Section38"/>
      <w:bookmarkEnd w:id="36"/>
      <w:r>
        <w:rPr>
          <w:rFonts w:ascii="Times New Roman" w:eastAsia="Times New Roman" w:hAnsi="Times New Roman" w:cs="Times New Roman"/>
          <w:b/>
          <w:i w:val="0"/>
          <w:color w:val="000000"/>
          <w:sz w:val="20"/>
          <w:u w:val="none"/>
        </w:rPr>
        <w:t>Item 1.</w:t>
      </w:r>
      <w:r>
        <w:rPr>
          <w:rFonts w:ascii="Times New Roman" w:eastAsia="Times New Roman" w:hAnsi="Times New Roman" w:cs="Times New Roman"/>
          <w:b/>
          <w:i w:val="0"/>
          <w:color w:val="000000"/>
          <w:sz w:val="20"/>
          <w:u w:val="none"/>
        </w:rPr>
        <w:tab/>
      </w:r>
      <w:r>
        <w:rPr>
          <w:rFonts w:ascii="Times New Roman" w:eastAsia="Times New Roman" w:hAnsi="Times New Roman" w:cs="Times New Roman"/>
          <w:b/>
          <w:i w:val="0"/>
          <w:color w:val="000000"/>
          <w:sz w:val="20"/>
          <w:u w:val="none"/>
        </w:rPr>
        <w:t xml:space="preserve">Legal Proceedings </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As disclosed in </w:t>
      </w:r>
      <w:r>
        <w:rPr>
          <w:rFonts w:ascii="Times New Roman" w:eastAsia="Times New Roman" w:hAnsi="Times New Roman" w:cs="Times New Roman"/>
          <w:b w:val="0"/>
          <w:i w:val="0"/>
          <w:color w:val="000000"/>
          <w:sz w:val="20"/>
          <w:u w:val="none"/>
        </w:rPr>
        <w:t>Note 11</w:t>
      </w:r>
      <w:r>
        <w:rPr>
          <w:rFonts w:ascii="Times New Roman" w:eastAsia="Times New Roman" w:hAnsi="Times New Roman" w:cs="Times New Roman"/>
          <w:b w:val="0"/>
          <w:i w:val="0"/>
          <w:sz w:val="20"/>
        </w:rPr>
        <w:t xml:space="preserve"> in the Notes to </w:t>
      </w:r>
      <w:r>
        <w:rPr>
          <w:rFonts w:ascii="Times New Roman" w:eastAsia="Times New Roman" w:hAnsi="Times New Roman" w:cs="Times New Roman"/>
          <w:b w:val="0"/>
          <w:i w:val="0"/>
          <w:color w:val="000000"/>
          <w:sz w:val="20"/>
          <w:u w:val="none"/>
        </w:rPr>
        <w:t>Condensed Consolidated</w:t>
      </w:r>
      <w:r>
        <w:rPr>
          <w:rFonts w:ascii="Times New Roman" w:eastAsia="Times New Roman" w:hAnsi="Times New Roman" w:cs="Times New Roman"/>
          <w:b w:val="0"/>
          <w:i w:val="0"/>
          <w:sz w:val="20"/>
        </w:rPr>
        <w:t xml:space="preserve"> Financial Statements included in this </w:t>
      </w:r>
      <w:r>
        <w:rPr>
          <w:rFonts w:ascii="Times New Roman" w:eastAsia="Times New Roman" w:hAnsi="Times New Roman" w:cs="Times New Roman"/>
          <w:b w:val="0"/>
          <w:i w:val="0"/>
          <w:color w:val="000000"/>
          <w:sz w:val="20"/>
          <w:u w:val="none"/>
        </w:rPr>
        <w:t>Quarterly</w:t>
      </w:r>
      <w:r>
        <w:rPr>
          <w:rFonts w:ascii="Times New Roman" w:eastAsia="Times New Roman" w:hAnsi="Times New Roman" w:cs="Times New Roman"/>
          <w:b w:val="0"/>
          <w:i w:val="0"/>
          <w:sz w:val="20"/>
        </w:rPr>
        <w:t xml:space="preserve"> Report, we are engaged in certain legal proceedings, and the disclosure set forth in </w:t>
      </w:r>
      <w:r>
        <w:rPr>
          <w:rFonts w:ascii="Times New Roman" w:eastAsia="Times New Roman" w:hAnsi="Times New Roman" w:cs="Times New Roman"/>
          <w:b w:val="0"/>
          <w:i w:val="0"/>
          <w:color w:val="000000"/>
          <w:sz w:val="20"/>
          <w:u w:val="none"/>
        </w:rPr>
        <w:t>Note 11</w:t>
      </w:r>
      <w:r>
        <w:rPr>
          <w:rFonts w:ascii="Times New Roman" w:eastAsia="Times New Roman" w:hAnsi="Times New Roman" w:cs="Times New Roman"/>
          <w:b w:val="0"/>
          <w:i w:val="0"/>
          <w:sz w:val="20"/>
        </w:rPr>
        <w:t xml:space="preserve"> relating to legal proceedings is incorporated herein by reference.</w:t>
      </w:r>
    </w:p>
    <w:p>
      <w:pPr>
        <w:keepNext w:val="0"/>
        <w:keepLines w:val="0"/>
        <w:pageBreakBefore w:val="0"/>
        <w:widowControl/>
        <w:numPr>
          <w:ilvl w:val="0"/>
          <w:numId w:val="0"/>
        </w:numPr>
        <w:spacing w:before="0" w:after="120" w:line="288" w:lineRule="auto"/>
        <w:ind w:left="0" w:right="0" w:firstLine="0"/>
        <w:jc w:val="left"/>
        <w:outlineLvl w:val="9"/>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1080" w:right="0" w:hanging="1080"/>
        <w:jc w:val="left"/>
        <w:outlineLvl w:val="1"/>
        <w:rPr>
          <w:rFonts w:ascii="Times New Roman" w:eastAsia="Times New Roman" w:hAnsi="Times New Roman" w:cs="Times New Roman"/>
          <w:b/>
          <w:i w:val="0"/>
          <w:color w:val="000000"/>
          <w:sz w:val="20"/>
          <w:u w:val="none"/>
        </w:rPr>
      </w:pPr>
      <w:bookmarkStart w:id="37" w:name="Section39"/>
      <w:bookmarkEnd w:id="37"/>
      <w:r>
        <w:rPr>
          <w:rFonts w:ascii="Times New Roman" w:eastAsia="Times New Roman" w:hAnsi="Times New Roman" w:cs="Times New Roman"/>
          <w:b/>
          <w:i w:val="0"/>
          <w:color w:val="000000"/>
          <w:sz w:val="20"/>
          <w:u w:val="none"/>
        </w:rPr>
        <w:t>Item 1A.</w:t>
      </w:r>
      <w:r>
        <w:rPr>
          <w:rFonts w:ascii="Times New Roman" w:eastAsia="Times New Roman" w:hAnsi="Times New Roman" w:cs="Times New Roman"/>
          <w:b/>
          <w:i w:val="0"/>
          <w:color w:val="000000"/>
          <w:sz w:val="20"/>
          <w:u w:val="none"/>
        </w:rPr>
        <w:tab/>
      </w:r>
      <w:r>
        <w:rPr>
          <w:rFonts w:ascii="Times New Roman" w:eastAsia="Times New Roman" w:hAnsi="Times New Roman" w:cs="Times New Roman"/>
          <w:b/>
          <w:i w:val="0"/>
          <w:color w:val="000000"/>
          <w:sz w:val="20"/>
          <w:u w:val="none"/>
        </w:rPr>
        <w:t>Risk Factors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color w:val="000000"/>
          <w:sz w:val="20"/>
          <w:highlight w:val="yellow"/>
          <w:u w:val="none"/>
        </w:rPr>
      </w:pPr>
      <w:r>
        <w:rPr>
          <w:rFonts w:ascii="Times New Roman" w:eastAsia="Times New Roman" w:hAnsi="Times New Roman" w:cs="Times New Roman"/>
          <w:b w:val="0"/>
          <w:i w:val="0"/>
          <w:sz w:val="20"/>
        </w:rPr>
        <w:t>T</w:t>
      </w:r>
      <w:r>
        <w:rPr>
          <w:rFonts w:ascii="Times New Roman" w:eastAsia="Times New Roman" w:hAnsi="Times New Roman" w:cs="Times New Roman"/>
          <w:b w:val="0"/>
          <w:i w:val="0"/>
          <w:sz w:val="20"/>
        </w:rPr>
        <w:t xml:space="preserve">here have been no material changes to the risk factors disclosed </w:t>
      </w:r>
      <w:r>
        <w:rPr>
          <w:rFonts w:ascii="Times New Roman" w:eastAsia="Times New Roman" w:hAnsi="Times New Roman" w:cs="Times New Roman"/>
          <w:b w:val="0"/>
          <w:i w:val="0"/>
          <w:sz w:val="20"/>
        </w:rPr>
        <w:t xml:space="preserve">in the </w:t>
      </w:r>
      <w:r>
        <w:rPr>
          <w:rFonts w:ascii="Times New Roman" w:eastAsia="Times New Roman" w:hAnsi="Times New Roman" w:cs="Times New Roman"/>
          <w:b w:val="0"/>
          <w:i w:val="0"/>
          <w:color w:val="000000"/>
          <w:sz w:val="20"/>
          <w:u w:val="none"/>
        </w:rPr>
        <w:t>2025</w:t>
      </w:r>
      <w:r>
        <w:rPr>
          <w:rFonts w:ascii="Times New Roman" w:eastAsia="Times New Roman" w:hAnsi="Times New Roman" w:cs="Times New Roman"/>
          <w:b w:val="0"/>
          <w:i w:val="0"/>
          <w:sz w:val="20"/>
        </w:rPr>
        <w:t xml:space="preserve"> Annu</w:t>
      </w:r>
      <w:r>
        <w:rPr>
          <w:rFonts w:ascii="Times New Roman" w:eastAsia="Times New Roman" w:hAnsi="Times New Roman" w:cs="Times New Roman"/>
          <w:b w:val="0"/>
          <w:i w:val="0"/>
          <w:sz w:val="20"/>
        </w:rPr>
        <w:t>al Report under Item 1A, “Risk Factors.”</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 xml:space="preserve">The risk factors under "Risks Related to Our Capital Structure" and "The price of our common stock may be volatile" in Item 1A, "Risk Factors" in our 2025 Annual Report, including those relating to our indebtedness and potential future equity issuances, should be read in conjunction with “Item 2 Unregistered Sales of Equity Securities and Use of Proceeds” below and </w:t>
      </w:r>
      <w:r>
        <w:rPr>
          <w:rFonts w:ascii="Times New Roman" w:eastAsia="Times New Roman" w:hAnsi="Times New Roman" w:cs="Times New Roman"/>
          <w:b w:val="0"/>
          <w:i w:val="0"/>
          <w:sz w:val="20"/>
        </w:rPr>
        <w:t>Note 18</w:t>
      </w:r>
      <w:r>
        <w:rPr>
          <w:rFonts w:ascii="Times New Roman" w:eastAsia="Times New Roman" w:hAnsi="Times New Roman" w:cs="Times New Roman"/>
          <w:b w:val="0"/>
          <w:i w:val="0"/>
          <w:sz w:val="20"/>
        </w:rPr>
        <w:t>, "Subsequent Event</w:t>
      </w:r>
      <w:r>
        <w:rPr>
          <w:rFonts w:ascii="Times New Roman" w:eastAsia="Times New Roman" w:hAnsi="Times New Roman" w:cs="Times New Roman"/>
          <w:b w:val="0"/>
          <w:i w:val="0"/>
          <w:sz w:val="20"/>
        </w:rPr>
        <w:t>s</w:t>
      </w:r>
      <w:r>
        <w:rPr>
          <w:rFonts w:ascii="Times New Roman" w:eastAsia="Times New Roman" w:hAnsi="Times New Roman" w:cs="Times New Roman"/>
          <w:b w:val="0"/>
          <w:i w:val="0"/>
          <w:sz w:val="20"/>
        </w:rPr>
        <w:t>," to the Condensed Consolidated Financial Statements in this Quarterly Report, which describes the recent private placement described in Item 2 below.</w:t>
      </w:r>
    </w:p>
    <w:p>
      <w:pPr>
        <w:keepNext w:val="0"/>
        <w:keepLines w:val="0"/>
        <w:pageBreakBefore w:val="0"/>
        <w:widowControl/>
        <w:numPr>
          <w:ilvl w:val="0"/>
          <w:numId w:val="0"/>
        </w:numPr>
        <w:spacing w:before="0" w:after="0" w:line="288" w:lineRule="auto"/>
        <w:ind w:left="0" w:right="0" w:firstLine="0"/>
        <w:jc w:val="left"/>
        <w:outlineLvl w:val="9"/>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1080" w:right="0" w:hanging="1080"/>
        <w:jc w:val="left"/>
        <w:outlineLvl w:val="1"/>
        <w:rPr>
          <w:rFonts w:ascii="Times New Roman" w:eastAsia="Times New Roman" w:hAnsi="Times New Roman" w:cs="Times New Roman"/>
          <w:b/>
          <w:i w:val="0"/>
          <w:color w:val="000000"/>
          <w:sz w:val="20"/>
          <w:u w:val="none"/>
        </w:rPr>
      </w:pPr>
      <w:bookmarkStart w:id="38" w:name="Section40"/>
      <w:bookmarkEnd w:id="38"/>
      <w:r>
        <w:rPr>
          <w:rFonts w:ascii="Times New Roman" w:eastAsia="Times New Roman" w:hAnsi="Times New Roman" w:cs="Times New Roman"/>
          <w:b/>
          <w:i w:val="0"/>
          <w:color w:val="000000"/>
          <w:sz w:val="20"/>
          <w:u w:val="none"/>
        </w:rPr>
        <w:t xml:space="preserve">Item 2. </w:t>
      </w:r>
      <w:r>
        <w:rPr>
          <w:rFonts w:ascii="Times New Roman" w:eastAsia="Times New Roman" w:hAnsi="Times New Roman" w:cs="Times New Roman"/>
          <w:b/>
          <w:i w:val="0"/>
          <w:color w:val="000000"/>
          <w:sz w:val="20"/>
          <w:u w:val="none"/>
        </w:rPr>
        <w:tab/>
      </w:r>
      <w:r>
        <w:rPr>
          <w:rFonts w:ascii="Times New Roman" w:eastAsia="Times New Roman" w:hAnsi="Times New Roman" w:cs="Times New Roman"/>
          <w:b/>
          <w:i w:val="0"/>
          <w:color w:val="000000"/>
          <w:sz w:val="20"/>
          <w:u w:val="none"/>
        </w:rPr>
        <w:t>Unregistered Sales of Equity Securities and Use of Proceeds</w:t>
      </w:r>
    </w:p>
    <w:p>
      <w:pPr>
        <w:keepNext/>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val="0"/>
          <w:sz w:val="20"/>
        </w:rPr>
        <w:t>Except for the issuances of unregistered securities described in our Current Report on Form 8-K filed with the SEC on July 1, 2026, during the three months ended June 30, 2026, there were no unregistered sales of securities</w:t>
      </w:r>
      <w:r>
        <w:rPr>
          <w:rFonts w:ascii="Times New Roman" w:eastAsia="Times New Roman" w:hAnsi="Times New Roman" w:cs="Times New Roman"/>
          <w:b w:val="0"/>
          <w:i w:val="0"/>
          <w:sz w:val="24"/>
        </w:rPr>
        <w:t>.</w:t>
      </w:r>
      <w:r>
        <w:rPr>
          <w:rFonts w:ascii="Times New Roman" w:eastAsia="Times New Roman" w:hAnsi="Times New Roman" w:cs="Times New Roman"/>
          <w:b w:val="0"/>
          <w:i w:val="0"/>
          <w:sz w:val="24"/>
        </w:rPr>
        <w:t xml:space="preserve">  </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sz w:val="24"/>
        </w:rPr>
      </w:pPr>
    </w:p>
    <w:p>
      <w:pPr>
        <w:keepNext w:val="0"/>
        <w:keepLines w:val="0"/>
        <w:pageBreakBefore w:val="0"/>
        <w:widowControl/>
        <w:numPr>
          <w:ilvl w:val="0"/>
          <w:numId w:val="0"/>
        </w:numPr>
        <w:spacing w:before="0" w:after="0" w:line="269"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On August 5, 2026, w</w:t>
      </w:r>
      <w:r>
        <w:rPr>
          <w:rFonts w:ascii="Times New Roman" w:eastAsia="Times New Roman" w:hAnsi="Times New Roman" w:cs="Times New Roman"/>
          <w:b w:val="0"/>
          <w:i w:val="0"/>
          <w:sz w:val="20"/>
        </w:rPr>
        <w:t>e issued 5,500,000 shares of Common Stock in the Exchange in reliance on Section 4(a)(2) of the Securities Act of 1933, as amended.</w:t>
      </w:r>
      <w:r>
        <w:rPr>
          <w:rFonts w:ascii="Times New Roman" w:eastAsia="Times New Roman" w:hAnsi="Times New Roman" w:cs="Times New Roman"/>
          <w:b w:val="0"/>
          <w:i w:val="0"/>
          <w:sz w:val="24"/>
        </w:rPr>
        <w:t xml:space="preserve">  </w:t>
      </w:r>
    </w:p>
    <w:p>
      <w:pPr>
        <w:keepNext w:val="0"/>
        <w:keepLines w:val="0"/>
        <w:pageBreakBefore w:val="0"/>
        <w:widowControl/>
        <w:numPr>
          <w:ilvl w:val="0"/>
          <w:numId w:val="0"/>
        </w:numPr>
        <w:spacing w:before="0" w:after="0" w:line="269" w:lineRule="auto"/>
        <w:ind w:left="0" w:right="0" w:firstLine="0"/>
        <w:jc w:val="left"/>
        <w:outlineLvl w:val="9"/>
        <w:sectPr>
          <w:type w:val="continuous"/>
          <w:pgSz w:w="12240" w:h="15840"/>
          <w:pgMar w:top="810" w:right="990" w:bottom="810" w:left="990" w:header="270" w:footer="270"/>
          <w:cols w:space="708"/>
        </w:sectPr>
      </w:pPr>
    </w:p>
    <w:p>
      <w:pPr>
        <w:keepNext/>
        <w:keepLines w:val="0"/>
        <w:pageBreakBefore w:val="0"/>
        <w:widowControl/>
        <w:numPr>
          <w:ilvl w:val="0"/>
          <w:numId w:val="0"/>
        </w:numPr>
        <w:spacing w:before="120" w:after="60" w:line="288" w:lineRule="auto"/>
        <w:ind w:left="0" w:right="0" w:firstLine="0"/>
        <w:jc w:val="left"/>
        <w:outlineLvl w:val="2"/>
        <w:rPr>
          <w:rFonts w:ascii="Times New Roman" w:eastAsia="Times New Roman" w:hAnsi="Times New Roman" w:cs="Times New Roman"/>
          <w:b w:val="0"/>
          <w:i/>
          <w:sz w:val="20"/>
        </w:rPr>
      </w:pPr>
      <w:bookmarkStart w:id="39" w:name="Section41"/>
      <w:bookmarkEnd w:id="39"/>
      <w:r>
        <w:rPr>
          <w:rFonts w:ascii="Times New Roman" w:eastAsia="Times New Roman" w:hAnsi="Times New Roman" w:cs="Times New Roman"/>
          <w:b w:val="0"/>
          <w:i/>
          <w:sz w:val="20"/>
        </w:rPr>
        <w:t>Issuer Purchases of Equity Securities</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The following table provides information about purchases we made during the quarter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w:t>
      </w:r>
    </w:p>
    <w:tbl>
      <w:tblPr>
        <w:tblStyle w:val="TableNormal0"/>
        <w:tblW w:w="10260" w:type="dxa"/>
        <w:jc w:val="center"/>
        <w:tblLayout w:type="fixed"/>
      </w:tblPr>
      <w:tblGrid>
        <w:gridCol w:w="3705"/>
        <w:gridCol w:w="75"/>
        <w:gridCol w:w="1515"/>
        <w:gridCol w:w="75"/>
        <w:gridCol w:w="1425"/>
        <w:gridCol w:w="75"/>
        <w:gridCol w:w="1380"/>
        <w:gridCol w:w="75"/>
        <w:gridCol w:w="1935"/>
      </w:tblGrid>
      <w:tr>
        <w:tblPrEx>
          <w:tblW w:w="10260" w:type="dxa"/>
          <w:tblLayout w:type="fixed"/>
        </w:tblPrEx>
        <w:trPr>
          <w:trHeight w:hRule="exact" w:val="960"/>
        </w:trPr>
        <w:tc>
          <w:tcPr>
            <w:tcW w:w="370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16"/>
                <w:u w:val="none"/>
              </w:rPr>
              <w:t>Period</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51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numPr>
                <w:ilvl w:val="0"/>
                <w:numId w:val="0"/>
              </w:numPr>
              <w:spacing w:before="75" w:after="0" w:line="240"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Total Number of</w:t>
            </w:r>
          </w:p>
          <w:p>
            <w:pPr>
              <w:pageBreakBefore w:val="0"/>
              <w:numPr>
                <w:ilvl w:val="0"/>
                <w:numId w:val="0"/>
              </w:numPr>
              <w:spacing w:before="0" w:after="30" w:line="240"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Shares Purchased</w:t>
            </w:r>
            <w:r>
              <w:rPr>
                <w:rFonts w:ascii="Times New Roman" w:eastAsia="Times New Roman" w:hAnsi="Times New Roman" w:cs="Times New Roman"/>
                <w:b w:val="0"/>
                <w:i w:val="0"/>
                <w:sz w:val="16"/>
                <w:vertAlign w:val="superscript"/>
              </w:rPr>
              <w:t> (1)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2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75" w:line="240" w:lineRule="auto"/>
              <w:jc w:val="center"/>
            </w:pPr>
            <w:r>
              <w:rPr>
                <w:rFonts w:ascii="Times New Roman" w:eastAsia="Times New Roman" w:hAnsi="Times New Roman" w:cs="Times New Roman"/>
                <w:b w:val="0"/>
                <w:i w:val="0"/>
                <w:color w:val="000000"/>
                <w:sz w:val="16"/>
                <w:u w:val="none"/>
              </w:rPr>
              <w:t>Average Price Paid</w:t>
            </w:r>
          </w:p>
          <w:p>
            <w:pPr>
              <w:spacing w:after="30" w:line="240" w:lineRule="auto"/>
              <w:jc w:val="center"/>
            </w:pPr>
            <w:r>
              <w:rPr>
                <w:rFonts w:ascii="Times New Roman" w:eastAsia="Times New Roman" w:hAnsi="Times New Roman" w:cs="Times New Roman"/>
                <w:b w:val="0"/>
                <w:i w:val="0"/>
                <w:color w:val="000000"/>
                <w:sz w:val="16"/>
                <w:u w:val="none"/>
              </w:rPr>
              <w:t>Per Share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8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numPr>
                <w:ilvl w:val="0"/>
                <w:numId w:val="0"/>
              </w:numPr>
              <w:spacing w:before="75" w:after="0" w:line="240"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Total Number of</w:t>
            </w:r>
          </w:p>
          <w:p>
            <w:pPr>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Shares Purchased</w:t>
            </w:r>
          </w:p>
          <w:p>
            <w:pPr>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as Part of Publicly</w:t>
            </w:r>
          </w:p>
          <w:p>
            <w:pPr>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Announced Plans</w:t>
            </w:r>
          </w:p>
          <w:p>
            <w:pPr>
              <w:pageBreakBefore w:val="0"/>
              <w:numPr>
                <w:ilvl w:val="0"/>
                <w:numId w:val="0"/>
              </w:numPr>
              <w:spacing w:before="0" w:after="30" w:line="240"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 xml:space="preserve">or Programs </w:t>
            </w:r>
            <w:r>
              <w:rPr>
                <w:rFonts w:ascii="Times New Roman" w:eastAsia="Times New Roman" w:hAnsi="Times New Roman" w:cs="Times New Roman"/>
                <w:b w:val="0"/>
                <w:i w:val="0"/>
                <w:sz w:val="16"/>
                <w:vertAlign w:val="superscript"/>
              </w:rPr>
              <w:t>(1)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93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numPr>
                <w:ilvl w:val="0"/>
                <w:numId w:val="0"/>
              </w:numPr>
              <w:spacing w:before="75" w:after="0" w:line="240"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Maximum Number (or</w:t>
            </w:r>
          </w:p>
          <w:p>
            <w:pPr>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Approximate Dollar Value)</w:t>
            </w:r>
          </w:p>
          <w:p>
            <w:pPr>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of Shares That May Yet</w:t>
            </w:r>
          </w:p>
          <w:p>
            <w:pPr>
              <w:pageBreakBefore w:val="0"/>
              <w:numPr>
                <w:ilvl w:val="0"/>
                <w:numId w:val="0"/>
              </w:numPr>
              <w:spacing w:before="0" w:after="0" w:line="240"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Be Purchased Under the</w:t>
            </w:r>
          </w:p>
          <w:p>
            <w:pPr>
              <w:pageBreakBefore w:val="0"/>
              <w:numPr>
                <w:ilvl w:val="0"/>
                <w:numId w:val="0"/>
              </w:numPr>
              <w:spacing w:before="0" w:after="30" w:line="240" w:lineRule="auto"/>
              <w:ind w:left="0" w:right="0" w:firstLine="0"/>
              <w:jc w:val="center"/>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 xml:space="preserve">Plan or Programs </w:t>
            </w:r>
            <w:r>
              <w:rPr>
                <w:rFonts w:ascii="Times New Roman" w:eastAsia="Times New Roman" w:hAnsi="Times New Roman" w:cs="Times New Roman"/>
                <w:b w:val="0"/>
                <w:i w:val="0"/>
                <w:sz w:val="16"/>
                <w:vertAlign w:val="superscript"/>
              </w:rPr>
              <w:t>(1)</w:t>
            </w:r>
          </w:p>
        </w:tc>
      </w:tr>
      <w:tr>
        <w:tblPrEx>
          <w:tblW w:w="10260" w:type="dxa"/>
          <w:tblLayout w:type="fixed"/>
        </w:tblPrEx>
        <w:trPr>
          <w:trHeight w:hRule="exact" w:val="300"/>
        </w:trPr>
        <w:tc>
          <w:tcPr>
            <w:tcW w:w="3705" w:type="dxa"/>
            <w:tcBorders>
              <w:top w:val="single" w:sz="8" w:space="0" w:color="000000"/>
              <w:left w:val="nil"/>
              <w:bottom w:val="nil"/>
              <w:right w:val="nil"/>
            </w:tcBorders>
            <w:shd w:val="clear" w:color="auto" w:fill="CCEEFF"/>
            <w:tcMar>
              <w:top w:w="0" w:type="dxa"/>
              <w:left w:w="53" w:type="dxa"/>
              <w:bottom w:w="0" w:type="dxa"/>
              <w:right w:w="15" w:type="dxa"/>
            </w:tcMar>
            <w:vAlign w:val="top"/>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April 1, 2026 to April 30, 2026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1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732"/>
                <w:tab w:val="left" w:pos="1447"/>
              </w:tabs>
              <w:spacing w:before="55" w:after="30" w:line="240" w:lineRule="auto"/>
              <w:jc w:val="right"/>
            </w:pPr>
            <w:r>
              <w:rPr>
                <w:rFonts w:ascii="Times New Roman" w:eastAsia="Times New Roman" w:hAnsi="Times New Roman" w:cs="Times New Roman"/>
                <w:b w:val="0"/>
                <w:i w:val="0"/>
                <w:color w:val="000000"/>
                <w:sz w:val="20"/>
                <w:u w:val="none"/>
              </w:rPr>
              <w:tab/>
              <w:t>158,052</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2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942"/>
                <w:tab w:val="left" w:pos="1357"/>
              </w:tabs>
              <w:spacing w:before="55" w:after="30" w:line="240" w:lineRule="auto"/>
              <w:jc w:val="right"/>
            </w:pPr>
            <w:r>
              <w:rPr>
                <w:rFonts w:ascii="Times New Roman" w:eastAsia="Times New Roman" w:hAnsi="Times New Roman" w:cs="Times New Roman"/>
                <w:b w:val="0"/>
                <w:i w:val="0"/>
                <w:color w:val="000000"/>
                <w:sz w:val="20"/>
                <w:u w:val="none"/>
              </w:rPr>
              <w:t>$</w:t>
              <w:tab/>
              <w:t>2.37</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80"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047"/>
                <w:tab w:val="left" w:pos="1312"/>
              </w:tabs>
              <w:spacing w:before="5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35" w:type="dxa"/>
            <w:tcBorders>
              <w:top w:val="single" w:sz="8" w:space="0" w:color="000000"/>
              <w:left w:val="nil"/>
              <w:bottom w:val="nil"/>
              <w:right w:val="nil"/>
            </w:tcBorders>
            <w:shd w:val="clear" w:color="auto" w:fill="CCEEFF"/>
            <w:tcMar>
              <w:top w:w="0" w:type="dxa"/>
              <w:left w:w="0" w:type="dxa"/>
              <w:bottom w:w="0" w:type="dxa"/>
              <w:right w:w="15" w:type="dxa"/>
            </w:tcMar>
            <w:vAlign w:val="bottom"/>
          </w:tcPr>
          <w:p>
            <w:pPr>
              <w:keepNext/>
              <w:pageBreakBefore w:val="0"/>
              <w:tabs>
                <w:tab w:val="left" w:pos="1602"/>
                <w:tab w:val="left" w:pos="1867"/>
              </w:tabs>
              <w:spacing w:before="55"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Layout w:type="fixed"/>
        </w:tblPrEx>
        <w:trPr>
          <w:trHeight w:hRule="exact" w:val="300"/>
        </w:trPr>
        <w:tc>
          <w:tcPr>
            <w:tcW w:w="3705" w:type="dxa"/>
            <w:tcBorders>
              <w:top w:val="nil"/>
              <w:left w:val="nil"/>
              <w:bottom w:val="nil"/>
              <w:right w:val="nil"/>
            </w:tcBorders>
            <w:tcMar>
              <w:top w:w="0" w:type="dxa"/>
              <w:left w:w="53" w:type="dxa"/>
              <w:bottom w:w="0" w:type="dxa"/>
              <w:right w:w="15"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May 1, 2026 to May 31, 2026</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515" w:type="dxa"/>
            <w:tcBorders>
              <w:top w:val="nil"/>
              <w:left w:val="nil"/>
              <w:bottom w:val="nil"/>
              <w:right w:val="nil"/>
            </w:tcBorders>
            <w:tcMar>
              <w:top w:w="0" w:type="dxa"/>
              <w:left w:w="0" w:type="dxa"/>
              <w:bottom w:w="0" w:type="dxa"/>
              <w:right w:w="15" w:type="dxa"/>
            </w:tcMar>
            <w:vAlign w:val="bottom"/>
          </w:tcPr>
          <w:p>
            <w:pPr>
              <w:keepNext/>
              <w:pageBreakBefore w:val="0"/>
              <w:tabs>
                <w:tab w:val="left" w:pos="1182"/>
                <w:tab w:val="left" w:pos="144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425" w:type="dxa"/>
            <w:tcBorders>
              <w:top w:val="nil"/>
              <w:left w:val="nil"/>
              <w:bottom w:val="nil"/>
              <w:right w:val="nil"/>
            </w:tcBorders>
            <w:tcMar>
              <w:top w:w="0" w:type="dxa"/>
              <w:left w:w="0" w:type="dxa"/>
              <w:bottom w:w="0" w:type="dxa"/>
              <w:right w:w="15" w:type="dxa"/>
            </w:tcMar>
            <w:vAlign w:val="bottom"/>
          </w:tcPr>
          <w:p>
            <w:pPr>
              <w:keepNext/>
              <w:pageBreakBefore w:val="0"/>
              <w:tabs>
                <w:tab w:val="left" w:pos="1092"/>
                <w:tab w:val="left" w:pos="135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380" w:type="dxa"/>
            <w:tcBorders>
              <w:top w:val="nil"/>
              <w:left w:val="nil"/>
              <w:bottom w:val="nil"/>
              <w:right w:val="nil"/>
            </w:tcBorders>
            <w:tcMar>
              <w:top w:w="0" w:type="dxa"/>
              <w:left w:w="0" w:type="dxa"/>
              <w:bottom w:w="0" w:type="dxa"/>
              <w:right w:w="15" w:type="dxa"/>
            </w:tcMar>
            <w:vAlign w:val="bottom"/>
          </w:tcPr>
          <w:p>
            <w:pPr>
              <w:keepNext/>
              <w:pageBreakBefore w:val="0"/>
              <w:tabs>
                <w:tab w:val="left" w:pos="1047"/>
                <w:tab w:val="left" w:pos="1312"/>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1935" w:type="dxa"/>
            <w:tcBorders>
              <w:top w:val="nil"/>
              <w:left w:val="nil"/>
              <w:bottom w:val="nil"/>
              <w:right w:val="nil"/>
            </w:tcBorders>
            <w:tcMar>
              <w:top w:w="0" w:type="dxa"/>
              <w:left w:w="0" w:type="dxa"/>
              <w:bottom w:w="0" w:type="dxa"/>
              <w:right w:w="15" w:type="dxa"/>
            </w:tcMar>
            <w:vAlign w:val="bottom"/>
          </w:tcPr>
          <w:p>
            <w:pPr>
              <w:keepNext/>
              <w:pageBreakBefore w:val="0"/>
              <w:tabs>
                <w:tab w:val="left" w:pos="1602"/>
                <w:tab w:val="left" w:pos="1867"/>
              </w:tabs>
              <w:spacing w:before="75"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Layout w:type="fixed"/>
        </w:tblPrEx>
        <w:trPr>
          <w:trHeight w:hRule="exact" w:val="300"/>
        </w:trPr>
        <w:tc>
          <w:tcPr>
            <w:tcW w:w="3705" w:type="dxa"/>
            <w:tcBorders>
              <w:top w:val="nil"/>
              <w:left w:val="nil"/>
              <w:bottom w:val="nil"/>
              <w:right w:val="nil"/>
            </w:tcBorders>
            <w:shd w:val="clear" w:color="auto" w:fill="CCEEFF"/>
            <w:tcMar>
              <w:top w:w="0" w:type="dxa"/>
              <w:left w:w="53" w:type="dxa"/>
              <w:bottom w:w="0" w:type="dxa"/>
              <w:right w:w="15"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June 1, 2026 to June 30, 2026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51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182"/>
                <w:tab w:val="left" w:pos="144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42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092"/>
                <w:tab w:val="left" w:pos="1357"/>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380"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047"/>
                <w:tab w:val="left" w:pos="1312"/>
              </w:tabs>
              <w:spacing w:before="7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shd w:val="clear" w:color="auto" w:fill="CCEEFF"/>
            <w:tcMar>
              <w:top w:w="0" w:type="dxa"/>
              <w:left w:w="0" w:type="dxa"/>
              <w:bottom w:w="0" w:type="dxa"/>
              <w:right w:w="0" w:type="dxa"/>
            </w:tcMar>
            <w:vAlign w:val="bottom"/>
          </w:tcPr>
          <w:p>
            <w:pPr>
              <w:keepNext/>
              <w:pageBreakBefore w:val="0"/>
              <w:spacing w:before="0" w:after="0"/>
            </w:pPr>
          </w:p>
        </w:tc>
        <w:tc>
          <w:tcPr>
            <w:tcW w:w="1935" w:type="dxa"/>
            <w:tcBorders>
              <w:top w:val="nil"/>
              <w:left w:val="nil"/>
              <w:bottom w:val="single" w:sz="8" w:space="0" w:color="000000"/>
              <w:right w:val="nil"/>
            </w:tcBorders>
            <w:shd w:val="clear" w:color="auto" w:fill="CCEEFF"/>
            <w:tcMar>
              <w:top w:w="0" w:type="dxa"/>
              <w:left w:w="0" w:type="dxa"/>
              <w:bottom w:w="0" w:type="dxa"/>
              <w:right w:w="15" w:type="dxa"/>
            </w:tcMar>
            <w:vAlign w:val="bottom"/>
          </w:tcPr>
          <w:p>
            <w:pPr>
              <w:keepNext/>
              <w:pageBreakBefore w:val="0"/>
              <w:tabs>
                <w:tab w:val="left" w:pos="1602"/>
                <w:tab w:val="left" w:pos="1867"/>
              </w:tabs>
              <w:spacing w:before="75" w:after="30" w:line="240" w:lineRule="auto"/>
              <w:jc w:val="right"/>
            </w:pPr>
            <w:r>
              <w:rPr>
                <w:rFonts w:ascii="Times New Roman" w:eastAsia="Times New Roman" w:hAnsi="Times New Roman" w:cs="Times New Roman"/>
                <w:b w:val="0"/>
                <w:i w:val="0"/>
                <w:color w:val="000000"/>
                <w:sz w:val="20"/>
                <w:u w:val="none"/>
              </w:rPr>
              <w:tab/>
              <w:t>—</w:t>
              <w:tab/>
            </w:r>
          </w:p>
        </w:tc>
      </w:tr>
      <w:tr>
        <w:tblPrEx>
          <w:tblW w:w="10260" w:type="dxa"/>
          <w:tblLayout w:type="fixed"/>
        </w:tblPrEx>
        <w:trPr>
          <w:trHeight w:hRule="exact" w:val="300"/>
        </w:trPr>
        <w:tc>
          <w:tcPr>
            <w:tcW w:w="3705" w:type="dxa"/>
            <w:tcBorders>
              <w:top w:val="nil"/>
              <w:left w:val="nil"/>
              <w:bottom w:val="nil"/>
              <w:right w:val="nil"/>
            </w:tcBorders>
            <w:tcMar>
              <w:top w:w="0" w:type="dxa"/>
              <w:left w:w="53" w:type="dxa"/>
              <w:bottom w:w="0" w:type="dxa"/>
              <w:right w:w="53" w:type="dxa"/>
            </w:tcMar>
            <w:vAlign w:val="top"/>
          </w:tcPr>
          <w:p>
            <w:pPr>
              <w:pageBreakBefore w:val="0"/>
              <w:spacing w:before="55" w:after="30" w:line="240" w:lineRule="auto"/>
              <w:jc w:val="left"/>
            </w:pPr>
            <w:r>
              <w:rPr>
                <w:rFonts w:ascii="Times New Roman" w:eastAsia="Times New Roman" w:hAnsi="Times New Roman" w:cs="Times New Roman"/>
                <w:b w:val="0"/>
                <w:i w:val="0"/>
                <w:color w:val="000000"/>
                <w:sz w:val="20"/>
                <w:u w:val="none"/>
              </w:rPr>
              <w:t>Total</w:t>
            </w:r>
          </w:p>
        </w:tc>
        <w:tc>
          <w:tcPr>
            <w:tcW w:w="7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515" w:type="dxa"/>
            <w:tcBorders>
              <w:top w:val="single" w:sz="8" w:space="0" w:color="000000"/>
              <w:left w:val="nil"/>
              <w:bottom w:val="double" w:sz="8" w:space="0" w:color="000000"/>
              <w:right w:val="nil"/>
            </w:tcBorders>
            <w:tcMar>
              <w:top w:w="0" w:type="dxa"/>
              <w:left w:w="0" w:type="dxa"/>
              <w:bottom w:w="0" w:type="dxa"/>
              <w:right w:w="15" w:type="dxa"/>
            </w:tcMar>
            <w:vAlign w:val="bottom"/>
          </w:tcPr>
          <w:p>
            <w:pPr>
              <w:pageBreakBefore w:val="0"/>
              <w:tabs>
                <w:tab w:val="left" w:pos="732"/>
                <w:tab w:val="left" w:pos="1447"/>
              </w:tabs>
              <w:spacing w:before="55" w:after="30" w:line="240" w:lineRule="auto"/>
              <w:jc w:val="right"/>
            </w:pPr>
            <w:r>
              <w:rPr>
                <w:rFonts w:ascii="Times New Roman" w:eastAsia="Times New Roman" w:hAnsi="Times New Roman" w:cs="Times New Roman"/>
                <w:b w:val="0"/>
                <w:i w:val="0"/>
                <w:color w:val="000000"/>
                <w:sz w:val="20"/>
                <w:u w:val="none"/>
              </w:rPr>
              <w:tab/>
              <w:t>158,052</w:t>
              <w:tab/>
            </w:r>
          </w:p>
        </w:tc>
        <w:tc>
          <w:tcPr>
            <w:tcW w:w="7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425" w:type="dxa"/>
            <w:tcBorders>
              <w:top w:val="single" w:sz="8" w:space="0" w:color="000000"/>
              <w:left w:val="nil"/>
              <w:bottom w:val="double" w:sz="8" w:space="0" w:color="000000"/>
              <w:right w:val="nil"/>
            </w:tcBorders>
            <w:tcMar>
              <w:top w:w="0" w:type="dxa"/>
              <w:left w:w="0" w:type="dxa"/>
              <w:bottom w:w="0" w:type="dxa"/>
              <w:right w:w="15" w:type="dxa"/>
            </w:tcMar>
            <w:vAlign w:val="bottom"/>
          </w:tcPr>
          <w:p>
            <w:pPr>
              <w:pageBreakBefore w:val="0"/>
              <w:tabs>
                <w:tab w:val="left" w:pos="942"/>
                <w:tab w:val="left" w:pos="1357"/>
              </w:tabs>
              <w:spacing w:before="55" w:after="30" w:line="240" w:lineRule="auto"/>
              <w:jc w:val="right"/>
            </w:pPr>
            <w:r>
              <w:rPr>
                <w:rFonts w:ascii="Times New Roman" w:eastAsia="Times New Roman" w:hAnsi="Times New Roman" w:cs="Times New Roman"/>
                <w:b w:val="0"/>
                <w:i w:val="0"/>
                <w:color w:val="000000"/>
                <w:sz w:val="20"/>
                <w:u w:val="none"/>
              </w:rPr>
              <w:t>$</w:t>
              <w:tab/>
              <w:t>2.37</w:t>
              <w:tab/>
            </w:r>
          </w:p>
        </w:tc>
        <w:tc>
          <w:tcPr>
            <w:tcW w:w="7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380" w:type="dxa"/>
            <w:tcBorders>
              <w:top w:val="single" w:sz="8" w:space="0" w:color="000000"/>
              <w:left w:val="nil"/>
              <w:bottom w:val="double" w:sz="8" w:space="0" w:color="000000"/>
              <w:right w:val="nil"/>
            </w:tcBorders>
            <w:tcMar>
              <w:top w:w="0" w:type="dxa"/>
              <w:left w:w="0" w:type="dxa"/>
              <w:bottom w:w="0" w:type="dxa"/>
              <w:right w:w="15" w:type="dxa"/>
            </w:tcMar>
            <w:vAlign w:val="bottom"/>
          </w:tcPr>
          <w:p>
            <w:pPr>
              <w:pageBreakBefore w:val="0"/>
              <w:tabs>
                <w:tab w:val="left" w:pos="1047"/>
                <w:tab w:val="left" w:pos="1312"/>
              </w:tabs>
              <w:spacing w:before="55" w:after="30" w:line="240" w:lineRule="auto"/>
              <w:jc w:val="right"/>
            </w:pPr>
            <w:r>
              <w:rPr>
                <w:rFonts w:ascii="Times New Roman" w:eastAsia="Times New Roman" w:hAnsi="Times New Roman" w:cs="Times New Roman"/>
                <w:b w:val="0"/>
                <w:i w:val="0"/>
                <w:color w:val="000000"/>
                <w:sz w:val="20"/>
                <w:u w:val="none"/>
              </w:rPr>
              <w:tab/>
              <w:t>—</w:t>
              <w:tab/>
            </w:r>
          </w:p>
        </w:tc>
        <w:tc>
          <w:tcPr>
            <w:tcW w:w="7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1935" w:type="dxa"/>
            <w:tcBorders>
              <w:top w:val="single" w:sz="8" w:space="0" w:color="000000"/>
              <w:left w:val="nil"/>
              <w:bottom w:val="double" w:sz="8" w:space="0" w:color="000000"/>
              <w:right w:val="nil"/>
            </w:tcBorders>
            <w:tcMar>
              <w:top w:w="0" w:type="dxa"/>
              <w:left w:w="0" w:type="dxa"/>
              <w:bottom w:w="0" w:type="dxa"/>
              <w:right w:w="15" w:type="dxa"/>
            </w:tcMar>
            <w:vAlign w:val="bottom"/>
          </w:tcPr>
          <w:p>
            <w:pPr>
              <w:pageBreakBefore w:val="0"/>
              <w:tabs>
                <w:tab w:val="left" w:pos="1602"/>
                <w:tab w:val="left" w:pos="1867"/>
              </w:tabs>
              <w:spacing w:before="55" w:after="30" w:line="240" w:lineRule="auto"/>
              <w:jc w:val="right"/>
            </w:pPr>
            <w:r>
              <w:rPr>
                <w:rFonts w:ascii="Times New Roman" w:eastAsia="Times New Roman" w:hAnsi="Times New Roman" w:cs="Times New Roman"/>
                <w:b w:val="0"/>
                <w:i w:val="0"/>
                <w:color w:val="000000"/>
                <w:sz w:val="20"/>
                <w:u w:val="none"/>
              </w:rPr>
              <w:tab/>
              <w:t>—</w:t>
              <w:tab/>
            </w:r>
          </w:p>
        </w:tc>
      </w:tr>
    </w:tbl>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16"/>
        </w:rPr>
        <w:t>_______________________________</w:t>
      </w:r>
    </w:p>
    <w:p>
      <w:pPr>
        <w:keepNext w:val="0"/>
        <w:keepLines w:val="0"/>
        <w:pageBreakBefore w:val="0"/>
        <w:widowControl/>
        <w:numPr>
          <w:ilvl w:val="0"/>
          <w:numId w:val="15"/>
        </w:numPr>
        <w:spacing w:before="0" w:after="0" w:line="288" w:lineRule="auto"/>
        <w:ind w:left="720" w:right="0" w:hanging="45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Shares were</w:t>
      </w:r>
      <w:r>
        <w:rPr>
          <w:rFonts w:ascii="Times New Roman" w:eastAsia="Times New Roman" w:hAnsi="Times New Roman" w:cs="Times New Roman"/>
          <w:b w:val="0"/>
          <w:i w:val="0"/>
          <w:sz w:val="20"/>
        </w:rPr>
        <w:t xml:space="preserve"> withheld to pay for tax obligations due upon the vesting of share-based awards held by employees granted under the NN, Inc. Amended and Restated 2022 Omnibus Incentive Plan and prior plans (collectively the “Incentive Plans”). The Incentive Plans provide for the withholding of shares or units to satisfy income tax obligations. It does not specify a maximum number of shares or units that can be withheld for this purpose. These shares may be deemed to be “issuer purchases” of shares that are required to be disclosed pursuant to this Item.</w:t>
      </w:r>
    </w:p>
    <w:p>
      <w:pPr>
        <w:keepNext w:val="0"/>
        <w:keepLines w:val="0"/>
        <w:pageBreakBefore w:val="0"/>
        <w:widowControl/>
        <w:numPr>
          <w:ilvl w:val="0"/>
          <w:numId w:val="15"/>
        </w:numPr>
        <w:spacing w:before="0" w:after="0" w:line="288" w:lineRule="auto"/>
        <w:ind w:left="720" w:right="0" w:hanging="450"/>
        <w:jc w:val="left"/>
        <w:outlineLvl w:val="9"/>
        <w:rPr>
          <w:rFonts w:ascii="Times New Roman" w:eastAsia="Times New Roman" w:hAnsi="Times New Roman" w:cs="Times New Roman"/>
          <w:b w:val="0"/>
          <w:i w:val="0"/>
          <w:sz w:val="16"/>
        </w:rPr>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0" w:line="288" w:lineRule="auto"/>
        <w:ind w:left="1080" w:right="0" w:hanging="1080"/>
        <w:jc w:val="left"/>
        <w:outlineLvl w:val="1"/>
        <w:rPr>
          <w:rFonts w:ascii="Times New Roman" w:eastAsia="Times New Roman" w:hAnsi="Times New Roman" w:cs="Times New Roman"/>
          <w:b/>
          <w:i w:val="0"/>
          <w:color w:val="000000"/>
          <w:sz w:val="20"/>
          <w:u w:val="none"/>
        </w:rPr>
      </w:pPr>
      <w:bookmarkStart w:id="40" w:name="Section42"/>
      <w:bookmarkEnd w:id="40"/>
      <w:r>
        <w:rPr>
          <w:rFonts w:ascii="Times New Roman" w:eastAsia="Times New Roman" w:hAnsi="Times New Roman" w:cs="Times New Roman"/>
          <w:b/>
          <w:i w:val="0"/>
          <w:color w:val="000000"/>
          <w:sz w:val="20"/>
          <w:u w:val="none"/>
        </w:rPr>
        <w:t>Item 3.</w:t>
      </w:r>
      <w:r>
        <w:rPr>
          <w:rFonts w:ascii="Times New Roman" w:eastAsia="Times New Roman" w:hAnsi="Times New Roman" w:cs="Times New Roman"/>
          <w:b/>
          <w:i w:val="0"/>
          <w:color w:val="000000"/>
          <w:sz w:val="20"/>
          <w:u w:val="none"/>
        </w:rPr>
        <w:tab/>
      </w:r>
      <w:r>
        <w:rPr>
          <w:rFonts w:ascii="Times New Roman" w:eastAsia="Times New Roman" w:hAnsi="Times New Roman" w:cs="Times New Roman"/>
          <w:b/>
          <w:i w:val="0"/>
          <w:color w:val="000000"/>
          <w:sz w:val="20"/>
          <w:u w:val="none"/>
        </w:rPr>
        <w:t>Defaults Upon Senior Securities</w:t>
      </w:r>
    </w:p>
    <w:p>
      <w:pPr>
        <w:keepNext/>
        <w:keepLines/>
        <w:pageBreakBefore w:val="0"/>
        <w:widowControl w:val="0"/>
        <w:numPr>
          <w:ilvl w:val="0"/>
          <w:numId w:val="0"/>
        </w:numPr>
        <w:spacing w:before="12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None. </w:t>
      </w:r>
    </w:p>
    <w:p>
      <w:pPr>
        <w:keepNext/>
        <w:keepLines/>
        <w:pageBreakBefore w:val="0"/>
        <w:widowControl w:val="0"/>
        <w:numPr>
          <w:ilvl w:val="0"/>
          <w:numId w:val="0"/>
        </w:numPr>
        <w:spacing w:before="120" w:after="0" w:line="288" w:lineRule="auto"/>
        <w:ind w:left="0" w:right="0" w:firstLine="0"/>
        <w:jc w:val="left"/>
        <w:outlineLvl w:val="9"/>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0" w:line="288" w:lineRule="auto"/>
        <w:ind w:left="1080" w:right="0" w:hanging="1080"/>
        <w:jc w:val="left"/>
        <w:outlineLvl w:val="1"/>
        <w:rPr>
          <w:rFonts w:ascii="Times New Roman" w:eastAsia="Times New Roman" w:hAnsi="Times New Roman" w:cs="Times New Roman"/>
          <w:b/>
          <w:i w:val="0"/>
          <w:color w:val="000000"/>
          <w:sz w:val="20"/>
          <w:u w:val="none"/>
        </w:rPr>
      </w:pPr>
      <w:bookmarkStart w:id="41" w:name="Section43"/>
      <w:bookmarkEnd w:id="41"/>
      <w:r>
        <w:rPr>
          <w:rFonts w:ascii="Times New Roman" w:eastAsia="Times New Roman" w:hAnsi="Times New Roman" w:cs="Times New Roman"/>
          <w:b/>
          <w:i w:val="0"/>
          <w:color w:val="000000"/>
          <w:sz w:val="20"/>
          <w:u w:val="none"/>
        </w:rPr>
        <w:t>Item 4.</w:t>
      </w:r>
      <w:r>
        <w:rPr>
          <w:rFonts w:ascii="Times New Roman" w:eastAsia="Times New Roman" w:hAnsi="Times New Roman" w:cs="Times New Roman"/>
          <w:b/>
          <w:i w:val="0"/>
          <w:color w:val="000000"/>
          <w:sz w:val="20"/>
          <w:u w:val="none"/>
        </w:rPr>
        <w:tab/>
      </w:r>
      <w:r>
        <w:rPr>
          <w:rFonts w:ascii="Times New Roman" w:eastAsia="Times New Roman" w:hAnsi="Times New Roman" w:cs="Times New Roman"/>
          <w:b/>
          <w:i w:val="0"/>
          <w:color w:val="000000"/>
          <w:sz w:val="20"/>
          <w:u w:val="none"/>
        </w:rPr>
        <w:t>Mine Safety Disclosures</w:t>
      </w:r>
    </w:p>
    <w:p>
      <w:pPr>
        <w:keepNext w:val="0"/>
        <w:keepLines w:val="0"/>
        <w:pageBreakBefore w:val="0"/>
        <w:widowControl/>
        <w:numPr>
          <w:ilvl w:val="0"/>
          <w:numId w:val="0"/>
        </w:numPr>
        <w:spacing w:before="120" w:after="0" w:line="288"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Not applicable. </w:t>
      </w:r>
    </w:p>
    <w:p>
      <w:pPr>
        <w:keepNext w:val="0"/>
        <w:keepLines w:val="0"/>
        <w:pageBreakBefore w:val="0"/>
        <w:widowControl/>
        <w:numPr>
          <w:ilvl w:val="0"/>
          <w:numId w:val="0"/>
        </w:numPr>
        <w:spacing w:before="120" w:after="0" w:line="288" w:lineRule="auto"/>
        <w:ind w:left="0" w:right="0" w:firstLine="0"/>
        <w:jc w:val="left"/>
        <w:outlineLvl w:val="9"/>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60" w:line="288" w:lineRule="auto"/>
        <w:ind w:left="1080" w:right="0" w:hanging="1080"/>
        <w:jc w:val="left"/>
        <w:outlineLvl w:val="1"/>
        <w:rPr>
          <w:rFonts w:ascii="Times New Roman" w:eastAsia="Times New Roman" w:hAnsi="Times New Roman" w:cs="Times New Roman"/>
          <w:b/>
          <w:i w:val="0"/>
          <w:color w:val="000000"/>
          <w:sz w:val="20"/>
          <w:u w:val="none"/>
        </w:rPr>
      </w:pPr>
      <w:bookmarkStart w:id="42" w:name="Section44"/>
      <w:bookmarkEnd w:id="42"/>
      <w:r>
        <w:rPr>
          <w:rFonts w:ascii="Times New Roman" w:eastAsia="Times New Roman" w:hAnsi="Times New Roman" w:cs="Times New Roman"/>
          <w:b/>
          <w:i w:val="0"/>
          <w:color w:val="000000"/>
          <w:sz w:val="20"/>
          <w:u w:val="none"/>
        </w:rPr>
        <w:t>Item 5.</w:t>
      </w:r>
      <w:r>
        <w:rPr>
          <w:rFonts w:ascii="Times New Roman" w:eastAsia="Times New Roman" w:hAnsi="Times New Roman" w:cs="Times New Roman"/>
          <w:b/>
          <w:i w:val="0"/>
          <w:color w:val="000000"/>
          <w:sz w:val="20"/>
          <w:u w:val="none"/>
        </w:rPr>
        <w:tab/>
      </w:r>
      <w:r>
        <w:rPr>
          <w:rFonts w:ascii="Times New Roman" w:eastAsia="Times New Roman" w:hAnsi="Times New Roman" w:cs="Times New Roman"/>
          <w:b/>
          <w:i w:val="0"/>
          <w:color w:val="000000"/>
          <w:sz w:val="20"/>
          <w:u w:val="none"/>
        </w:rPr>
        <w:t>Other Information</w:t>
      </w:r>
    </w:p>
    <w:p>
      <w:pPr>
        <w:keepNext/>
        <w:keepLines w:val="0"/>
        <w:pageBreakBefore w:val="0"/>
        <w:widowControl/>
        <w:numPr>
          <w:ilvl w:val="0"/>
          <w:numId w:val="0"/>
        </w:numPr>
        <w:spacing w:before="0" w:after="60" w:line="288" w:lineRule="auto"/>
        <w:ind w:left="0" w:right="0" w:firstLine="0"/>
        <w:jc w:val="left"/>
        <w:outlineLvl w:val="9"/>
        <w:rPr>
          <w:rFonts w:ascii="Times New Roman" w:eastAsia="Times New Roman" w:hAnsi="Times New Roman" w:cs="Times New Roman"/>
          <w:b w:val="0"/>
          <w:i/>
          <w:sz w:val="20"/>
        </w:rPr>
      </w:pPr>
      <w:r>
        <w:rPr>
          <w:rFonts w:ascii="Times New Roman" w:eastAsia="Times New Roman" w:hAnsi="Times New Roman" w:cs="Times New Roman"/>
          <w:b w:val="0"/>
          <w:i/>
          <w:sz w:val="20"/>
        </w:rPr>
        <w:t>Adoption or Termination of Trading Arrangements</w:t>
      </w:r>
    </w:p>
    <w:p>
      <w:pPr>
        <w:keepNext w:val="0"/>
        <w:keepLines w:val="0"/>
        <w:pageBreakBefore w:val="0"/>
        <w:widowControl/>
        <w:numPr>
          <w:ilvl w:val="0"/>
          <w:numId w:val="0"/>
        </w:numPr>
        <w:spacing w:before="0" w:after="120" w:line="288" w:lineRule="auto"/>
        <w:ind w:left="0" w:right="0" w:firstLine="0"/>
        <w:jc w:val="left"/>
        <w:outlineLvl w:val="9"/>
        <w:rPr>
          <w:rFonts w:ascii="Times New Roman" w:eastAsia="Times New Roman" w:hAnsi="Times New Roman" w:cs="Times New Roman"/>
          <w:b/>
          <w:i/>
          <w:color w:val="EE2724"/>
          <w:sz w:val="20"/>
          <w:u w:val="none"/>
        </w:rPr>
      </w:pPr>
      <w:r>
        <w:rPr>
          <w:rFonts w:ascii="Times New Roman" w:eastAsia="Times New Roman" w:hAnsi="Times New Roman" w:cs="Times New Roman"/>
          <w:b w:val="0"/>
          <w:i w:val="0"/>
          <w:sz w:val="20"/>
        </w:rPr>
        <w:t xml:space="preserve">During </w:t>
      </w:r>
      <w:r>
        <w:rPr>
          <w:rFonts w:ascii="Times New Roman" w:eastAsia="Times New Roman" w:hAnsi="Times New Roman" w:cs="Times New Roman"/>
          <w:b w:val="0"/>
          <w:i w:val="0"/>
          <w:sz w:val="20"/>
        </w:rPr>
        <w:t xml:space="preserve">the quarter ended </w:t>
      </w:r>
      <w:r>
        <w:rPr>
          <w:rFonts w:ascii="Times New Roman" w:eastAsia="Times New Roman" w:hAnsi="Times New Roman" w:cs="Times New Roman"/>
          <w:b w:val="0"/>
          <w:i w:val="0"/>
          <w:color w:val="000000"/>
          <w:sz w:val="20"/>
          <w:u w:val="none"/>
        </w:rPr>
        <w:t>June 30, 2026</w:t>
      </w:r>
      <w:r>
        <w:rPr>
          <w:rFonts w:ascii="Times New Roman" w:eastAsia="Times New Roman" w:hAnsi="Times New Roman" w:cs="Times New Roman"/>
          <w:b w:val="0"/>
          <w:i w:val="0"/>
          <w:sz w:val="20"/>
        </w:rPr>
        <w:t xml:space="preserve">, none of the Company’s directors or executive officers </w:t>
      </w:r>
      <w:r>
        <w:rPr>
          <w:rFonts w:ascii="Times New Roman" w:eastAsia="Times New Roman" w:hAnsi="Times New Roman" w:cs="Times New Roman"/>
          <w:b w:val="0"/>
          <w:i w:val="0"/>
          <w:color w:val="000000"/>
          <w:sz w:val="20"/>
          <w:u w:val="none"/>
        </w:rPr>
        <w:t>adopted</w:t>
      </w:r>
      <w:r>
        <w:rPr>
          <w:rFonts w:ascii="Times New Roman" w:eastAsia="Times New Roman" w:hAnsi="Times New Roman" w:cs="Times New Roman"/>
          <w:b w:val="0"/>
          <w:i w:val="0"/>
          <w:sz w:val="20"/>
        </w:rPr>
        <w:t xml:space="preserve"> or </w:t>
      </w:r>
      <w:r>
        <w:rPr>
          <w:rFonts w:ascii="Times New Roman" w:eastAsia="Times New Roman" w:hAnsi="Times New Roman" w:cs="Times New Roman"/>
          <w:b w:val="0"/>
          <w:i w:val="0"/>
          <w:color w:val="000000"/>
          <w:sz w:val="20"/>
          <w:u w:val="none"/>
        </w:rPr>
        <w:t>terminated</w:t>
      </w:r>
      <w:r>
        <w:rPr>
          <w:rFonts w:ascii="Times New Roman" w:eastAsia="Times New Roman" w:hAnsi="Times New Roman" w:cs="Times New Roman"/>
          <w:b w:val="0"/>
          <w:i w:val="0"/>
          <w:sz w:val="20"/>
        </w:rPr>
        <w:t xml:space="preserve"> any Rule 10b5-1 trading arrangement or non-Rule 10b5-1 trading arrangement</w:t>
      </w:r>
      <w:r>
        <w:rPr>
          <w:rFonts w:ascii="Times New Roman" w:eastAsia="Times New Roman" w:hAnsi="Times New Roman" w:cs="Times New Roman"/>
          <w:b w:val="0"/>
          <w:i w:val="0"/>
          <w:sz w:val="20"/>
        </w:rPr>
        <w:t xml:space="preserve">, as defined in </w:t>
      </w:r>
      <w:r>
        <w:rPr>
          <w:rFonts w:ascii="Times New Roman" w:eastAsia="Times New Roman" w:hAnsi="Times New Roman" w:cs="Times New Roman"/>
          <w:b w:val="0"/>
          <w:i w:val="0"/>
          <w:sz w:val="20"/>
        </w:rPr>
        <w:t>Item 408 of Regulation S-K.</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r>
        <w:rPr>
          <w:rFonts w:ascii="Times New Roman" w:eastAsia="Times New Roman" w:hAnsi="Times New Roman" w:cs="Times New Roman"/>
          <w:b w:val="0"/>
          <w:i/>
          <w:color w:val="000000"/>
          <w:sz w:val="20"/>
          <w:u w:val="none"/>
        </w:rPr>
        <w:t>Series D Perpetual Preferred Stock Redemption and Exchange</w:t>
      </w:r>
    </w:p>
    <w:p>
      <w:pPr>
        <w:keepNext w:val="0"/>
        <w:keepLines w:val="0"/>
        <w:pageBreakBefore w:val="0"/>
        <w:widowControl/>
        <w:numPr>
          <w:ilvl w:val="0"/>
          <w:numId w:val="0"/>
        </w:numPr>
        <w:spacing w:before="0" w:after="0" w:line="269" w:lineRule="auto"/>
        <w:ind w:left="0" w:right="0" w:firstLine="0"/>
        <w:jc w:val="both"/>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u w:val="none"/>
        </w:rPr>
        <w:t>On August 5, 2026, we</w:t>
      </w:r>
      <w:r>
        <w:rPr>
          <w:rFonts w:ascii="Times New Roman" w:eastAsia="Times New Roman" w:hAnsi="Times New Roman" w:cs="Times New Roman"/>
          <w:b/>
          <w:i w:val="0"/>
          <w:color w:val="000000"/>
          <w:sz w:val="24"/>
          <w:u w:val="none"/>
        </w:rPr>
        <w:t xml:space="preserve"> </w:t>
      </w:r>
      <w:r>
        <w:rPr>
          <w:rFonts w:ascii="Times New Roman" w:eastAsia="Times New Roman" w:hAnsi="Times New Roman" w:cs="Times New Roman"/>
          <w:b w:val="0"/>
          <w:i w:val="0"/>
          <w:color w:val="000000"/>
          <w:sz w:val="20"/>
          <w:u w:val="none"/>
        </w:rPr>
        <w:t>entered into an Exchange Agreement.</w:t>
      </w:r>
      <w:r>
        <w:rPr>
          <w:rFonts w:ascii="Times New Roman" w:eastAsia="Times New Roman" w:hAnsi="Times New Roman" w:cs="Times New Roman"/>
          <w:b w:val="0"/>
          <w:i w:val="0"/>
          <w:color w:val="000000"/>
          <w:sz w:val="24"/>
          <w:u w:val="none"/>
        </w:rPr>
        <w:t xml:space="preserve">  </w:t>
      </w:r>
      <w:r>
        <w:rPr>
          <w:rFonts w:ascii="Times New Roman" w:eastAsia="Times New Roman" w:hAnsi="Times New Roman" w:cs="Times New Roman"/>
          <w:b w:val="0"/>
          <w:i w:val="0"/>
          <w:color w:val="000000"/>
          <w:sz w:val="20"/>
          <w:u w:val="none"/>
        </w:rPr>
        <w:t xml:space="preserve">Pursuant to the terms of the Exchange Agreement, on August 5, 2026, we exchanged </w:t>
      </w:r>
      <w:r>
        <w:rPr>
          <w:rFonts w:ascii="Times New Roman" w:eastAsia="Times New Roman" w:hAnsi="Times New Roman" w:cs="Times New Roman"/>
          <w:b w:val="0"/>
          <w:i w:val="0"/>
          <w:color w:val="000000"/>
          <w:sz w:val="20"/>
          <w:u w:val="none"/>
        </w:rPr>
        <w:t>9,850</w:t>
      </w:r>
      <w:r>
        <w:rPr>
          <w:rFonts w:ascii="Times New Roman" w:eastAsia="Times New Roman" w:hAnsi="Times New Roman" w:cs="Times New Roman"/>
          <w:b w:val="0"/>
          <w:i w:val="0"/>
          <w:color w:val="000000"/>
          <w:sz w:val="20"/>
          <w:u w:val="none"/>
        </w:rPr>
        <w:t xml:space="preserve"> shares of Series D Preferred Stock for 5,500,000 newly issued shares of our Common Stock.</w:t>
      </w:r>
      <w:r>
        <w:rPr>
          <w:rFonts w:ascii="Times New Roman" w:eastAsia="Times New Roman" w:hAnsi="Times New Roman" w:cs="Times New Roman"/>
          <w:b w:val="0"/>
          <w:i w:val="0"/>
          <w:color w:val="000000"/>
          <w:sz w:val="24"/>
          <w:u w:val="none"/>
        </w:rPr>
        <w:t xml:space="preserve">  </w:t>
      </w:r>
      <w:r>
        <w:rPr>
          <w:rFonts w:ascii="Times New Roman" w:eastAsia="Times New Roman" w:hAnsi="Times New Roman" w:cs="Times New Roman"/>
          <w:b w:val="0"/>
          <w:i w:val="0"/>
          <w:color w:val="000000"/>
          <w:sz w:val="20"/>
          <w:u w:val="none"/>
        </w:rPr>
        <w:t>The Exchange was conditioned upon the concurrent consummation of the Redemption.</w:t>
      </w:r>
      <w:r>
        <w:rPr>
          <w:rFonts w:ascii="Times New Roman" w:eastAsia="Times New Roman" w:hAnsi="Times New Roman" w:cs="Times New Roman"/>
          <w:b w:val="0"/>
          <w:i w:val="0"/>
          <w:color w:val="000000"/>
          <w:sz w:val="24"/>
          <w:u w:val="none"/>
        </w:rPr>
        <w:t xml:space="preserve">  </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69" w:lineRule="auto"/>
        <w:ind w:left="0" w:right="0" w:firstLine="0"/>
        <w:jc w:val="both"/>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u w:val="none"/>
        </w:rPr>
        <w:t>In addition, pursuant to the Exchange Agreement, the Holder agreed to reduce (a) the Cash Dividend Rate (as defined in the Certificate of Designation) to an amount equal to 10.0% per annum of the then current Liquidation Preference (as defined in the Certificate of Designation) and (b) the Preference Accrual Rate (as defined in the Certificate of Designation) to an amount equal to 10.0% per annum of the then current Liquidation Preference, in each case through August 5, 2027.</w:t>
      </w:r>
      <w:r>
        <w:rPr>
          <w:rFonts w:ascii="Times New Roman" w:eastAsia="Times New Roman" w:hAnsi="Times New Roman" w:cs="Times New Roman"/>
          <w:b w:val="0"/>
          <w:i w:val="0"/>
          <w:color w:val="000000"/>
          <w:sz w:val="24"/>
          <w:u w:val="none"/>
        </w:rPr>
        <w:t xml:space="preserve">  </w:t>
      </w:r>
      <w:r>
        <w:rPr>
          <w:rFonts w:ascii="Times New Roman" w:eastAsia="Times New Roman" w:hAnsi="Times New Roman" w:cs="Times New Roman"/>
          <w:b w:val="0"/>
          <w:i w:val="0"/>
          <w:color w:val="000000"/>
          <w:sz w:val="20"/>
          <w:u w:val="none"/>
        </w:rPr>
        <w:t>After August 5, 2027, the Cash Dividend Rate and the Preference Accrual Rate will revert to the amounts as calculated in accordance with the Certificate of Designation.</w:t>
      </w:r>
      <w:r>
        <w:rPr>
          <w:rFonts w:ascii="Times New Roman" w:eastAsia="Times New Roman" w:hAnsi="Times New Roman" w:cs="Times New Roman"/>
          <w:b w:val="0"/>
          <w:i w:val="0"/>
          <w:color w:val="000000"/>
          <w:sz w:val="24"/>
          <w:u w:val="none"/>
        </w:rPr>
        <w:t xml:space="preserve">  </w:t>
      </w:r>
      <w:r>
        <w:rPr>
          <w:rFonts w:ascii="Times New Roman" w:eastAsia="Times New Roman" w:hAnsi="Times New Roman" w:cs="Times New Roman"/>
          <w:b w:val="0"/>
          <w:i w:val="0"/>
          <w:color w:val="000000"/>
          <w:sz w:val="20"/>
          <w:u w:val="none"/>
        </w:rPr>
        <w:t>The Holder also agreed that in the event we redeem in full for cash all of the then-outstanding Series D Preferred Stock from the Holder in accordance with the Certificate of Designation and pay the Holder the aggregate Redemption Price (as defined in the Certificate of Designation) otherwise payable in respect thereof on or before December 31, 2026 (the “Final Redemption”), the aggregate Redemption Price payable by us in respect of the Final Redemption Price will be reduced by $5.0 million.</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69" w:lineRule="auto"/>
        <w:ind w:left="0" w:right="0" w:firstLine="0"/>
        <w:jc w:val="both"/>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u w:val="none"/>
        </w:rPr>
        <w:t>On August 5, 2026, we redeemed 36,750 shares of Series D Preferred Stock for an aggregate redemption price of $70.0 million (the “Redemption”).</w:t>
      </w:r>
      <w:r>
        <w:rPr>
          <w:rFonts w:ascii="Times New Roman" w:eastAsia="Times New Roman" w:hAnsi="Times New Roman" w:cs="Times New Roman"/>
          <w:b w:val="0"/>
          <w:i w:val="0"/>
          <w:color w:val="000000"/>
          <w:sz w:val="24"/>
          <w:u w:val="none"/>
        </w:rPr>
        <w:t xml:space="preserve">  </w:t>
      </w:r>
      <w:r>
        <w:rPr>
          <w:rFonts w:ascii="Times New Roman" w:eastAsia="Times New Roman" w:hAnsi="Times New Roman" w:cs="Times New Roman"/>
          <w:b w:val="0"/>
          <w:i w:val="0"/>
          <w:color w:val="000000"/>
          <w:sz w:val="20"/>
          <w:u w:val="none"/>
        </w:rPr>
        <w:t>The Redemption was conditioned upon the concurrent consummation of the Exchange.</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69" w:lineRule="auto"/>
        <w:ind w:left="0" w:right="0" w:firstLine="0"/>
        <w:jc w:val="both"/>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u w:val="none"/>
        </w:rPr>
        <w:t xml:space="preserve">Following the Exchange and the Redemption, </w:t>
      </w:r>
      <w:r>
        <w:rPr>
          <w:rFonts w:ascii="Times New Roman" w:eastAsia="Times New Roman" w:hAnsi="Times New Roman" w:cs="Times New Roman"/>
          <w:b w:val="0"/>
          <w:i w:val="0"/>
          <w:color w:val="000000"/>
          <w:sz w:val="20"/>
          <w:u w:val="none"/>
        </w:rPr>
        <w:t>18,400</w:t>
      </w:r>
      <w:r>
        <w:rPr>
          <w:rFonts w:ascii="Times New Roman" w:eastAsia="Times New Roman" w:hAnsi="Times New Roman" w:cs="Times New Roman"/>
          <w:b w:val="0"/>
          <w:i w:val="0"/>
          <w:color w:val="000000"/>
          <w:sz w:val="20"/>
          <w:u w:val="none"/>
        </w:rPr>
        <w:t xml:space="preserve"> </w:t>
      </w:r>
      <w:r>
        <w:rPr>
          <w:rFonts w:ascii="Times New Roman" w:eastAsia="Times New Roman" w:hAnsi="Times New Roman" w:cs="Times New Roman"/>
          <w:b w:val="0"/>
          <w:i w:val="0"/>
          <w:color w:val="000000"/>
          <w:sz w:val="20"/>
          <w:u w:val="none"/>
        </w:rPr>
        <w:t xml:space="preserve">shares of Series D Preferred Stock remained outstanding with an aggregate Liquidation Preference of </w:t>
      </w:r>
      <w:r>
        <w:rPr>
          <w:rFonts w:ascii="Times New Roman" w:eastAsia="Times New Roman" w:hAnsi="Times New Roman" w:cs="Times New Roman"/>
          <w:b w:val="0"/>
          <w:i w:val="0"/>
          <w:color w:val="000000"/>
          <w:sz w:val="20"/>
          <w:u w:val="none"/>
        </w:rPr>
        <w:t>$</w:t>
      </w:r>
      <w:r>
        <w:rPr>
          <w:rFonts w:ascii="Times New Roman" w:eastAsia="Times New Roman" w:hAnsi="Times New Roman" w:cs="Times New Roman"/>
          <w:b w:val="0"/>
          <w:i w:val="0"/>
          <w:color w:val="000000"/>
          <w:sz w:val="20"/>
          <w:u w:val="none"/>
        </w:rPr>
        <w:t>35.0 million</w:t>
      </w:r>
      <w:r>
        <w:rPr>
          <w:rFonts w:ascii="Times New Roman" w:eastAsia="Times New Roman" w:hAnsi="Times New Roman" w:cs="Times New Roman"/>
          <w:b w:val="0"/>
          <w:i w:val="0"/>
          <w:color w:val="000000"/>
          <w:sz w:val="20"/>
          <w:u w:val="none"/>
        </w:rPr>
        <w:t xml:space="preserve"> as of August 5, 2026.</w:t>
      </w:r>
    </w:p>
    <w:p>
      <w:pPr>
        <w:keepNext w:val="0"/>
        <w:keepLines w:val="0"/>
        <w:pageBreakBefore w:val="0"/>
        <w:widowControl/>
        <w:numPr>
          <w:ilvl w:val="0"/>
          <w:numId w:val="0"/>
        </w:numPr>
        <w:spacing w:before="0" w:after="0" w:line="276" w:lineRule="auto"/>
        <w:ind w:left="0" w:right="0" w:firstLine="0"/>
        <w:jc w:val="left"/>
        <w:outlineLvl w:val="9"/>
        <w:rPr>
          <w:rFonts w:ascii="Arial" w:eastAsia="Arial" w:hAnsi="Arial" w:cs="Arial"/>
          <w:b w:val="0"/>
          <w:i w:val="0"/>
          <w:color w:val="000000"/>
          <w:sz w:val="24"/>
          <w:u w:val="none"/>
        </w:rPr>
      </w:pPr>
    </w:p>
    <w:p>
      <w:pPr>
        <w:keepNext w:val="0"/>
        <w:keepLines w:val="0"/>
        <w:pageBreakBefore w:val="0"/>
        <w:widowControl/>
        <w:numPr>
          <w:ilvl w:val="0"/>
          <w:numId w:val="0"/>
        </w:numPr>
        <w:spacing w:before="0" w:after="0" w:line="269" w:lineRule="auto"/>
        <w:ind w:left="0" w:right="0" w:firstLine="0"/>
        <w:jc w:val="both"/>
        <w:outlineLvl w:val="9"/>
        <w:rPr>
          <w:rFonts w:ascii="Times New Roman" w:eastAsia="Times New Roman" w:hAnsi="Times New Roman" w:cs="Times New Roman"/>
          <w:b w:val="0"/>
          <w:i w:val="0"/>
          <w:color w:val="000000"/>
          <w:sz w:val="24"/>
          <w:u w:val="none"/>
        </w:rPr>
      </w:pPr>
      <w:r>
        <w:rPr>
          <w:rFonts w:ascii="Times New Roman" w:eastAsia="Times New Roman" w:hAnsi="Times New Roman" w:cs="Times New Roman"/>
          <w:b w:val="0"/>
          <w:i w:val="0"/>
          <w:color w:val="000000"/>
          <w:sz w:val="20"/>
          <w:u w:val="none"/>
        </w:rPr>
        <w:t>This foregoing description of the Exchange Agreement does not purport to be complete and is qualified in its entirety by the Exchange Agreement filed as Exhibit 10.1 hereto and incorporated herein by reference.</w:t>
      </w:r>
    </w:p>
    <w:p>
      <w:pPr>
        <w:keepNext w:val="0"/>
        <w:keepLines w:val="0"/>
        <w:pageBreakBefore w:val="0"/>
        <w:widowControl/>
        <w:numPr>
          <w:ilvl w:val="0"/>
          <w:numId w:val="0"/>
        </w:numPr>
        <w:spacing w:before="0" w:after="0" w:line="269" w:lineRule="auto"/>
        <w:ind w:left="0" w:right="0" w:firstLine="0"/>
        <w:jc w:val="both"/>
        <w:outlineLvl w:val="9"/>
        <w:sectPr>
          <w:type w:val="continuous"/>
          <w:pgSz w:w="12240" w:h="15840"/>
          <w:pgMar w:top="810" w:right="990" w:bottom="810" w:left="990" w:header="270" w:footer="270"/>
          <w:cols w:space="708"/>
        </w:sectPr>
      </w:pPr>
    </w:p>
    <w:p>
      <w:pPr>
        <w:pStyle w:val="ItemandNotesheading"/>
        <w:keepNext/>
        <w:keepLines w:val="0"/>
        <w:pageBreakBefore w:val="0"/>
        <w:widowControl/>
        <w:numPr>
          <w:ilvl w:val="0"/>
          <w:numId w:val="0"/>
        </w:numPr>
        <w:spacing w:before="240" w:after="100" w:line="288" w:lineRule="auto"/>
        <w:ind w:left="1080" w:right="0" w:hanging="1080"/>
        <w:jc w:val="left"/>
        <w:outlineLvl w:val="1"/>
        <w:rPr>
          <w:rFonts w:ascii="Times New Roman" w:eastAsia="Times New Roman" w:hAnsi="Times New Roman" w:cs="Times New Roman"/>
          <w:b/>
          <w:i w:val="0"/>
          <w:color w:val="000000"/>
          <w:sz w:val="20"/>
          <w:u w:val="none"/>
        </w:rPr>
      </w:pPr>
      <w:bookmarkStart w:id="43" w:name="Section45"/>
      <w:bookmarkEnd w:id="43"/>
      <w:r>
        <w:rPr>
          <w:rFonts w:ascii="Times New Roman" w:eastAsia="Times New Roman" w:hAnsi="Times New Roman" w:cs="Times New Roman"/>
          <w:b/>
          <w:i w:val="0"/>
          <w:color w:val="000000"/>
          <w:sz w:val="20"/>
          <w:u w:val="none"/>
        </w:rPr>
        <w:t>Item 6.</w:t>
      </w:r>
      <w:r>
        <w:rPr>
          <w:rFonts w:ascii="Times New Roman" w:eastAsia="Times New Roman" w:hAnsi="Times New Roman" w:cs="Times New Roman"/>
          <w:b/>
          <w:i w:val="0"/>
          <w:color w:val="000000"/>
          <w:sz w:val="20"/>
          <w:u w:val="none"/>
        </w:rPr>
        <w:tab/>
      </w:r>
      <w:r>
        <w:rPr>
          <w:rFonts w:ascii="Times New Roman" w:eastAsia="Times New Roman" w:hAnsi="Times New Roman" w:cs="Times New Roman"/>
          <w:b/>
          <w:i w:val="0"/>
          <w:color w:val="000000"/>
          <w:sz w:val="20"/>
          <w:u w:val="none"/>
        </w:rPr>
        <w:t>Exhibits</w:t>
      </w:r>
    </w:p>
    <w:tbl>
      <w:tblPr>
        <w:tblStyle w:val="TableNormal0"/>
        <w:tblW w:w="10260" w:type="dxa"/>
        <w:jc w:val="left"/>
        <w:tblInd w:w="0" w:type="dxa"/>
        <w:tblLayout w:type="fixed"/>
      </w:tblPr>
      <w:tblGrid>
        <w:gridCol w:w="915"/>
        <w:gridCol w:w="75"/>
        <w:gridCol w:w="9270"/>
      </w:tblGrid>
      <w:tr>
        <w:tblPrEx>
          <w:tblW w:w="10260" w:type="dxa"/>
          <w:tblInd w:w="0" w:type="dxa"/>
          <w:tblLayout w:type="fixed"/>
        </w:tblPrEx>
        <w:trPr>
          <w:trHeight w:hRule="auto" w:val="0"/>
        </w:trPr>
        <w:tc>
          <w:tcPr>
            <w:tcW w:w="915"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Exhibit Number</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rPr>
                <w:sz w:val="16"/>
              </w:rPr>
            </w:pPr>
          </w:p>
        </w:tc>
        <w:tc>
          <w:tcPr>
            <w:tcW w:w="9270" w:type="dxa"/>
            <w:tcBorders>
              <w:top w:val="nil"/>
              <w:left w:val="nil"/>
              <w:bottom w:val="single" w:sz="8" w:space="0" w:color="000000"/>
              <w:right w:val="nil"/>
            </w:tcBorders>
            <w:tcMar>
              <w:top w:w="0" w:type="dxa"/>
              <w:left w:w="53" w:type="dxa"/>
              <w:bottom w:w="0" w:type="dxa"/>
              <w:right w:w="53" w:type="dxa"/>
            </w:tcMar>
            <w:vAlign w:val="bottom"/>
          </w:tcPr>
          <w:p>
            <w:pPr>
              <w:keepNext/>
              <w:pageBreakBefore w:val="0"/>
              <w:spacing w:before="65" w:after="20" w:line="240" w:lineRule="auto"/>
              <w:jc w:val="center"/>
            </w:pPr>
            <w:r>
              <w:rPr>
                <w:rFonts w:ascii="Times New Roman" w:eastAsia="Times New Roman" w:hAnsi="Times New Roman" w:cs="Times New Roman"/>
                <w:b/>
                <w:i w:val="0"/>
                <w:color w:val="000000"/>
                <w:sz w:val="16"/>
                <w:u w:val="none"/>
              </w:rPr>
              <w:t>Description of Exhibit</w:t>
            </w:r>
          </w:p>
        </w:tc>
      </w:tr>
      <w:tr>
        <w:tblPrEx>
          <w:tblW w:w="10260" w:type="dxa"/>
          <w:tblInd w:w="0" w:type="dxa"/>
          <w:tblLayout w:type="fixed"/>
        </w:tblPrEx>
        <w:trPr>
          <w:trHeight w:hRule="auto" w:val="0"/>
        </w:trPr>
        <w:tc>
          <w:tcPr>
            <w:tcW w:w="915" w:type="dxa"/>
            <w:tcBorders>
              <w:top w:val="single" w:sz="8" w:space="0" w:color="000000"/>
              <w:left w:val="nil"/>
              <w:bottom w:val="nil"/>
              <w:right w:val="nil"/>
            </w:tcBorders>
            <w:tcMar>
              <w:top w:w="0" w:type="dxa"/>
              <w:left w:w="53" w:type="dxa"/>
              <w:bottom w:w="0" w:type="dxa"/>
              <w:right w:w="15" w:type="dxa"/>
            </w:tcMar>
            <w:vAlign w:val="top"/>
          </w:tcPr>
          <w:p>
            <w:pPr>
              <w:keepNext/>
              <w:pageBreakBefore w:val="0"/>
              <w:spacing w:before="45" w:after="20" w:line="240" w:lineRule="auto"/>
              <w:jc w:val="left"/>
            </w:pPr>
            <w:r>
              <w:rPr>
                <w:rFonts w:ascii="Times New Roman" w:eastAsia="Times New Roman" w:hAnsi="Times New Roman" w:cs="Times New Roman"/>
                <w:b w:val="0"/>
                <w:i w:val="0"/>
                <w:color w:val="000000"/>
                <w:sz w:val="20"/>
                <w:u w:val="none"/>
              </w:rPr>
              <w:t>10.1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single" w:sz="8" w:space="0" w:color="000000"/>
              <w:left w:val="nil"/>
              <w:bottom w:val="nil"/>
              <w:right w:val="nil"/>
            </w:tcBorders>
            <w:tcMar>
              <w:top w:w="0" w:type="dxa"/>
              <w:left w:w="53" w:type="dxa"/>
              <w:bottom w:w="0" w:type="dxa"/>
              <w:right w:w="53" w:type="dxa"/>
            </w:tcMar>
            <w:vAlign w:val="bottom"/>
          </w:tcPr>
          <w:p>
            <w:pPr>
              <w:pStyle w:val="Normal-wk"/>
              <w:keepNext/>
              <w:pageBreakBefore w:val="0"/>
              <w:numPr>
                <w:ilvl w:val="0"/>
                <w:numId w:val="0"/>
              </w:numPr>
              <w:spacing w:before="45" w:after="2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11" w:history="1">
              <w:r>
                <w:rPr>
                  <w:rFonts w:ascii="Times New Roman" w:eastAsia="Times New Roman" w:hAnsi="Times New Roman" w:cs="Times New Roman"/>
                  <w:b w:val="0"/>
                  <w:i w:val="0"/>
                  <w:color w:val="0000FF"/>
                  <w:sz w:val="20"/>
                  <w:u w:val="single"/>
                  <w:shd w:val="clear" w:color="auto" w:fill="auto"/>
                </w:rPr>
                <w:t>Form of Securities Purchase Agreement (Filed as Exhibit 10.1 to the Registrant’s Current Report on Form 8-K filed on July 1, 2026 and incorporated herein by reference).</w:t>
              </w:r>
            </w:hyperlink>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15"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10.2</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bottom"/>
          </w:tcPr>
          <w:p>
            <w:pPr>
              <w:pStyle w:val="Normal-wk"/>
              <w:keepNext/>
              <w:pageBreakBefore w:val="0"/>
              <w:numPr>
                <w:ilvl w:val="0"/>
                <w:numId w:val="0"/>
              </w:numPr>
              <w:spacing w:before="65" w:after="2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12" w:history="1">
              <w:r>
                <w:rPr>
                  <w:rFonts w:ascii="Times New Roman" w:eastAsia="Times New Roman" w:hAnsi="Times New Roman" w:cs="Times New Roman"/>
                  <w:b w:val="0"/>
                  <w:i w:val="0"/>
                  <w:color w:val="0000FF"/>
                  <w:sz w:val="20"/>
                  <w:u w:val="single"/>
                  <w:shd w:val="clear" w:color="auto" w:fill="auto"/>
                </w:rPr>
                <w:t>Form of Registration Rights Agreement (Filed as Exhibit 10.2 to the Registrant’s Current Report on Form 8-K filed on July 1, 2026 and incorporated herein by reference).</w:t>
              </w:r>
            </w:hyperlink>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15"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10.3</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bottom"/>
          </w:tcPr>
          <w:p>
            <w:pPr>
              <w:pStyle w:val="Normal-wk"/>
              <w:keepNext/>
              <w:pageBreakBefore w:val="0"/>
              <w:numPr>
                <w:ilvl w:val="0"/>
                <w:numId w:val="0"/>
              </w:numPr>
              <w:spacing w:before="65" w:after="2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13" w:history="1">
              <w:r>
                <w:rPr>
                  <w:rFonts w:ascii="Times New Roman" w:eastAsia="Times New Roman" w:hAnsi="Times New Roman" w:cs="Times New Roman"/>
                  <w:b w:val="0"/>
                  <w:i w:val="0"/>
                  <w:color w:val="0000FF"/>
                  <w:sz w:val="20"/>
                  <w:u w:val="single"/>
                  <w:shd w:val="clear" w:color="auto" w:fill="auto"/>
                </w:rPr>
                <w:t>Exchange Agreement, dated August 5, 2026, between the Registrant and NHTV Holdings, LP</w:t>
              </w:r>
            </w:hyperlink>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15"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10.4</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bottom"/>
          </w:tcPr>
          <w:p>
            <w:pPr>
              <w:pStyle w:val="Normal-wk"/>
              <w:keepNext/>
              <w:pageBreakBefore w:val="0"/>
              <w:numPr>
                <w:ilvl w:val="0"/>
                <w:numId w:val="0"/>
              </w:numPr>
              <w:spacing w:before="65" w:after="2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14" w:history="1">
              <w:r>
                <w:rPr>
                  <w:rFonts w:ascii="Times New Roman" w:eastAsia="Times New Roman" w:hAnsi="Times New Roman" w:cs="Times New Roman"/>
                  <w:b w:val="0"/>
                  <w:i w:val="0"/>
                  <w:color w:val="0000FF"/>
                  <w:sz w:val="20"/>
                  <w:u w:val="single"/>
                  <w:shd w:val="clear" w:color="auto" w:fill="auto"/>
                </w:rPr>
                <w:t>Form of Performance Share Unit Award Agreement</w:t>
              </w:r>
            </w:hyperlink>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15"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10.5</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bottom"/>
          </w:tcPr>
          <w:p>
            <w:pPr>
              <w:pStyle w:val="Normal-wk"/>
              <w:keepNext/>
              <w:pageBreakBefore w:val="0"/>
              <w:numPr>
                <w:ilvl w:val="0"/>
                <w:numId w:val="0"/>
              </w:numPr>
              <w:spacing w:before="65" w:after="2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15" w:history="1">
              <w:r>
                <w:rPr>
                  <w:rFonts w:ascii="Times New Roman" w:eastAsia="Times New Roman" w:hAnsi="Times New Roman" w:cs="Times New Roman"/>
                  <w:b w:val="0"/>
                  <w:i w:val="0"/>
                  <w:color w:val="0000FF"/>
                  <w:sz w:val="20"/>
                  <w:u w:val="single"/>
                  <w:shd w:val="clear" w:color="auto" w:fill="auto"/>
                </w:rPr>
                <w:t>Letter Agreement between the Registrant and Legion Partners Asset Management, LLC and certain of its affiliates (Filed as Exhibit 10.1 to the Registrant’s Current Report on Form 8-K filed on July 31, 2026 and incorporated herein by reference).</w:t>
              </w:r>
            </w:hyperlink>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15"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10.6**</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bottom"/>
          </w:tcPr>
          <w:p>
            <w:pPr>
              <w:pStyle w:val="Normal-wk"/>
              <w:keepNext/>
              <w:pageBreakBefore w:val="0"/>
              <w:numPr>
                <w:ilvl w:val="0"/>
                <w:numId w:val="0"/>
              </w:numPr>
              <w:spacing w:before="65" w:after="2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16" w:history="1">
              <w:r>
                <w:rPr>
                  <w:rFonts w:ascii="Times New Roman" w:eastAsia="Times New Roman" w:hAnsi="Times New Roman" w:cs="Times New Roman"/>
                  <w:b w:val="0"/>
                  <w:i w:val="0"/>
                  <w:color w:val="0000FF"/>
                  <w:sz w:val="20"/>
                  <w:u w:val="single"/>
                  <w:shd w:val="clear" w:color="auto" w:fill="auto"/>
                </w:rPr>
                <w:t>Second Amendment to Revolving Credit and Security Agreement, date as of December 10, 2025, by and among NN, Inc. as Borrower, certain subsidiaries of NN, Inc., the lenders party thereto and PNC Bank, National Association, as lender and as agent</w:t>
              </w:r>
            </w:hyperlink>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15"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10.7</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bottom"/>
          </w:tcPr>
          <w:p>
            <w:pPr>
              <w:pStyle w:val="Normal-wk"/>
              <w:keepNext/>
              <w:pageBreakBefore w:val="0"/>
              <w:numPr>
                <w:ilvl w:val="0"/>
                <w:numId w:val="0"/>
              </w:numPr>
              <w:spacing w:before="65" w:after="2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17" w:history="1">
              <w:r>
                <w:rPr>
                  <w:rFonts w:ascii="Times New Roman" w:eastAsia="Times New Roman" w:hAnsi="Times New Roman" w:cs="Times New Roman"/>
                  <w:b w:val="0"/>
                  <w:i w:val="0"/>
                  <w:color w:val="0000FF"/>
                  <w:sz w:val="20"/>
                  <w:u w:val="single"/>
                  <w:shd w:val="clear" w:color="auto" w:fill="auto"/>
                </w:rPr>
                <w:t>Letter of Understanding by and between NN, Inc. and Robert Esch.</w:t>
              </w:r>
            </w:hyperlink>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15"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10.8</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bottom"/>
          </w:tcPr>
          <w:p>
            <w:pPr>
              <w:pStyle w:val="Normal-wk"/>
              <w:keepNext/>
              <w:pageBreakBefore w:val="0"/>
              <w:numPr>
                <w:ilvl w:val="0"/>
                <w:numId w:val="0"/>
              </w:numPr>
              <w:spacing w:before="65" w:after="2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18" w:history="1">
              <w:r>
                <w:rPr>
                  <w:rFonts w:ascii="Times New Roman" w:eastAsia="Times New Roman" w:hAnsi="Times New Roman" w:cs="Times New Roman"/>
                  <w:b w:val="0"/>
                  <w:i w:val="0"/>
                  <w:color w:val="0000FF"/>
                  <w:sz w:val="20"/>
                  <w:u w:val="single"/>
                  <w:shd w:val="clear" w:color="auto" w:fill="auto"/>
                </w:rPr>
                <w:t>Separation Agreement by and between NN, Inc. and Robert Esch.</w:t>
              </w:r>
            </w:hyperlink>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15"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31.1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bottom"/>
          </w:tcPr>
          <w:p>
            <w:pPr>
              <w:pStyle w:val="Normal-wk"/>
              <w:keepNext/>
              <w:pageBreakBefore w:val="0"/>
              <w:numPr>
                <w:ilvl w:val="0"/>
                <w:numId w:val="0"/>
              </w:numPr>
              <w:spacing w:before="65" w:after="2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19" w:history="1">
              <w:r>
                <w:rPr>
                  <w:rFonts w:ascii="Times New Roman" w:eastAsia="Times New Roman" w:hAnsi="Times New Roman" w:cs="Times New Roman"/>
                  <w:b w:val="0"/>
                  <w:i w:val="0"/>
                  <w:color w:val="0000FF"/>
                  <w:sz w:val="20"/>
                  <w:u w:val="single"/>
                  <w:shd w:val="clear" w:color="auto" w:fill="auto"/>
                </w:rPr>
                <w:t>Certification of Principal Executive Officer Pursuant to Rules 13a-14(a) and 15d-14(a) under the Securities Exchange Act of 1934, as amended.</w:t>
              </w:r>
            </w:hyperlink>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15"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31.2</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bottom"/>
          </w:tcPr>
          <w:p>
            <w:pPr>
              <w:pStyle w:val="Normal-wk"/>
              <w:keepNext/>
              <w:pageBreakBefore w:val="0"/>
              <w:numPr>
                <w:ilvl w:val="0"/>
                <w:numId w:val="0"/>
              </w:numPr>
              <w:spacing w:before="65" w:after="2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20" w:history="1">
              <w:r>
                <w:rPr>
                  <w:rFonts w:ascii="Times New Roman" w:eastAsia="Times New Roman" w:hAnsi="Times New Roman" w:cs="Times New Roman"/>
                  <w:b w:val="0"/>
                  <w:i w:val="0"/>
                  <w:color w:val="0000FF"/>
                  <w:sz w:val="20"/>
                  <w:u w:val="single"/>
                  <w:shd w:val="clear" w:color="auto" w:fill="auto"/>
                </w:rPr>
                <w:t>Certification of Principal Financial Officer Pursuant to Rules 13a-14(a) and 15d-14(a) under the Securities Exchange Act of 1934, as amended.</w:t>
              </w:r>
            </w:hyperlink>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15"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32.1*</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65" w:after="2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21" w:history="1">
              <w:r>
                <w:rPr>
                  <w:rFonts w:ascii="Times New Roman" w:eastAsia="Times New Roman" w:hAnsi="Times New Roman" w:cs="Times New Roman"/>
                  <w:b w:val="0"/>
                  <w:i w:val="0"/>
                  <w:color w:val="0000FF"/>
                  <w:sz w:val="20"/>
                  <w:u w:val="single"/>
                  <w:shd w:val="clear" w:color="auto" w:fill="auto"/>
                </w:rPr>
                <w:t>Certification of Principal Executive Officer pursuant to Section 906 of the Sarbanes-Oxley Act of 2002.</w:t>
              </w:r>
            </w:hyperlink>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32.2*</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top"/>
          </w:tcPr>
          <w:p>
            <w:pPr>
              <w:pStyle w:val="Normal-wk"/>
              <w:keepNext/>
              <w:pageBreakBefore w:val="0"/>
              <w:numPr>
                <w:ilvl w:val="0"/>
                <w:numId w:val="0"/>
              </w:numPr>
              <w:spacing w:before="65" w:after="20" w:line="240" w:lineRule="auto"/>
              <w:ind w:left="0" w:right="0" w:firstLine="0"/>
              <w:jc w:val="left"/>
              <w:outlineLvl w:val="9"/>
              <w:rPr>
                <w:rFonts w:ascii="Times New Roman" w:eastAsia="Times New Roman" w:hAnsi="Times New Roman" w:cs="Times New Roman"/>
                <w:b w:val="0"/>
                <w:i w:val="0"/>
                <w:sz w:val="20"/>
                <w:shd w:val="clear" w:color="auto" w:fill="auto"/>
              </w:rPr>
            </w:pPr>
            <w:hyperlink r:id="rId22" w:history="1">
              <w:r>
                <w:rPr>
                  <w:rFonts w:ascii="Times New Roman" w:eastAsia="Times New Roman" w:hAnsi="Times New Roman" w:cs="Times New Roman"/>
                  <w:b w:val="0"/>
                  <w:i w:val="0"/>
                  <w:color w:val="0000FF"/>
                  <w:sz w:val="20"/>
                  <w:u w:val="single"/>
                  <w:shd w:val="clear" w:color="auto" w:fill="auto"/>
                </w:rPr>
                <w:t>Certification of Principal Financial Officer pursuant to Section 906 of the Sarbanes-Oxley Act of 2002.</w:t>
              </w:r>
            </w:hyperlink>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101.INS</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XBRL Instance Document (the instance document does not appear in the Interactive Data File because its XBRL tags are embedded within the Inline XBRL document)</w:t>
            </w:r>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101.SCH</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XBRL Taxonomy Extension Schema Document</w:t>
            </w:r>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101.CAL</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XBRL Taxonomy Extension Calculation Linkbase Document</w:t>
            </w:r>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101.LAB</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XBRL Taxonomy Extension Label Linkbase Document</w:t>
            </w:r>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101.PRE</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XBRL Taxonomy Extension Presentation Linkbase Document</w:t>
            </w:r>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101.DEF</w:t>
            </w:r>
          </w:p>
        </w:tc>
        <w:tc>
          <w:tcPr>
            <w:tcW w:w="7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9270" w:type="dxa"/>
            <w:tcBorders>
              <w:top w:val="nil"/>
              <w:left w:val="nil"/>
              <w:bottom w:val="nil"/>
              <w:right w:val="nil"/>
            </w:tcBorders>
            <w:tcMar>
              <w:top w:w="0" w:type="dxa"/>
              <w:left w:w="53" w:type="dxa"/>
              <w:bottom w:w="0" w:type="dxa"/>
              <w:right w:w="53" w:type="dxa"/>
            </w:tcMar>
            <w:vAlign w:val="top"/>
          </w:tcPr>
          <w:p>
            <w:pPr>
              <w:keepNext/>
              <w:pageBreakBefore w:val="0"/>
              <w:spacing w:before="65" w:after="20" w:line="240" w:lineRule="auto"/>
              <w:jc w:val="left"/>
            </w:pPr>
            <w:r>
              <w:rPr>
                <w:rFonts w:ascii="Times New Roman" w:eastAsia="Times New Roman" w:hAnsi="Times New Roman" w:cs="Times New Roman"/>
                <w:b w:val="0"/>
                <w:i w:val="0"/>
                <w:color w:val="000000"/>
                <w:sz w:val="20"/>
                <w:u w:val="none"/>
              </w:rPr>
              <w:t>XBRL Taxonomy Extension Definition Linkbase Document</w:t>
            </w:r>
          </w:p>
        </w:tc>
      </w:tr>
      <w:tr>
        <w:tblPrEx>
          <w:tblW w:w="10260" w:type="dxa"/>
          <w:tblInd w:w="0" w:type="dxa"/>
          <w:tblLayout w:type="fixed"/>
        </w:tblPrEx>
        <w:trPr>
          <w:trHeight w:hRule="auto" w:val="0"/>
        </w:trPr>
        <w:tc>
          <w:tcPr>
            <w:tcW w:w="915" w:type="dxa"/>
            <w:tcBorders>
              <w:top w:val="nil"/>
              <w:left w:val="nil"/>
              <w:bottom w:val="nil"/>
              <w:right w:val="nil"/>
            </w:tcBorders>
            <w:tcMar>
              <w:top w:w="0" w:type="dxa"/>
              <w:left w:w="53" w:type="dxa"/>
              <w:bottom w:w="0" w:type="dxa"/>
              <w:right w:w="53" w:type="dxa"/>
            </w:tcMar>
            <w:vAlign w:val="top"/>
          </w:tcPr>
          <w:p>
            <w:pPr>
              <w:pageBreakBefore w:val="0"/>
              <w:spacing w:before="65" w:after="20" w:line="240" w:lineRule="auto"/>
              <w:jc w:val="left"/>
            </w:pPr>
            <w:r>
              <w:rPr>
                <w:rFonts w:ascii="Times New Roman" w:eastAsia="Times New Roman" w:hAnsi="Times New Roman" w:cs="Times New Roman"/>
                <w:b w:val="0"/>
                <w:i w:val="0"/>
                <w:color w:val="000000"/>
                <w:sz w:val="20"/>
                <w:u w:val="none"/>
              </w:rPr>
              <w:t>104</w:t>
            </w:r>
          </w:p>
        </w:tc>
        <w:tc>
          <w:tcPr>
            <w:tcW w:w="7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9270" w:type="dxa"/>
            <w:tcBorders>
              <w:top w:val="nil"/>
              <w:left w:val="nil"/>
              <w:bottom w:val="nil"/>
              <w:right w:val="nil"/>
            </w:tcBorders>
            <w:tcMar>
              <w:top w:w="0" w:type="dxa"/>
              <w:left w:w="53" w:type="dxa"/>
              <w:bottom w:w="0" w:type="dxa"/>
              <w:right w:w="53" w:type="dxa"/>
            </w:tcMar>
            <w:vAlign w:val="top"/>
          </w:tcPr>
          <w:p>
            <w:pPr>
              <w:pageBreakBefore w:val="0"/>
              <w:spacing w:before="65" w:after="20" w:line="240" w:lineRule="auto"/>
              <w:jc w:val="left"/>
            </w:pPr>
            <w:r>
              <w:rPr>
                <w:rFonts w:ascii="Times New Roman" w:eastAsia="Times New Roman" w:hAnsi="Times New Roman" w:cs="Times New Roman"/>
                <w:b w:val="0"/>
                <w:i w:val="0"/>
                <w:color w:val="000000"/>
                <w:sz w:val="20"/>
                <w:u w:val="none"/>
              </w:rPr>
              <w:t>Cover Page Interactive Data File (formatted as Inline XBRL and contained in Exhibit 101)</w:t>
            </w:r>
          </w:p>
        </w:tc>
      </w:tr>
    </w:tbl>
    <w:p>
      <w:pPr>
        <w:keepNext w:val="0"/>
        <w:keepLines/>
        <w:pageBreakBefore w:val="0"/>
        <w:widowControl w:val="0"/>
        <w:numPr>
          <w:ilvl w:val="0"/>
          <w:numId w:val="0"/>
        </w:numPr>
        <w:spacing w:before="60" w:after="0" w:line="288" w:lineRule="auto"/>
        <w:ind w:left="540" w:right="0" w:hanging="360"/>
        <w:jc w:val="left"/>
        <w:outlineLvl w:val="9"/>
        <w:rPr>
          <w:rFonts w:ascii="Times New Roman" w:eastAsia="Times New Roman" w:hAnsi="Times New Roman" w:cs="Times New Roman"/>
          <w:b w:val="0"/>
          <w:i w:val="0"/>
          <w:sz w:val="16"/>
        </w:rPr>
      </w:pPr>
      <w:r>
        <w:rPr>
          <w:rFonts w:ascii="Times New Roman" w:eastAsia="Times New Roman" w:hAnsi="Times New Roman" w:cs="Times New Roman"/>
          <w:b w:val="0"/>
          <w:i w:val="0"/>
          <w:sz w:val="24"/>
        </w:rPr>
        <w:t>*</w:t>
      </w:r>
      <w:r>
        <w:rPr>
          <w:rFonts w:ascii="Times New Roman" w:eastAsia="Times New Roman" w:hAnsi="Times New Roman" w:cs="Times New Roman"/>
          <w:b w:val="0"/>
          <w:i w:val="0"/>
          <w:sz w:val="24"/>
        </w:rPr>
        <w:tab/>
      </w:r>
      <w:r>
        <w:rPr>
          <w:rFonts w:ascii="Times New Roman" w:eastAsia="Times New Roman" w:hAnsi="Times New Roman" w:cs="Times New Roman"/>
          <w:b w:val="0"/>
          <w:i w:val="0"/>
          <w:sz w:val="20"/>
        </w:rPr>
        <w:t>This certification is being furnished solely to accompany this quarterly report on Form 10-Q pursuant to 18 U.S.C. Section 1350, and is not being filed for purposes of Section 18 of the Securities Exchange Act of 1934, as amended, and is not to be incorporated by reference into any filing of the Registrant, whether made before or after the date hereof, regardless of any general incorporation language in such filing.</w:t>
      </w:r>
    </w:p>
    <w:p>
      <w:pPr>
        <w:keepNext w:val="0"/>
        <w:keepLines/>
        <w:pageBreakBefore w:val="0"/>
        <w:widowControl w:val="0"/>
        <w:numPr>
          <w:ilvl w:val="0"/>
          <w:numId w:val="0"/>
        </w:numPr>
        <w:spacing w:before="60" w:after="0" w:line="288" w:lineRule="auto"/>
        <w:ind w:left="540" w:right="0" w:hanging="36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  </w:t>
      </w:r>
      <w:r>
        <w:rPr>
          <w:rFonts w:ascii="Times New Roman" w:eastAsia="Times New Roman" w:hAnsi="Times New Roman" w:cs="Times New Roman"/>
          <w:b w:val="0"/>
          <w:i w:val="0"/>
          <w:sz w:val="20"/>
        </w:rPr>
        <w:t>Conformed version incorporating immaterial clean</w:t>
      </w:r>
      <w:r>
        <w:rPr>
          <w:rFonts w:ascii="Times New Roman" w:eastAsia="Times New Roman" w:hAnsi="Times New Roman" w:cs="Times New Roman"/>
          <w:b w:val="0"/>
          <w:i w:val="0"/>
          <w:sz w:val="20"/>
        </w:rPr>
        <w:t>-</w:t>
      </w:r>
      <w:r>
        <w:rPr>
          <w:rFonts w:ascii="Times New Roman" w:eastAsia="Times New Roman" w:hAnsi="Times New Roman" w:cs="Times New Roman"/>
          <w:b w:val="0"/>
          <w:i w:val="0"/>
          <w:sz w:val="20"/>
        </w:rPr>
        <w:t xml:space="preserve">up edits. </w:t>
      </w:r>
    </w:p>
    <w:p>
      <w:pPr>
        <w:keepNext w:val="0"/>
        <w:keepLines/>
        <w:pageBreakBefore w:val="0"/>
        <w:widowControl w:val="0"/>
        <w:numPr>
          <w:ilvl w:val="0"/>
          <w:numId w:val="0"/>
        </w:numPr>
        <w:spacing w:before="60" w:after="0" w:line="288" w:lineRule="auto"/>
        <w:ind w:left="540" w:right="0" w:hanging="360"/>
        <w:jc w:val="left"/>
        <w:outlineLvl w:val="9"/>
        <w:rPr>
          <w:rFonts w:ascii="Times New Roman" w:eastAsia="Times New Roman" w:hAnsi="Times New Roman" w:cs="Times New Roman"/>
          <w:b w:val="0"/>
          <w:i w:val="0"/>
          <w:sz w:val="16"/>
        </w:rPr>
        <w:sectPr>
          <w:type w:val="continuous"/>
          <w:pgSz w:w="12240" w:h="15840"/>
          <w:pgMar w:top="810" w:right="990" w:bottom="810" w:left="990" w:header="270" w:footer="270"/>
          <w:cols w:space="708"/>
        </w:sectPr>
      </w:pPr>
    </w:p>
    <w:p>
      <w:pPr>
        <w:pStyle w:val="PARTheading"/>
        <w:keepNext/>
        <w:keepLines w:val="0"/>
        <w:pageBreakBefore w:val="0"/>
        <w:widowControl/>
        <w:numPr>
          <w:ilvl w:val="0"/>
          <w:numId w:val="0"/>
        </w:numPr>
        <w:spacing w:before="0" w:after="0" w:line="288" w:lineRule="auto"/>
        <w:ind w:left="0" w:right="0" w:firstLine="0"/>
        <w:jc w:val="center"/>
        <w:outlineLvl w:val="0"/>
        <w:rPr>
          <w:rFonts w:ascii="Times New Roman" w:eastAsia="Times New Roman" w:hAnsi="Times New Roman" w:cs="Times New Roman"/>
          <w:b/>
          <w:i w:val="0"/>
          <w:color w:val="000000"/>
          <w:sz w:val="20"/>
          <w:u w:val="none"/>
        </w:rPr>
      </w:pPr>
      <w:bookmarkStart w:id="44" w:name="Section46"/>
      <w:bookmarkEnd w:id="44"/>
      <w:r>
        <w:rPr>
          <w:rFonts w:ascii="Times New Roman" w:eastAsia="Times New Roman" w:hAnsi="Times New Roman" w:cs="Times New Roman"/>
          <w:b/>
          <w:i w:val="0"/>
          <w:color w:val="000000"/>
          <w:sz w:val="20"/>
          <w:u w:val="none"/>
        </w:rPr>
        <w:t>SIGNATURES</w:t>
      </w: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tbl>
      <w:tblPr>
        <w:tblStyle w:val="TableNormal0"/>
        <w:tblW w:w="10260" w:type="dxa"/>
        <w:jc w:val="center"/>
        <w:tblLayout w:type="fixed"/>
      </w:tblPr>
      <w:tblGrid>
        <w:gridCol w:w="10260"/>
      </w:tblGrid>
      <w:tr>
        <w:tblPrEx>
          <w:tblW w:w="10260" w:type="dxa"/>
          <w:tblLayout w:type="fixed"/>
        </w:tblPrEx>
        <w:trPr>
          <w:trHeight w:hRule="auto" w:val="0"/>
        </w:trPr>
        <w:tc>
          <w:tcPr>
            <w:tcW w:w="10260" w:type="dxa"/>
            <w:tcBorders>
              <w:top w:val="nil"/>
              <w:left w:val="nil"/>
              <w:bottom w:val="nil"/>
              <w:right w:val="nil"/>
            </w:tcBorders>
            <w:tcMar>
              <w:top w:w="0" w:type="dxa"/>
              <w:left w:w="53" w:type="dxa"/>
              <w:bottom w:w="0" w:type="dxa"/>
              <w:right w:w="53" w:type="dxa"/>
            </w:tcMar>
            <w:vAlign w:val="bottom"/>
          </w:tcPr>
          <w:p>
            <w:pPr>
              <w:pageBreakBefore w:val="0"/>
              <w:numPr>
                <w:ilvl w:val="0"/>
                <w:numId w:val="0"/>
              </w:numPr>
              <w:spacing w:before="65" w:after="2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Pursuant to the requirements of the Securities Exchange Act of 1934, the registrant has duly caused this report to be signed on its behalf by the undersigned thereunto duly authorized.</w:t>
            </w: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4"/>
        </w:rPr>
      </w:pPr>
    </w:p>
    <w:tbl>
      <w:tblPr>
        <w:tblStyle w:val="TableNormal0"/>
        <w:tblW w:w="10245" w:type="dxa"/>
        <w:jc w:val="center"/>
        <w:tblLayout w:type="fixed"/>
      </w:tblPr>
      <w:tblGrid>
        <w:gridCol w:w="5145"/>
        <w:gridCol w:w="5100"/>
      </w:tblGrid>
      <w:tr>
        <w:tblPrEx>
          <w:tblW w:w="10245" w:type="dxa"/>
          <w:tblLayout w:type="fixed"/>
        </w:tblPrEx>
        <w:trPr>
          <w:trHeight w:hRule="exact" w:val="285"/>
        </w:trPr>
        <w:tc>
          <w:tcPr>
            <w:tcW w:w="51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100"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NN, Inc.</w:t>
            </w:r>
          </w:p>
        </w:tc>
      </w:tr>
      <w:tr>
        <w:tblPrEx>
          <w:tblW w:w="10245" w:type="dxa"/>
          <w:tblLayout w:type="fixed"/>
        </w:tblPrEx>
        <w:trPr>
          <w:trHeight w:hRule="exact" w:val="285"/>
        </w:trPr>
        <w:tc>
          <w:tcPr>
            <w:tcW w:w="51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100" w:type="dxa"/>
            <w:tcBorders>
              <w:top w:val="single" w:sz="8" w:space="0" w:color="000000"/>
              <w:left w:val="nil"/>
              <w:bottom w:val="nil"/>
              <w:right w:val="nil"/>
            </w:tcBorders>
            <w:tcMar>
              <w:top w:w="0" w:type="dxa"/>
              <w:left w:w="53" w:type="dxa"/>
              <w:bottom w:w="0" w:type="dxa"/>
              <w:right w:w="53" w:type="dxa"/>
            </w:tcMar>
            <w:vAlign w:val="top"/>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(Registrant)</w:t>
            </w:r>
          </w:p>
        </w:tc>
      </w:tr>
      <w:tr>
        <w:tblPrEx>
          <w:tblW w:w="10245" w:type="dxa"/>
          <w:tblLayout w:type="fixed"/>
        </w:tblPrEx>
        <w:trPr>
          <w:trHeight w:hRule="exact" w:val="300"/>
        </w:trPr>
        <w:tc>
          <w:tcPr>
            <w:tcW w:w="51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1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85"/>
        </w:trPr>
        <w:tc>
          <w:tcPr>
            <w:tcW w:w="5145" w:type="dxa"/>
            <w:tcBorders>
              <w:top w:val="nil"/>
              <w:left w:val="nil"/>
              <w:bottom w:val="nil"/>
              <w:right w:val="nil"/>
            </w:tcBorders>
            <w:tcMar>
              <w:top w:w="0" w:type="dxa"/>
              <w:left w:w="53" w:type="dxa"/>
              <w:bottom w:w="0" w:type="dxa"/>
              <w:right w:w="53" w:type="dxa"/>
            </w:tcMar>
            <w:vAlign w:val="top"/>
          </w:tcPr>
          <w:p>
            <w:pPr>
              <w:keepNext/>
              <w:pageBreakBefore w:val="0"/>
              <w:numPr>
                <w:ilvl w:val="0"/>
                <w:numId w:val="0"/>
              </w:numPr>
              <w:spacing w:before="75" w:after="30" w:line="240" w:lineRule="auto"/>
              <w:ind w:left="0" w:right="0" w:firstLine="0"/>
              <w:jc w:val="left"/>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t xml:space="preserve">Date:  </w:t>
            </w:r>
            <w:r>
              <w:rPr>
                <w:rFonts w:ascii="Times New Roman" w:eastAsia="Times New Roman" w:hAnsi="Times New Roman" w:cs="Times New Roman"/>
                <w:b w:val="0"/>
                <w:i w:val="0"/>
                <w:color w:val="000000"/>
                <w:sz w:val="20"/>
                <w:u w:val="none"/>
              </w:rPr>
              <w:t>August 5, 2026</w:t>
            </w:r>
          </w:p>
        </w:tc>
        <w:tc>
          <w:tcPr>
            <w:tcW w:w="5100"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/s/ Harold C. Bevis</w:t>
            </w:r>
          </w:p>
        </w:tc>
      </w:tr>
      <w:tr>
        <w:tblPrEx>
          <w:tblW w:w="10245" w:type="dxa"/>
          <w:tblLayout w:type="fixed"/>
        </w:tblPrEx>
        <w:trPr>
          <w:trHeight w:hRule="exact" w:val="285"/>
        </w:trPr>
        <w:tc>
          <w:tcPr>
            <w:tcW w:w="51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100" w:type="dxa"/>
            <w:tcBorders>
              <w:top w:val="single" w:sz="8" w:space="0" w:color="000000"/>
              <w:left w:val="nil"/>
              <w:bottom w:val="nil"/>
              <w:right w:val="nil"/>
            </w:tcBorders>
            <w:tcMar>
              <w:top w:w="0" w:type="dxa"/>
              <w:left w:w="53" w:type="dxa"/>
              <w:bottom w:w="0" w:type="dxa"/>
              <w:right w:w="53" w:type="dxa"/>
            </w:tcMar>
            <w:vAlign w:val="top"/>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Harold C. Bevis</w:t>
            </w:r>
          </w:p>
        </w:tc>
      </w:tr>
      <w:tr>
        <w:tblPrEx>
          <w:tblW w:w="10245" w:type="dxa"/>
          <w:tblLayout w:type="fixed"/>
        </w:tblPrEx>
        <w:trPr>
          <w:trHeight w:hRule="exact" w:val="300"/>
        </w:trPr>
        <w:tc>
          <w:tcPr>
            <w:tcW w:w="51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100" w:type="dxa"/>
            <w:tcBorders>
              <w:top w:val="nil"/>
              <w:left w:val="nil"/>
              <w:bottom w:val="nil"/>
              <w:right w:val="nil"/>
            </w:tcBorders>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President, Chief Executive Officer and Director</w:t>
            </w:r>
          </w:p>
        </w:tc>
      </w:tr>
      <w:tr>
        <w:tblPrEx>
          <w:tblW w:w="10245" w:type="dxa"/>
          <w:tblLayout w:type="fixed"/>
        </w:tblPrEx>
        <w:trPr>
          <w:trHeight w:hRule="exact" w:val="300"/>
        </w:trPr>
        <w:tc>
          <w:tcPr>
            <w:tcW w:w="51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100"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(Principal Executive Officer)</w:t>
            </w:r>
          </w:p>
        </w:tc>
      </w:tr>
      <w:tr>
        <w:tblPrEx>
          <w:tblW w:w="10245" w:type="dxa"/>
          <w:tblLayout w:type="fixed"/>
        </w:tblPrEx>
        <w:trPr>
          <w:trHeight w:hRule="exact" w:val="300"/>
        </w:trPr>
        <w:tc>
          <w:tcPr>
            <w:tcW w:w="51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100"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(Duly Authorized Officer)</w:t>
            </w:r>
          </w:p>
        </w:tc>
      </w:tr>
      <w:tr>
        <w:tblPrEx>
          <w:tblW w:w="10245" w:type="dxa"/>
          <w:tblLayout w:type="fixed"/>
        </w:tblPrEx>
        <w:trPr>
          <w:trHeight w:hRule="exact" w:val="300"/>
        </w:trPr>
        <w:tc>
          <w:tcPr>
            <w:tcW w:w="51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100"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r>
      <w:tr>
        <w:tblPrEx>
          <w:tblW w:w="10245" w:type="dxa"/>
          <w:tblLayout w:type="fixed"/>
        </w:tblPrEx>
        <w:trPr>
          <w:trHeight w:hRule="exact" w:val="285"/>
        </w:trPr>
        <w:tc>
          <w:tcPr>
            <w:tcW w:w="5145"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Date:  August 5, 2026</w:t>
            </w:r>
          </w:p>
        </w:tc>
        <w:tc>
          <w:tcPr>
            <w:tcW w:w="5100" w:type="dxa"/>
            <w:tcBorders>
              <w:top w:val="nil"/>
              <w:left w:val="nil"/>
              <w:bottom w:val="single" w:sz="8" w:space="0" w:color="000000"/>
              <w:right w:val="nil"/>
            </w:tcBorders>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/s/ Christopher H. Bohnert</w:t>
            </w:r>
          </w:p>
        </w:tc>
      </w:tr>
      <w:tr>
        <w:tblPrEx>
          <w:tblW w:w="10245" w:type="dxa"/>
          <w:tblLayout w:type="fixed"/>
        </w:tblPrEx>
        <w:trPr>
          <w:trHeight w:hRule="exact" w:val="285"/>
        </w:trPr>
        <w:tc>
          <w:tcPr>
            <w:tcW w:w="51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100" w:type="dxa"/>
            <w:tcBorders>
              <w:top w:val="single" w:sz="8" w:space="0" w:color="000000"/>
              <w:left w:val="nil"/>
              <w:bottom w:val="nil"/>
              <w:right w:val="nil"/>
            </w:tcBorders>
            <w:tcMar>
              <w:top w:w="0" w:type="dxa"/>
              <w:left w:w="53" w:type="dxa"/>
              <w:bottom w:w="0" w:type="dxa"/>
              <w:right w:w="53" w:type="dxa"/>
            </w:tcMar>
            <w:vAlign w:val="top"/>
          </w:tcPr>
          <w:p>
            <w:pPr>
              <w:keepNext/>
              <w:pageBreakBefore w:val="0"/>
              <w:spacing w:before="55" w:after="30" w:line="240" w:lineRule="auto"/>
              <w:jc w:val="left"/>
            </w:pPr>
            <w:r>
              <w:rPr>
                <w:rFonts w:ascii="Times New Roman" w:eastAsia="Times New Roman" w:hAnsi="Times New Roman" w:cs="Times New Roman"/>
                <w:b w:val="0"/>
                <w:i w:val="0"/>
                <w:color w:val="000000"/>
                <w:sz w:val="20"/>
                <w:u w:val="none"/>
              </w:rPr>
              <w:t>Christopher H. Bohnert</w:t>
            </w:r>
          </w:p>
        </w:tc>
      </w:tr>
      <w:tr>
        <w:tblPrEx>
          <w:tblW w:w="10245" w:type="dxa"/>
          <w:tblLayout w:type="fixed"/>
        </w:tblPrEx>
        <w:trPr>
          <w:trHeight w:hRule="exact" w:val="285"/>
        </w:trPr>
        <w:tc>
          <w:tcPr>
            <w:tcW w:w="51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100"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Senior Vice President and Chief Financial Officer</w:t>
            </w:r>
          </w:p>
        </w:tc>
      </w:tr>
      <w:tr>
        <w:tblPrEx>
          <w:tblW w:w="10245" w:type="dxa"/>
          <w:tblLayout w:type="fixed"/>
        </w:tblPrEx>
        <w:trPr>
          <w:trHeight w:hRule="exact" w:val="285"/>
        </w:trPr>
        <w:tc>
          <w:tcPr>
            <w:tcW w:w="51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100" w:type="dxa"/>
            <w:tcBorders>
              <w:top w:val="nil"/>
              <w:left w:val="nil"/>
              <w:bottom w:val="nil"/>
              <w:right w:val="nil"/>
            </w:tcBorders>
            <w:tcMar>
              <w:top w:w="0" w:type="dxa"/>
              <w:left w:w="53" w:type="dxa"/>
              <w:bottom w:w="0" w:type="dxa"/>
              <w:right w:w="53" w:type="dxa"/>
            </w:tcMar>
            <w:vAlign w:val="top"/>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(Principal Financial and Accounting Officer)</w:t>
            </w:r>
          </w:p>
        </w:tc>
      </w:tr>
      <w:tr>
        <w:tblPrEx>
          <w:tblW w:w="10245" w:type="dxa"/>
          <w:tblLayout w:type="fixed"/>
        </w:tblPrEx>
        <w:trPr>
          <w:trHeight w:hRule="exact" w:val="285"/>
        </w:trPr>
        <w:tc>
          <w:tcPr>
            <w:tcW w:w="5145" w:type="dxa"/>
            <w:tcBorders>
              <w:top w:val="nil"/>
              <w:left w:val="nil"/>
              <w:bottom w:val="nil"/>
              <w:right w:val="nil"/>
            </w:tcBorders>
            <w:tcMar>
              <w:top w:w="0" w:type="dxa"/>
              <w:left w:w="0" w:type="dxa"/>
              <w:bottom w:w="0" w:type="dxa"/>
              <w:right w:w="0" w:type="dxa"/>
            </w:tcMar>
            <w:vAlign w:val="bottom"/>
          </w:tcPr>
          <w:p>
            <w:pPr>
              <w:keepNext/>
              <w:pageBreakBefore w:val="0"/>
              <w:spacing w:before="0" w:after="0"/>
            </w:pPr>
          </w:p>
        </w:tc>
        <w:tc>
          <w:tcPr>
            <w:tcW w:w="5100" w:type="dxa"/>
            <w:tcBorders>
              <w:top w:val="nil"/>
              <w:left w:val="nil"/>
              <w:bottom w:val="nil"/>
              <w:right w:val="nil"/>
            </w:tcBorders>
            <w:tcMar>
              <w:top w:w="0" w:type="dxa"/>
              <w:left w:w="53" w:type="dxa"/>
              <w:bottom w:w="0" w:type="dxa"/>
              <w:right w:w="53" w:type="dxa"/>
            </w:tcMar>
            <w:vAlign w:val="bottom"/>
          </w:tcPr>
          <w:p>
            <w:pPr>
              <w:keepNext/>
              <w:pageBreakBefore w:val="0"/>
              <w:spacing w:before="75" w:after="30" w:line="240" w:lineRule="auto"/>
              <w:jc w:val="left"/>
            </w:pPr>
            <w:r>
              <w:rPr>
                <w:rFonts w:ascii="Times New Roman" w:eastAsia="Times New Roman" w:hAnsi="Times New Roman" w:cs="Times New Roman"/>
                <w:b w:val="0"/>
                <w:i w:val="0"/>
                <w:color w:val="000000"/>
                <w:sz w:val="20"/>
                <w:u w:val="none"/>
              </w:rPr>
              <w:t>(Duly Authorized Officer)</w:t>
            </w:r>
          </w:p>
        </w:tc>
      </w:tr>
      <w:tr>
        <w:tblPrEx>
          <w:tblW w:w="10245" w:type="dxa"/>
          <w:tblLayout w:type="fixed"/>
        </w:tblPrEx>
        <w:trPr>
          <w:trHeight w:hRule="exact" w:val="285"/>
        </w:trPr>
        <w:tc>
          <w:tcPr>
            <w:tcW w:w="5145" w:type="dxa"/>
            <w:tcBorders>
              <w:top w:val="nil"/>
              <w:left w:val="nil"/>
              <w:bottom w:val="nil"/>
              <w:right w:val="nil"/>
            </w:tcBorders>
            <w:tcMar>
              <w:top w:w="0" w:type="dxa"/>
              <w:left w:w="0" w:type="dxa"/>
              <w:bottom w:w="0" w:type="dxa"/>
              <w:right w:w="0" w:type="dxa"/>
            </w:tcMar>
            <w:vAlign w:val="bottom"/>
          </w:tcPr>
          <w:p>
            <w:pPr>
              <w:pageBreakBefore w:val="0"/>
              <w:spacing w:before="0" w:after="0"/>
            </w:pPr>
          </w:p>
        </w:tc>
        <w:tc>
          <w:tcPr>
            <w:tcW w:w="5100" w:type="dxa"/>
            <w:tcBorders>
              <w:top w:val="nil"/>
              <w:left w:val="nil"/>
              <w:bottom w:val="nil"/>
              <w:right w:val="nil"/>
            </w:tcBorders>
            <w:tcMar>
              <w:top w:w="0" w:type="dxa"/>
              <w:left w:w="0" w:type="dxa"/>
              <w:bottom w:w="0" w:type="dxa"/>
              <w:right w:w="0" w:type="dxa"/>
            </w:tcMar>
            <w:vAlign w:val="bottom"/>
          </w:tcPr>
          <w:p>
            <w:pPr>
              <w:pageBreakBefore w:val="0"/>
              <w:spacing w:before="0" w:after="0"/>
            </w:pPr>
          </w:p>
        </w:tc>
      </w:tr>
    </w:tbl>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p>
      <w:pPr>
        <w:keepNext w:val="0"/>
        <w:keepLines w:val="0"/>
        <w:pageBreakBefore w:val="0"/>
        <w:widowControl/>
        <w:numPr>
          <w:ilvl w:val="0"/>
          <w:numId w:val="0"/>
        </w:numPr>
        <w:spacing w:before="0" w:after="0" w:line="288" w:lineRule="auto"/>
        <w:ind w:left="0" w:right="0" w:firstLine="0"/>
        <w:jc w:val="left"/>
        <w:outlineLvl w:val="9"/>
        <w:rPr>
          <w:rFonts w:ascii="Times New Roman" w:eastAsia="Times New Roman" w:hAnsi="Times New Roman" w:cs="Times New Roman"/>
          <w:b w:val="0"/>
          <w:i w:val="0"/>
          <w:sz w:val="20"/>
        </w:rPr>
      </w:pPr>
    </w:p>
    <w:sectPr>
      <w:pgSz w:w="12240" w:h="15840"/>
      <w:pgMar w:top="810" w:right="990" w:bottom="810" w:left="990" w:header="270" w:footer="27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spacing w:before="0" w:after="0" w:line="288" w:lineRule="auto"/>
      <w:ind w:left="270" w:right="27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fldChar w:fldCharType="begin"/>
    </w:r>
    <w:r>
      <w:rPr>
        <w:rFonts w:ascii="Times New Roman" w:eastAsia="Times New Roman" w:hAnsi="Times New Roman" w:cs="Times New Roman"/>
        <w:b w:val="0"/>
        <w:i w:val="0"/>
        <w:sz w:val="20"/>
      </w:rPr>
      <w:instrText xml:space="preserve"> PAGE </w:instrText>
    </w:r>
    <w:r>
      <w:rPr>
        <w:rFonts w:ascii="Times New Roman" w:eastAsia="Times New Roman" w:hAnsi="Times New Roman" w:cs="Times New Roman"/>
        <w:b w:val="0"/>
        <w:i w:val="0"/>
        <w:sz w:val="20"/>
      </w:rPr>
      <w:fldChar w:fldCharType="separate"/>
    </w:r>
    <w:r>
      <w:rPr>
        <w:rFonts w:ascii="Times New Roman" w:eastAsia="Times New Roman" w:hAnsi="Times New Roman" w:cs="Times New Roman"/>
        <w:b w:val="0"/>
        <w:i w:val="0"/>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spacing w:before="0" w:after="0" w:line="288" w:lineRule="auto"/>
      <w:ind w:left="270" w:right="270" w:firstLine="0"/>
      <w:jc w:val="left"/>
      <w:outlineLvl w:val="9"/>
      <w:rPr>
        <w:rFonts w:ascii="Times New Roman" w:eastAsia="Times New Roman" w:hAnsi="Times New Roman" w:cs="Times New Roman"/>
        <w:b w:val="0"/>
        <w:i w:val="0"/>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spacing w:before="120" w:after="0" w:line="288" w:lineRule="auto"/>
      <w:ind w:left="0" w:right="0" w:firstLine="0"/>
      <w:jc w:val="center"/>
      <w:outlineLvl w:val="9"/>
      <w:rPr>
        <w:rFonts w:ascii="Times New Roman" w:eastAsia="Times New Roman" w:hAnsi="Times New Roman" w:cs="Times New Roman"/>
        <w:b w:val="0"/>
        <w:i w:val="0"/>
        <w:sz w:val="20"/>
      </w:rPr>
    </w:pPr>
    <w:r>
      <w:rPr>
        <w:rFonts w:ascii="Times New Roman" w:eastAsia="Times New Roman" w:hAnsi="Times New Roman" w:cs="Times New Roman"/>
        <w:b w:val="0"/>
        <w:i w:val="0"/>
        <w:sz w:val="20"/>
      </w:rPr>
      <w:fldChar w:fldCharType="begin"/>
    </w:r>
    <w:r>
      <w:rPr>
        <w:rFonts w:ascii="Times New Roman" w:eastAsia="Times New Roman" w:hAnsi="Times New Roman" w:cs="Times New Roman"/>
        <w:b w:val="0"/>
        <w:i w:val="0"/>
        <w:sz w:val="20"/>
      </w:rPr>
      <w:instrText xml:space="preserve"> PAGE </w:instrText>
    </w:r>
    <w:r>
      <w:rPr>
        <w:rFonts w:ascii="Times New Roman" w:eastAsia="Times New Roman" w:hAnsi="Times New Roman" w:cs="Times New Roman"/>
        <w:b w:val="0"/>
        <w:i w:val="0"/>
        <w:sz w:val="20"/>
      </w:rPr>
      <w:fldChar w:fldCharType="separate"/>
    </w:r>
    <w:r>
      <w:rPr>
        <w:rFonts w:ascii="Times New Roman" w:eastAsia="Times New Roman" w:hAnsi="Times New Roman" w:cs="Times New Roman"/>
        <w:b w:val="0"/>
        <w:i w:val="0"/>
        <w:sz w:val="20"/>
      </w:rPr>
      <w:t>34</w:t>
    </w:r>
    <w:r>
      <w:rPr>
        <w:rFonts w:ascii="Times New Roman" w:eastAsia="Times New Roman" w:hAnsi="Times New Roman" w:cs="Times New Roman"/>
        <w:b w:val="0"/>
        <w:i w:val="0"/>
        <w:sz w:val="20"/>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spacing w:before="0" w:after="0" w:line="288" w:lineRule="auto"/>
      <w:ind w:left="270" w:right="270" w:firstLine="0"/>
      <w:jc w:val="left"/>
      <w:outlineLvl w:val="9"/>
      <w:rPr>
        <w:rFonts w:ascii="Times New Roman" w:eastAsia="Times New Roman" w:hAnsi="Times New Roman" w:cs="Times New Roman"/>
        <w:b w:val="0"/>
        <w:i w:val="0"/>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spacing w:before="0" w:after="0" w:line="288" w:lineRule="auto"/>
      <w:ind w:left="270" w:right="270" w:firstLine="0"/>
      <w:jc w:val="left"/>
      <w:outlineLvl w:val="9"/>
      <w:rPr>
        <w:rFonts w:ascii="Times New Roman" w:eastAsia="Times New Roman" w:hAnsi="Times New Roman" w:cs="Times New Roman"/>
        <w:b w:val="0"/>
        <w:i w:val="0"/>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keepNext w:val="0"/>
      <w:keepLines w:val="0"/>
      <w:pageBreakBefore w:val="0"/>
      <w:widowControl/>
      <w:numPr>
        <w:ilvl w:val="0"/>
        <w:numId w:val="0"/>
      </w:numPr>
      <w:tabs>
        <w:tab w:val="right" w:pos="10260"/>
      </w:tabs>
      <w:spacing w:before="120" w:after="0" w:line="288" w:lineRule="auto"/>
      <w:ind w:left="0" w:right="0" w:firstLine="0"/>
      <w:jc w:val="left"/>
      <w:outlineLvl w:val="9"/>
      <w:rPr>
        <w:rFonts w:ascii="Times New Roman" w:eastAsia="Times New Roman" w:hAnsi="Times New Roman" w:cs="Times New Roman"/>
        <w:b w:val="0"/>
        <w:i w:val="0"/>
        <w:sz w:val="12"/>
      </w:rPr>
    </w:pPr>
  </w:p>
  <w:p>
    <w:pPr>
      <w:pStyle w:val="Normal-wk"/>
      <w:keepNext w:val="0"/>
      <w:keepLines w:val="0"/>
      <w:pageBreakBefore w:val="0"/>
      <w:widowControl/>
      <w:numPr>
        <w:ilvl w:val="0"/>
        <w:numId w:val="0"/>
      </w:numPr>
      <w:tabs>
        <w:tab w:val="right" w:pos="10260"/>
      </w:tabs>
      <w:spacing w:before="0" w:after="0" w:line="288" w:lineRule="auto"/>
      <w:ind w:left="0" w:right="0" w:firstLine="0"/>
      <w:jc w:val="left"/>
      <w:outlineLvl w:val="9"/>
      <w:rPr>
        <w:rFonts w:ascii="Times New Roman" w:eastAsia="Times New Roman" w:hAnsi="Times New Roman" w:cs="Times New Roman"/>
        <w:b w:val="0"/>
        <w:i w:val="0"/>
        <w:sz w:val="18"/>
        <w:shd w:val="clear" w:color="auto" w:fill="auto"/>
      </w:rPr>
    </w:pPr>
    <w:hyperlink w:anchor="Section2" w:history="1">
      <w:r>
        <w:rPr>
          <w:rFonts w:ascii="Times New Roman" w:eastAsia="Times New Roman" w:hAnsi="Times New Roman" w:cs="Times New Roman"/>
          <w:b w:val="0"/>
          <w:i w:val="0"/>
          <w:color w:val="0000FF"/>
          <w:sz w:val="18"/>
          <w:u w:val="single"/>
          <w:shd w:val="clear" w:color="auto" w:fill="auto"/>
        </w:rPr>
        <w:t>Table of Contents</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styleLink w:val="bulletasterisk"/>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1">
    <w:nsid w:val="00000002"/>
    <w:multiLevelType w:val="multilevel"/>
    <w:tmpl w:val="00000002"/>
    <w:styleLink w:val="bulletcircl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2">
    <w:nsid w:val="00000003"/>
    <w:multiLevelType w:val="multilevel"/>
    <w:tmpl w:val="00000003"/>
    <w:styleLink w:val="bulletdagger"/>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3">
    <w:nsid w:val="00000004"/>
    <w:multiLevelType w:val="multilevel"/>
    <w:tmpl w:val="00000004"/>
    <w:styleLink w:val="bulletdash"/>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4">
    <w:nsid w:val="00000005"/>
    <w:multiLevelType w:val="multilevel"/>
    <w:tmpl w:val="00000005"/>
    <w:styleLink w:val="bulletlargebox"/>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5">
    <w:nsid w:val="00000006"/>
    <w:multiLevelType w:val="multilevel"/>
    <w:tmpl w:val="00000006"/>
    <w:styleLink w:val="bulletround"/>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6">
    <w:nsid w:val="00000007"/>
    <w:multiLevelType w:val="multilevel"/>
    <w:tmpl w:val="00000007"/>
    <w:styleLink w:val="bulletsquare"/>
    <w:lvl w:ilvl="0">
      <w:start w:val="1"/>
      <w:numFmt w:val="bullet"/>
      <w:lvlText w:val="▪"/>
      <w:lvlJc w:val="left"/>
      <w:pPr>
        <w:tabs>
          <w:tab w:val="num" w:pos="720"/>
        </w:tabs>
        <w:ind w:left="720" w:hanging="360"/>
      </w:pPr>
    </w:lvl>
    <w:lvl w:ilvl="1">
      <w:start w:val="1"/>
      <w:numFmt w:val="bullet"/>
      <w:lvlText w:val="•"/>
      <w:lvlJc w:val="left"/>
      <w:pPr>
        <w:tabs>
          <w:tab w:val="num" w:pos="1440"/>
        </w:tabs>
        <w:ind w:left="1440" w:hanging="360"/>
      </w:pPr>
    </w:lvl>
    <w:lvl w:ilvl="2">
      <w:start w:val="1"/>
      <w:numFmt w:val="bullet"/>
      <w:lvlText w:val="◦"/>
      <w:lvlJc w:val="left"/>
      <w:pPr>
        <w:tabs>
          <w:tab w:val="num" w:pos="2160"/>
        </w:tabs>
        <w:ind w:left="2160" w:hanging="180"/>
      </w:pPr>
    </w:lvl>
    <w:lvl w:ilvl="3">
      <w:start w:val="1"/>
      <w:numFmt w:val="bullet"/>
      <w:lvlText w:val="▪"/>
      <w:lvlJc w:val="left"/>
      <w:pPr>
        <w:tabs>
          <w:tab w:val="num" w:pos="2880"/>
        </w:tabs>
        <w:ind w:left="2880" w:hanging="360"/>
      </w:pPr>
    </w:lvl>
    <w:lvl w:ilvl="4">
      <w:start w:val="1"/>
      <w:numFmt w:val="bullet"/>
      <w:lvlText w:val="•"/>
      <w:lvlJc w:val="left"/>
      <w:pPr>
        <w:tabs>
          <w:tab w:val="num" w:pos="3600"/>
        </w:tabs>
        <w:ind w:left="3600" w:hanging="360"/>
      </w:pPr>
    </w:lvl>
    <w:lvl w:ilvl="5">
      <w:start w:val="1"/>
      <w:numFmt w:val="bullet"/>
      <w:lvlText w:val="◦"/>
      <w:lvlJc w:val="left"/>
      <w:pPr>
        <w:tabs>
          <w:tab w:val="num" w:pos="4320"/>
        </w:tabs>
        <w:ind w:left="4320" w:hanging="180"/>
      </w:pPr>
    </w:lvl>
    <w:lvl w:ilvl="6">
      <w:start w:val="1"/>
      <w:numFmt w:val="bullet"/>
      <w:lvlText w:val="▪"/>
      <w:lvlJc w:val="left"/>
      <w:pPr>
        <w:tabs>
          <w:tab w:val="num" w:pos="5040"/>
        </w:tabs>
        <w:ind w:left="5040" w:hanging="360"/>
      </w:pPr>
    </w:lvl>
    <w:lvl w:ilvl="7">
      <w:start w:val="1"/>
      <w:numFmt w:val="bullet"/>
      <w:lvlText w:val="•"/>
      <w:lvlJc w:val="left"/>
      <w:pPr>
        <w:tabs>
          <w:tab w:val="num" w:pos="5760"/>
        </w:tabs>
        <w:ind w:left="5760" w:hanging="360"/>
      </w:pPr>
    </w:lvl>
    <w:lvl w:ilvl="8">
      <w:start w:val="1"/>
      <w:numFmt w:val="bullet"/>
      <w:lvlText w:val="◦"/>
      <w:lvlJc w:val="left"/>
      <w:pPr>
        <w:tabs>
          <w:tab w:val="num" w:pos="6480"/>
        </w:tabs>
        <w:ind w:left="6480" w:hanging="180"/>
      </w:pPr>
    </w:lvl>
  </w:abstractNum>
  <w:abstractNum w:abstractNumId="7">
    <w:nsid w:val="00000008"/>
    <w:multiLevelType w:val="multilevel"/>
    <w:tmpl w:val="00000008"/>
    <w:styleLink w:val="listarabi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multilevel"/>
    <w:tmpl w:val="00000009"/>
    <w:styleLink w:val="listlatinlowercas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9">
    <w:nsid w:val="0000000A"/>
    <w:multiLevelType w:val="multilevel"/>
    <w:tmpl w:val="0000000A"/>
    <w:styleLink w:val="listlatinuppercas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B"/>
    <w:multiLevelType w:val="multilevel"/>
    <w:tmpl w:val="0000000B"/>
    <w:styleLink w:val="listromanlowercase"/>
    <w:lvl w:ilvl="0">
      <w:start w:val="1"/>
      <w:numFmt w:val="lowerRoman"/>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right"/>
      <w:pPr>
        <w:tabs>
          <w:tab w:val="num" w:pos="5040"/>
        </w:tabs>
        <w:ind w:left="5040" w:hanging="360"/>
      </w:pPr>
    </w:lvl>
    <w:lvl w:ilvl="7">
      <w:start w:val="1"/>
      <w:numFmt w:val="decimal"/>
      <w:lvlText w:val="%8."/>
      <w:lvlJc w:val="left"/>
      <w:pPr>
        <w:tabs>
          <w:tab w:val="num" w:pos="5760"/>
        </w:tabs>
        <w:ind w:left="5760" w:hanging="360"/>
      </w:pPr>
    </w:lvl>
    <w:lvl w:ilvl="8">
      <w:start w:val="1"/>
      <w:numFmt w:val="lowerLetter"/>
      <w:lvlText w:val="%9."/>
      <w:lvlJc w:val="left"/>
      <w:pPr>
        <w:tabs>
          <w:tab w:val="num" w:pos="6480"/>
        </w:tabs>
        <w:ind w:left="6480" w:hanging="180"/>
      </w:pPr>
    </w:lvl>
  </w:abstractNum>
  <w:abstractNum w:abstractNumId="11">
    <w:nsid w:val="0000000C"/>
    <w:multiLevelType w:val="multilevel"/>
    <w:tmpl w:val="0000000C"/>
    <w:styleLink w:val="listromanuppercase"/>
    <w:lvl w:ilvl="0">
      <w:start w:val="1"/>
      <w:numFmt w:val="upperRoman"/>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180"/>
      </w:pPr>
    </w:lvl>
    <w:lvl w:ilvl="3">
      <w:start w:val="1"/>
      <w:numFmt w:val="lowerLetter"/>
      <w:lvlText w:val="%4."/>
      <w:lvlJc w:val="left"/>
      <w:pPr>
        <w:tabs>
          <w:tab w:val="num" w:pos="2880"/>
        </w:tabs>
        <w:ind w:left="2880" w:hanging="360"/>
      </w:pPr>
    </w:lvl>
    <w:lvl w:ilvl="4">
      <w:start w:val="1"/>
      <w:numFmt w:val="lowerRoman"/>
      <w:lvlText w:val="%5."/>
      <w:lvlJc w:val="right"/>
      <w:pPr>
        <w:tabs>
          <w:tab w:val="num" w:pos="3600"/>
        </w:tabs>
        <w:ind w:left="3600" w:hanging="360"/>
      </w:pPr>
    </w:lvl>
    <w:lvl w:ilvl="5">
      <w:start w:val="1"/>
      <w:numFmt w:val="decimal"/>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Roman"/>
      <w:lvlText w:val="%8."/>
      <w:lvlJc w:val="right"/>
      <w:pPr>
        <w:tabs>
          <w:tab w:val="num" w:pos="5760"/>
        </w:tabs>
        <w:ind w:left="5760" w:hanging="360"/>
      </w:pPr>
    </w:lvl>
    <w:lvl w:ilvl="8">
      <w:start w:val="1"/>
      <w:numFmt w:val="decimal"/>
      <w:lvlText w:val="%9."/>
      <w:lvlJc w:val="left"/>
      <w:pPr>
        <w:tabs>
          <w:tab w:val="num" w:pos="6480"/>
        </w:tabs>
        <w:ind w:left="6480" w:hanging="180"/>
      </w:pPr>
    </w:lvl>
  </w:abstractNum>
  <w:abstractNum w:abstractNumId="12">
    <w:nsid w:val="0000000D"/>
    <w:multiLevelType w:val="multilevel"/>
    <w:tmpl w:val="0000000D"/>
    <w:styleLink w:val="outlinearabic"/>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180"/>
      </w:pPr>
    </w:lvl>
    <w:lvl w:ilvl="3">
      <w:start w:val="1"/>
      <w:numFmt w:val="decimal"/>
      <w:lvlText w:val="%1.%2.%3.%4."/>
      <w:lvlJc w:val="left"/>
      <w:pPr>
        <w:tabs>
          <w:tab w:val="num" w:pos="2880"/>
        </w:tabs>
        <w:ind w:left="2880" w:hanging="360"/>
      </w:pPr>
    </w:lvl>
    <w:lvl w:ilvl="4">
      <w:start w:val="1"/>
      <w:numFmt w:val="decimal"/>
      <w:lvlText w:val="%1.%2.%3.%4.%5."/>
      <w:lvlJc w:val="left"/>
      <w:pPr>
        <w:tabs>
          <w:tab w:val="num" w:pos="3600"/>
        </w:tabs>
        <w:ind w:left="3600" w:hanging="360"/>
      </w:pPr>
    </w:lvl>
    <w:lvl w:ilvl="5">
      <w:start w:val="1"/>
      <w:numFmt w:val="decimal"/>
      <w:lvlText w:val="%1.%2.%3.%4.%5.%6."/>
      <w:lvlJc w:val="left"/>
      <w:pPr>
        <w:tabs>
          <w:tab w:val="num" w:pos="4320"/>
        </w:tabs>
        <w:ind w:left="4320" w:hanging="180"/>
      </w:pPr>
    </w:lvl>
    <w:lvl w:ilvl="6">
      <w:start w:val="1"/>
      <w:numFmt w:val="decimal"/>
      <w:lvlText w:val="%1.%2.%3.%4.%5.%6.%7."/>
      <w:lvlJc w:val="left"/>
      <w:pPr>
        <w:tabs>
          <w:tab w:val="num" w:pos="5040"/>
        </w:tabs>
        <w:ind w:left="5040" w:hanging="360"/>
      </w:pPr>
    </w:lvl>
    <w:lvl w:ilvl="7">
      <w:start w:val="1"/>
      <w:numFmt w:val="decimal"/>
      <w:lvlText w:val="%1.%2.%3.%4.%5.%6.%7.%8."/>
      <w:lvlJc w:val="left"/>
      <w:pPr>
        <w:tabs>
          <w:tab w:val="num" w:pos="5760"/>
        </w:tabs>
        <w:ind w:left="5760" w:hanging="360"/>
      </w:pPr>
    </w:lvl>
    <w:lvl w:ilvl="8">
      <w:start w:val="1"/>
      <w:numFmt w:val="decimal"/>
      <w:lvlText w:val="%1.%2.%3.%4.%5.%6.%7.%8.%9."/>
      <w:lvlJc w:val="left"/>
      <w:pPr>
        <w:tabs>
          <w:tab w:val="num" w:pos="6480"/>
        </w:tabs>
        <w:ind w:left="6480" w:hanging="180"/>
      </w:pPr>
    </w:lvl>
  </w:abstractNum>
  <w:abstractNum w:abstractNumId="13">
    <w:nsid w:val="0000000E"/>
    <w:multiLevelType w:val="multilevel"/>
    <w:tmpl w:val="00000008"/>
    <w:lvl w:ilvl="0">
      <w:start w:val="3"/>
      <w:numFmt w:val="decimal"/>
      <w:lvlText w:val="Item %1."/>
      <w:lvlJc w:val="left"/>
      <w:pPr>
        <w:tabs>
          <w:tab w:val="num" w:pos="1440"/>
        </w:tabs>
        <w:ind w:left="720" w:hanging="360"/>
      </w:pPr>
      <w:rPr>
        <w:rFonts w:ascii="Times New Roman" w:eastAsia="Times New Roman" w:hAnsi="Times New Roman" w:cs="Times New Roman"/>
        <w:b/>
        <w:i w:val="0"/>
        <w:strike w:val="0"/>
        <w:color w:val="000000"/>
        <w:sz w:val="20"/>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0F"/>
    <w:multiLevelType w:val="multilevel"/>
    <w:tmpl w:val="00000008"/>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noLeading/>
    <w:suppressTopSpacingWP/>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kern w:val="16"/>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customStyle="1" w:styleId="bulletasterisk">
    <w:name w:val="bullet.asterisk"/>
    <w:pPr>
      <w:numPr>
        <w:numId w:val="1"/>
      </w:numPr>
    </w:pPr>
  </w:style>
  <w:style w:type="numbering" w:customStyle="1" w:styleId="bulletcircle">
    <w:name w:val="bullet.circle"/>
    <w:pPr>
      <w:numPr>
        <w:numId w:val="2"/>
      </w:numPr>
    </w:pPr>
  </w:style>
  <w:style w:type="numbering" w:customStyle="1" w:styleId="bulletdagger">
    <w:name w:val="bullet.dagger"/>
    <w:pPr>
      <w:numPr>
        <w:numId w:val="3"/>
      </w:numPr>
    </w:pPr>
  </w:style>
  <w:style w:type="numbering" w:customStyle="1" w:styleId="bulletdash">
    <w:name w:val="bullet.dash"/>
    <w:pPr>
      <w:numPr>
        <w:numId w:val="4"/>
      </w:numPr>
    </w:pPr>
  </w:style>
  <w:style w:type="numbering" w:customStyle="1" w:styleId="bulletlargebox">
    <w:name w:val="bullet.largebox"/>
    <w:pPr>
      <w:numPr>
        <w:numId w:val="5"/>
      </w:numPr>
    </w:pPr>
  </w:style>
  <w:style w:type="numbering" w:customStyle="1" w:styleId="bulletround">
    <w:name w:val="bullet.round"/>
    <w:pPr>
      <w:numPr>
        <w:numId w:val="6"/>
      </w:numPr>
    </w:pPr>
  </w:style>
  <w:style w:type="numbering" w:customStyle="1" w:styleId="bulletsquare">
    <w:name w:val="bullet.square"/>
    <w:pPr>
      <w:numPr>
        <w:numId w:val="7"/>
      </w:numPr>
    </w:pPr>
  </w:style>
  <w:style w:type="numbering" w:customStyle="1" w:styleId="listarabic">
    <w:name w:val="list.arabic"/>
    <w:pPr>
      <w:numPr>
        <w:numId w:val="8"/>
      </w:numPr>
    </w:pPr>
  </w:style>
  <w:style w:type="numbering" w:customStyle="1" w:styleId="listlatinlowercase">
    <w:name w:val="list.latin.lowercase"/>
    <w:pPr>
      <w:numPr>
        <w:numId w:val="9"/>
      </w:numPr>
    </w:pPr>
  </w:style>
  <w:style w:type="numbering" w:customStyle="1" w:styleId="listlatinuppercase">
    <w:name w:val="list.latin.uppercase"/>
    <w:pPr>
      <w:numPr>
        <w:numId w:val="10"/>
      </w:numPr>
    </w:pPr>
  </w:style>
  <w:style w:type="numbering" w:customStyle="1" w:styleId="listromanlowercase">
    <w:name w:val="list.roman.lowercase"/>
    <w:pPr>
      <w:numPr>
        <w:numId w:val="11"/>
      </w:numPr>
    </w:pPr>
  </w:style>
  <w:style w:type="numbering" w:customStyle="1" w:styleId="listromanuppercase">
    <w:name w:val="list.roman.uppercase"/>
    <w:pPr>
      <w:numPr>
        <w:numId w:val="12"/>
      </w:numPr>
    </w:pPr>
  </w:style>
  <w:style w:type="numbering" w:customStyle="1" w:styleId="outlinearabic">
    <w:name w:val="outline.arabic"/>
    <w:pPr>
      <w:numPr>
        <w:numId w:val="13"/>
      </w:numPr>
    </w:pPr>
  </w:style>
  <w:style w:type="paragraph" w:customStyle="1" w:styleId="Normal-wk">
    <w:name w:val="Normal-wk"/>
    <w:qFormat/>
    <w:pPr>
      <w:keepNext w:val="0"/>
      <w:spacing w:before="120" w:after="0" w:line="288" w:lineRule="auto"/>
      <w:ind w:left="0" w:firstLine="0"/>
      <w:jc w:val="left"/>
    </w:pPr>
    <w:rPr>
      <w:rFonts w:ascii="Times New Roman" w:eastAsia="Times New Roman" w:hAnsi="Times New Roman" w:cs="Times New Roman"/>
      <w:b w:val="0"/>
      <w:i w:val="0"/>
      <w:color w:val="000000"/>
      <w:spacing w:val="0"/>
      <w:sz w:val="20"/>
    </w:rPr>
  </w:style>
  <w:style w:type="paragraph" w:customStyle="1" w:styleId="PARTheading">
    <w:name w:val="PART heading"/>
    <w:qFormat/>
    <w:pPr>
      <w:keepNext w:val="0"/>
      <w:spacing w:before="0" w:after="0" w:line="288" w:lineRule="auto"/>
      <w:ind w:left="0" w:firstLine="0"/>
      <w:jc w:val="center"/>
    </w:pPr>
    <w:rPr>
      <w:rFonts w:ascii="Times New Roman" w:eastAsia="Times New Roman" w:hAnsi="Times New Roman" w:cs="Times New Roman"/>
      <w:b/>
      <w:i w:val="0"/>
      <w:color w:val="000000"/>
      <w:spacing w:val="0"/>
      <w:sz w:val="20"/>
    </w:rPr>
  </w:style>
  <w:style w:type="paragraph" w:customStyle="1" w:styleId="ItemandNotesheading">
    <w:name w:val="Item and Notes heading"/>
    <w:qFormat/>
    <w:pPr>
      <w:keepNext w:val="0"/>
      <w:spacing w:before="240" w:after="0" w:line="288" w:lineRule="auto"/>
      <w:ind w:left="0" w:firstLine="0"/>
      <w:jc w:val="left"/>
    </w:pPr>
    <w:rPr>
      <w:rFonts w:ascii="Times New Roman" w:eastAsia="Times New Roman" w:hAnsi="Times New Roman" w:cs="Times New Roman"/>
      <w:b/>
      <w:i w:val="0"/>
      <w:color w:val="000000"/>
      <w:spacing w:val="0"/>
      <w:sz w:val="20"/>
    </w:rPr>
  </w:style>
  <w:style w:type="paragraph" w:customStyle="1" w:styleId="Subheading">
    <w:name w:val="Subheading"/>
    <w:qFormat/>
    <w:pPr>
      <w:keepNext w:val="0"/>
      <w:spacing w:before="180" w:after="0" w:line="288" w:lineRule="auto"/>
      <w:ind w:left="0" w:firstLine="0"/>
      <w:jc w:val="left"/>
    </w:pPr>
    <w:rPr>
      <w:rFonts w:ascii="Times New Roman" w:eastAsia="Times New Roman" w:hAnsi="Times New Roman" w:cs="Times New Roman"/>
      <w:b w:val="0"/>
      <w:i/>
      <w:color w:val="000000"/>
      <w:spacing w:val="0"/>
      <w:sz w:val="20"/>
    </w:rPr>
  </w:style>
  <w:style w:type="table" w:customStyle="1" w:styleId="TableNormal0">
    <w:name w:val="Table (Normal)"/>
    <w:pPr>
      <w:spacing w:before="0" w:after="0" w:line="240" w:lineRule="auto"/>
      <w:ind w:left="0" w:firstLine="0"/>
    </w:pPr>
    <w:rPr>
      <w:rFonts w:ascii="Times New Roman" w:eastAsia="Times New Roman" w:hAnsi="Times New Roman" w:cs="Times New Roman"/>
      <w:b w:val="0"/>
      <w:i w:val="0"/>
      <w:color w:val="000000"/>
      <w:spacing w:val="0"/>
      <w:sz w:val="20"/>
    </w:rPr>
    <w:tblPr/>
  </w:style>
  <w:style w:type="character" w:styleId="LineNumber">
    <w:name w:val="line number"/>
    <w:basedOn w:val="DefaultParagraphFont"/>
    <w:uiPriority w:val="99"/>
    <w:rsid w:val="0041372D"/>
    <w:rPr>
      <w:rFonts w:ascii="Times New Roman" w:eastAsia="Times New Roman" w:hAnsi="Times New Roman" w:cs="Times New Roman"/>
      <w:sz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yperlink" Target="https://www.sec.gov/Archives/edgar/data/918541/000110465926079868/tm2615004d6_ex10-1.htm" TargetMode="External" /><Relationship Id="rId12" Type="http://schemas.openxmlformats.org/officeDocument/2006/relationships/hyperlink" Target="https://www.sec.gov/Archives/edgar/data/918541/000110465926079868/tm2615004d6_ex10-2.htm" TargetMode="External" /><Relationship Id="rId13" Type="http://schemas.openxmlformats.org/officeDocument/2006/relationships/hyperlink" Target="nn-exchangeagreement.htm" TargetMode="External" /><Relationship Id="rId14" Type="http://schemas.openxmlformats.org/officeDocument/2006/relationships/hyperlink" Target="formofperformanceshareun.htm" TargetMode="External" /><Relationship Id="rId15" Type="http://schemas.openxmlformats.org/officeDocument/2006/relationships/hyperlink" Target="https://www.sec.gov/Archives/edgar/data/918541/000091854126000057/nn-letteragreement.htm" TargetMode="External" /><Relationship Id="rId16" Type="http://schemas.openxmlformats.org/officeDocument/2006/relationships/hyperlink" Target="amend2-exaxconformedcred.htm" TargetMode="External" /><Relationship Id="rId17" Type="http://schemas.openxmlformats.org/officeDocument/2006/relationships/hyperlink" Target="letterofunderstandingbya.htm" TargetMode="External" /><Relationship Id="rId18" Type="http://schemas.openxmlformats.org/officeDocument/2006/relationships/hyperlink" Target="separationagreementbyand.htm" TargetMode="External" /><Relationship Id="rId19" Type="http://schemas.openxmlformats.org/officeDocument/2006/relationships/hyperlink" Target="wurl://docs.v1/doc:89cfb0131e0e4cc9b63c6d08ffc14016" TargetMode="External" /><Relationship Id="rId2" Type="http://schemas.openxmlformats.org/officeDocument/2006/relationships/webSettings" Target="webSettings.xml" /><Relationship Id="rId20" Type="http://schemas.openxmlformats.org/officeDocument/2006/relationships/hyperlink" Target="wurl://docs.v1/doc:a4114762844e45e2880f72ec5a47263c" TargetMode="External" /><Relationship Id="rId21" Type="http://schemas.openxmlformats.org/officeDocument/2006/relationships/hyperlink" Target="wurl://docs.v1/doc:31b0be7b1863461d996a9a3f64cc02d7" TargetMode="External" /><Relationship Id="rId22" Type="http://schemas.openxmlformats.org/officeDocument/2006/relationships/hyperlink" Target="wurl://docs.v1/doc:f115337adfad4bd389d37df19378dc58" TargetMode="Externa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34</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NN, Inc. Form 10-Q 2026-Q2</dc:title>
  <cp:revision>1</cp:revision>
</cp:coreProperties>
</file>