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March 13, 2020 (March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444500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08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089"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089" w:gutter="0" w:footer="0" w:header="0"/>
          <w:type w:val="continuous"/>
        </w:sectPr>
      </w:pPr>
    </w:p>
    <w:p>
      <w:pPr>
        <w:spacing w:after="0" w:line="5" w:lineRule="exact"/>
        <w:rPr>
          <w:sz w:val="24"/>
          <w:szCs w:val="24"/>
          <w:color w:val="auto"/>
        </w:rPr>
      </w:pPr>
    </w:p>
    <w:p>
      <w:pPr>
        <w:jc w:val="center"/>
        <w:ind w:right="91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1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2000"/>
          </w:cols>
          <w:pgMar w:left="436" w:top="368" w:right="439" w:bottom="1089"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4" w:space="720"/>
            <w:col w:w="2100"/>
          </w:cols>
          <w:pgMar w:left="436" w:top="368" w:right="439" w:bottom="1089"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089" w:gutter="0" w:footer="0" w:header="0"/>
          <w:type w:val="continuous"/>
        </w:sectPr>
      </w:pPr>
    </w:p>
    <w:p>
      <w:pPr>
        <w:spacing w:after="0" w:line="21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89"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tab/>
        <w:t>RESULTS OF OPERATIONS AND FINANCIAL CONDITION.</w:t>
      </w:r>
    </w:p>
    <w:p>
      <w:pPr>
        <w:spacing w:after="0" w:line="121"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On March 12, 2020, NN, Inc. (the “Company”) issued a press release announcing the Company’s financial results for the quarter and year ended December 31, 2019. The full text of the press release is furnished as Exhibit 99.1 and is incorporated herein by reference.</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such filing.</w:t>
      </w:r>
    </w:p>
    <w:p>
      <w:pPr>
        <w:spacing w:after="0" w:line="35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4040" w:type="dxa"/>
            <w:vAlign w:val="bottom"/>
            <w:tcBorders>
              <w:top w:val="single" w:sz="8" w:color="auto"/>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NN, Inc., dated March 12, 2020</w:t>
              </w:r>
            </w:hyperlink>
          </w:p>
        </w:tc>
        <w:tc>
          <w:tcPr>
            <w:tcW w:w="5520" w:type="dxa"/>
            <w:vAlign w:val="bottom"/>
            <w:tcBorders>
              <w:top w:val="single" w:sz="8" w:color="auto"/>
            </w:tcBorders>
          </w:tcPr>
          <w:p>
            <w:pPr>
              <w:spacing w:after="0"/>
              <w:rPr>
                <w:sz w:val="22"/>
                <w:szCs w:val="22"/>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480060</wp:posOffset>
            </wp:positionV>
            <wp:extent cx="951230" cy="934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230" cy="93472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171450</wp:posOffset>
            </wp:positionV>
            <wp:extent cx="199707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70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Charlotte, NC 28277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FOURTH QUARTER AND FULL YEAR 2019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Year Net Sales Increase 10% to $847.5M Driven by Sales from Acquired Businesses and Organic Growth in Life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Sciences</w:t>
      </w:r>
    </w:p>
    <w:p>
      <w:pPr>
        <w:spacing w:after="0" w:line="20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Charlotte, N.C., March 12, 2020 – </w:t>
      </w:r>
      <w:r>
        <w:rPr>
          <w:rFonts w:ascii="Arial" w:cs="Arial" w:eastAsia="Arial" w:hAnsi="Arial"/>
          <w:sz w:val="18"/>
          <w:szCs w:val="18"/>
          <w:color w:val="auto"/>
        </w:rPr>
        <w:t>NN, Inc., (NASDAQ: NNBR), a diversified industrial company, today reported its financial results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the year ended December 31,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GAAP net sales were $198.6 million, compared to $199.5 million for the fourth quarter of 2018. Life Sciences net sales increased by $8.9 million during the quarter due to increased core volumes, which were offset by lower demand in the automotive and general industrial end markets.</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Fourth quarter 2019 GAAP loss from operations was $4.7 million, compared to a GAAP loss of $188.4 million for the same period in 2018. The loss from operations in the fourth quarter 2018 was largely driven by a goodwill impairment charge of $182.5 million and a fixed asset impairment charge of $5.2 million. Gross profit increased in the fourth quarter of 2019 by $1.8 million, offset by higher depreciation and amortization expenses and SG&amp;A expenses.</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Fourth quarter 2019 GAAP net loss was $14.1 million, compared to a GAAP net loss of $217.4 million in the fourth quarter of 2018. The higher GAAP net loss in 2018 was primarily due to the goodwill impairment charges and fixed asset impairment charges taken in 2018 and an impairment charge of $16.6 million taken against the investment in NN’s China joint venture.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Net sales in 2019 increased $76.8 million to $847.5 million, or 10%, compared to $770.7 million in 2018, attributable to $75.3 million in sales from businesses acquired in 2018, as well as organic growth of $9.8 million, driven by higher core volume in the Life Sciences group. This was partially offset by lower demand within the automotive end market in NN’s Mobile Solutions group as well as unfavorable foreign exchange effects of $8.4 million in Europe, South America and Asia.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GAAP income from operations was $9.9 million, compared to a $179.9 million GAAP loss for the same period in 2018. The 2018 loss was driven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certain one-time charges including a goodwill impairment of $182.5 million, fixed asset impairment of $5.2 million and acquisition expenses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$5.9 million. Gross profit grew by $24.3 million in 2019 from increased sales, offset by higher SG&amp;A costs of $9.6 million, including $7.4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related to 2018 acquisition costs, and a depreciation and amortization increase of $20.7 million.</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GAAP net loss in 2019 was $46.7 million, compared to GAAP net loss of $263.0 million in 2018. GAAP net loss in 2018 was primarily driven by the aforementioned impairment charges.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 – Fourth Quarter 2019</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Fourth quarter 2019 adjusted EBITDA was $33.2 million, or 16.7% of sales, versus $34.4 million, or 17.3% of sales, in the same prior year period. Adjusted income from operations for the fourth quarter of 2019 was $19.8 million, compared to $23.6 million for the same period in 2018. Fourth quarter 2019 adjusted net income was $5.7 million, or $0.14 per diluted share, compared to $12.3 million, or $0.29 per diluted share, for the same period in 2018. Free cash flow for the fourth quarter 2019 was $2.3 million.</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Warren Veltman, President and Chief Executive Officer, stated, “In the fourth quarter, we enhanced our financial flexibility by issuing preferred stock, paying off our revolver, and extending our revolver and term B loans. In addition to these actions, we continue to find new ways to reduce corporate overhead and streamline costs, such as consolidating NN’s senior management leadership of the Mobile Solutions and Power Solutions business groups under the leadership of John Buchan and naming Chris Qualters as Executive Vice President of our Life Sciences segment. These combined initiatives have helped us make real progress in reducing the overall leverage of the company as we look to continue improving our capital structure and determine the best way to generate value for our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fourth quarter of 2019 were $88.4 million, compared to $79.5 million in the fourth quarter of 2018, an increase of 11.2% or</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$8.9 million. Adjusted income from operations for the fourth quarter of 2019 was $17.9 million, compared to $15.7 million in the fourth quarter of 2018. Performance was driven primarily by increased core volumes in the orthopedic and medical/surgical end markets along with realization of synergy capture initiatives.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for the fourth quarter of 2019 were $67.2 million, compared to $75.4 million in the fourth quarter of 2018, a decrease of $8.2 million or 10.9%. Adjusted income from operations for the fourth quarter of 2019 was $1.5 million, compared to $4.5 million in the fourth quarter of 2018. Lower demand within the automotive market, impact of the United Auto Workers strike against General Motors and an unfavorable tariff environment drove the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sales for the fourth quarter of 2019 were $43.6 million, compared to $45.2 million in the fourth quarter of 2018, a decrease of $1.6 million or 3.5%, driven by lower demand in the electrical products end market in China, primarily as a result of increased tariffs. Adjusted income from operations for the quarter was $5.8 million, consistent with the fourth quarter of 2018.</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Adjusted Results – Full Year 2019</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Adjusted EBITDA was $146.6 million or 17.3% of sales versus 2018 adjusted EBITDA of $136.0 million, or 17.6% of sales. Adjusted income from operations for 2019 was $97.0 million, compared to $91.9 million in 2018. Adjusted net income was $35.0 million in 2019, or $0.83 per diluted share, compared to $39.0 million, or $1.23 per diluted share, for the same period in 2018. Free cash flow for 2019 was negative $4.8 million. Net debt decreased by $75.7 million in 2019 to $757.6 million from $833.4 million in the same period a year ago.</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Mr. Veltman continued, “NN has fundamentally solid businesses, strong relationships with our customers and suppliers as well as a passionate global workforce. I am proud to lead this company and as our financial position continues to gradually improve, I believe we are better-positioned to continue advancing a number of our strategic initiatives in 2020.</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“While I am disappointed in our overall free cash flow generation for the year, it was in part impacted by our strategic decision to continue to pay our accounts payable on time in order to maintain good relationships with our suppliers. By reducing our 2019 year-end accounts payable balance, we expect to see a free cash flow benefit in the first quarter compared to last year.</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“Looking ahead, we expect the global automotive slowdown and uncertainty caused by the coronavirus to adversely impact our results. To offset these factors, we will continue to pull levers that are in our control, including looking for more ways to enhance our commercial performance, improve our cost structure, reduce our inventory levels and accelerate accounts receivable collections.”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were $359.7 million in 2019, compared to $248.2 million in 2018, an increase of $111.6 million or 45.0%. Adjusted income from operations in 2019 was $76.0 million, compared to $51.6 million in 2018. Sales growth in 2019 was driven by $71.4 million of net sales attributable to the Paragon Medical and Bridgemedica acquisitions as well as a $41.4 million increase in organic growth as a result of an increase in core volume primarily within the orthopedic and medical/surgical end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sales for 2019 were $297.7 million, compared to $335.0 million in 2018, a decrease of $37.3 million or 11.1%. Adjusted income from operations in 2019 was $17.9 million, compared to $30.5 million in 2018. Lower demand within the automotive markets and delays in new product launches drove the decline in both net sales and adjusted income from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Net sales for 2019 were $192.1 million, compared to $189.8 million in 2018, an increase of $2.3 million or 1.2%. Adjusted income from operations in 2019 was $32.8 million, compared to $33.6 million in 2018. Lower demand in the electrical products end market due to an unfavorable tariff environment drove the margin decline.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left="4" w:right="20" w:hanging="4"/>
        <w:spacing w:after="0" w:line="286" w:lineRule="auto"/>
        <w:tabs>
          <w:tab w:leader="none" w:pos="309"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will discuss its results during its quarterly investor conference call on March 13, 2020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1-800-353-6461 or 1-334-323-0501 Conference ID: 3273655. For those who are unavailable to listen to the live broadcast, a replay will be available shortly after the call for 30 days.</w:t>
      </w:r>
    </w:p>
    <w:p>
      <w:pPr>
        <w:spacing w:after="0" w:line="165" w:lineRule="exact"/>
        <w:rPr>
          <w:sz w:val="20"/>
          <w:szCs w:val="20"/>
          <w:color w:val="auto"/>
        </w:rPr>
      </w:pPr>
    </w:p>
    <w:p>
      <w:pPr>
        <w:ind w:left="4" w:hanging="4"/>
        <w:spacing w:after="0" w:line="275" w:lineRule="auto"/>
        <w:tabs>
          <w:tab w:leader="none" w:pos="309"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discloses in this press release the non-GAAP financial measures of adjusted income from operations, adjusted EBITDA, adjusted net income (loss), adjusted net income per diluted share, free cash flow and net debt. Each of adjusted income from operations, adjusted EBITDA, adjusted net income (loss), adjusted net income per diluted share and free cash flow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 Net debt is defined as debt and finance leases less cash.</w:t>
      </w:r>
    </w:p>
    <w:p>
      <w:pPr>
        <w:spacing w:after="0" w:line="176"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EBITDA, adjusted net income (loss), adjusted net income (loss) per diluted share and free cash flow to the U.S. GAAP financial measures of income from operations, net income (loss), net income (loss) per diluted share and net cash provided by (used in) operating activities.</w:t>
      </w:r>
    </w:p>
    <w:p>
      <w:pPr>
        <w:spacing w:after="0" w:line="184" w:lineRule="exact"/>
        <w:rPr>
          <w:sz w:val="20"/>
          <w:szCs w:val="20"/>
          <w:color w:val="auto"/>
        </w:rPr>
      </w:pPr>
    </w:p>
    <w:p>
      <w:pPr>
        <w:ind w:left="4" w:right="46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4" w:lineRule="exact"/>
        <w:rPr>
          <w:sz w:val="20"/>
          <w:szCs w:val="20"/>
          <w:color w:val="auto"/>
        </w:rPr>
      </w:pPr>
    </w:p>
    <w:p>
      <w:pPr>
        <w:ind w:left="4" w:right="80"/>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disruptions in the Company’s businesses and global economies and other impacts from further spread of the coronavirus outbreak,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left="4" w:right="16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Except as required by law, we undertake no obligation to update or revise any forward-looking statements we make in our press releases, whether as a result of new information, future events or otherwise.</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Financial Tables Follow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221"/>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198,632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199,477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847,451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154,279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156,923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641,639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589,181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42,554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205,812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181,476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24,312</w:t>
            </w:r>
          </w:p>
        </w:tc>
        <w:tc>
          <w:tcPr>
            <w:tcW w:w="14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22,285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103,223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93,583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22,876</w:t>
            </w:r>
          </w:p>
        </w:tc>
        <w:tc>
          <w:tcPr>
            <w:tcW w:w="14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19,330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91,846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71,128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182,542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182,542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(188,380)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(179,864)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14,663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61,243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2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19,562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on change in interest rate swap fair value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 and share of net income from joint venture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(20,233)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0"/>
              </w:rPr>
              <w:t>(202,490)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(51,699)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(262,010)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4,812</w:t>
            </w:r>
          </w:p>
        </w:tc>
        <w:tc>
          <w:tcPr>
            <w:tcW w:w="14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3,277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13,413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(14,085)</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(217,424)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(46,741)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(262,987)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(14,085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(217,424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(46,741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(262,987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Reclassification adjustment for discontinued operations</w:t>
            </w: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7,509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interest rate swap, net of tax</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(10,479)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ind w:left="720"/>
              <w:spacing w:after="0"/>
              <w:rPr>
                <w:sz w:val="20"/>
                <w:szCs w:val="20"/>
                <w:color w:val="auto"/>
              </w:rPr>
            </w:pPr>
            <w:r>
              <w:rPr>
                <w:rFonts w:ascii="Arial" w:cs="Arial" w:eastAsia="Arial" w:hAnsi="Arial"/>
                <w:sz w:val="18"/>
                <w:szCs w:val="18"/>
                <w:color w:val="auto"/>
                <w:w w:val="96"/>
              </w:rPr>
              <w:t>Less: reclassification adjustment for (gains) losses included in net income, net of tax</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9,875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(13,240)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(221,672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(59,981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(276,596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common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Income (loss) from continuing operations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(5.18)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(5.18)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42,078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28,688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42,030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31,678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Diluted net income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Income from discontinued operations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131,558</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133,421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120,925</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5,973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21,592</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302,980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374,513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361,028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65,496</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439,095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439,452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329,260</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376,248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8,885</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1,541,984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1,500,902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160" w:type="dxa"/>
            <w:vAlign w:val="bottom"/>
            <w:gridSpan w:val="2"/>
          </w:tcPr>
          <w:p>
            <w:pPr>
              <w:ind w:left="40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57,340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65,694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wages and benefits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30,428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24,636</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19,160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31,280</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6,652</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23,420</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139,481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85,799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91,838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Non-current income tax payable</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757,440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811,471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66,980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29,417</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liabilities</w:t>
            </w:r>
          </w:p>
        </w:tc>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1,095,695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1,081,631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93,012</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501,615</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508,655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(105,283)</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(58,491)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(44,554)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(31,314)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353,277</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419,271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preferred stock, and stockholders’ equity</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1,541,984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1,500,902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040" w:type="dxa"/>
            <w:vAlign w:val="bottom"/>
            <w:vMerge w:val="restart"/>
          </w:tcPr>
          <w:p>
            <w:pPr>
              <w:jc w:val="right"/>
              <w:ind w:right="333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Twelve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(46,741)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(262,987)</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Depreciation and amortization of continuing operations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91,846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71,128</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discontinued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182,542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Other impairments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21,825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19,562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Total derivative mark-to-market loss (gain), net of cash settlements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Gain on disposal of discontinued operations, net of tax and cost to sell</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from issuance of share-based awards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(22,402)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excluding acquisitions: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91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(16,208)</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9140" w:type="dxa"/>
            <w:vAlign w:val="bottom"/>
          </w:tcPr>
          <w:p>
            <w:pPr>
              <w:ind w:left="720"/>
              <w:spacing w:after="0"/>
              <w:rPr>
                <w:sz w:val="20"/>
                <w:szCs w:val="20"/>
                <w:color w:val="auto"/>
              </w:rPr>
            </w:pPr>
            <w:r>
              <w:rPr>
                <w:rFonts w:ascii="Arial" w:cs="Arial" w:eastAsia="Arial" w:hAnsi="Arial"/>
                <w:sz w:val="18"/>
                <w:szCs w:val="18"/>
                <w:color w:val="auto"/>
              </w:rPr>
              <w:t>Income taxes receivable and payable, net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39,615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914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Acquisition of property, plant and equipment, net of acquisitions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(53,321)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Cash paid to acquire businesses, net of cash received</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(399,009)</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sale of business, net of cash sold</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914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(38,745)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(461,290)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Cash paid for debt issuance or prepayment costs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217,312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54,209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311,841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(108,157)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(290,687)</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Proceeds from (repayments of) short-term debt, net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23"/>
        </w:trPr>
        <w:tc>
          <w:tcPr>
            <w:tcW w:w="914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13,715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(206,458)</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224,446</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ind w:left="546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12"/>
          </w:tcPr>
          <w:p>
            <w:pPr>
              <w:jc w:val="right"/>
              <w:ind w:right="5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60" w:type="dxa"/>
            <w:vAlign w:val="bottom"/>
          </w:tcPr>
          <w:p>
            <w:pPr>
              <w:spacing w:after="0"/>
              <w:rPr>
                <w:sz w:val="12"/>
                <w:szCs w:val="12"/>
                <w:color w:val="auto"/>
              </w:rPr>
            </w:pPr>
          </w:p>
        </w:tc>
        <w:tc>
          <w:tcPr>
            <w:tcW w:w="3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92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6"/>
              </w:rPr>
              <w:t>December 31,</w:t>
            </w: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(4,720)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 (188,380)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Restructuring and integration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5"/>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28"/>
              <w:spacing w:after="0"/>
              <w:rPr>
                <w:sz w:val="20"/>
                <w:szCs w:val="20"/>
                <w:color w:val="auto"/>
              </w:rPr>
            </w:pPr>
            <w:r>
              <w:rPr>
                <w:rFonts w:ascii="Arial" w:cs="Arial" w:eastAsia="Arial" w:hAnsi="Arial"/>
                <w:sz w:val="18"/>
                <w:szCs w:val="18"/>
                <w:color w:val="auto"/>
              </w:rPr>
              <w:t>13,012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80" w:type="dxa"/>
            <w:vAlign w:val="bottom"/>
            <w:gridSpan w:val="5"/>
          </w:tcPr>
          <w:p>
            <w:pPr>
              <w:jc w:val="right"/>
              <w:ind w:right="128"/>
              <w:spacing w:after="0"/>
              <w:rPr>
                <w:sz w:val="20"/>
                <w:szCs w:val="20"/>
                <w:color w:val="auto"/>
              </w:rPr>
            </w:pPr>
            <w:r>
              <w:rPr>
                <w:rFonts w:ascii="Arial" w:cs="Arial" w:eastAsia="Arial" w:hAnsi="Arial"/>
                <w:sz w:val="18"/>
                <w:szCs w:val="18"/>
                <w:color w:val="auto"/>
              </w:rPr>
              <w:t>11,253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8,439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99"/>
              </w:rPr>
              <w:t>244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187,778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5"/>
          </w:tcPr>
          <w:p>
            <w:pPr>
              <w:jc w:val="right"/>
              <w:ind w:right="128"/>
              <w:spacing w:after="0"/>
              <w:rPr>
                <w:sz w:val="20"/>
                <w:szCs w:val="20"/>
                <w:color w:val="auto"/>
              </w:rPr>
            </w:pPr>
            <w:r>
              <w:rPr>
                <w:rFonts w:ascii="Arial" w:cs="Arial" w:eastAsia="Arial" w:hAnsi="Arial"/>
                <w:sz w:val="18"/>
                <w:szCs w:val="18"/>
                <w:color w:val="auto"/>
              </w:rPr>
              <w:t>19,790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23,649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GAAP net sales</w:t>
            </w:r>
          </w:p>
        </w:tc>
        <w:tc>
          <w:tcPr>
            <w:tcW w:w="940" w:type="dxa"/>
            <w:vAlign w:val="bottom"/>
            <w:gridSpan w:val="6"/>
          </w:tcPr>
          <w:p>
            <w:pPr>
              <w:jc w:val="right"/>
              <w:ind w:right="128"/>
              <w:spacing w:after="0"/>
              <w:rPr>
                <w:sz w:val="20"/>
                <w:szCs w:val="20"/>
                <w:color w:val="auto"/>
              </w:rPr>
            </w:pPr>
            <w:r>
              <w:rPr>
                <w:rFonts w:ascii="Arial" w:cs="Arial" w:eastAsia="Arial" w:hAnsi="Arial"/>
                <w:sz w:val="18"/>
                <w:szCs w:val="18"/>
                <w:color w:val="auto"/>
                <w:w w:val="89"/>
              </w:rPr>
              <w:t>$ 198,632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199,477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9"/>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Mobile Solutions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(76,134)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w w:val="99"/>
              </w:rPr>
              <w:t>Restructuring and integration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4"/>
              </w:rPr>
              <w:t>Impairments (Goodwill and fixed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60" w:type="dxa"/>
            <w:vAlign w:val="bottom"/>
          </w:tcPr>
          <w:p>
            <w:pPr>
              <w:spacing w:after="0"/>
              <w:rPr>
                <w:sz w:val="20"/>
                <w:szCs w:val="20"/>
                <w:color w:val="auto"/>
              </w:rPr>
            </w:pPr>
          </w:p>
        </w:tc>
        <w:tc>
          <w:tcPr>
            <w:tcW w:w="26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 of net income from joint venture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(16,134)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Impairment of joint venture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with JV</w:t>
            </w: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2,788</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w w:val="92"/>
              </w:rPr>
              <w:t>Non-GAAP adjusted operating margin (1)</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6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$ 67,159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10"/>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9"/>
          </w:tcPr>
          <w:p>
            <w:pPr>
              <w:jc w:val="right"/>
              <w:ind w:right="4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4"/>
                <w:szCs w:val="14"/>
                <w:b w:val="1"/>
                <w:bCs w:val="1"/>
                <w:color w:val="auto"/>
              </w:rPr>
              <w:t>Elimination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(528)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(533)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3"/>
              </w:rPr>
              <w:t>Three Months Ended</w:t>
            </w: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8"/>
          </w:tcPr>
          <w:p>
            <w:pPr>
              <w:jc w:val="right"/>
              <w:ind w:right="70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320" w:type="dxa"/>
            <w:vAlign w:val="bottom"/>
          </w:tcPr>
          <w:p>
            <w:pPr>
              <w:spacing w:after="0"/>
              <w:rPr>
                <w:sz w:val="20"/>
                <w:szCs w:val="20"/>
                <w:color w:val="auto"/>
              </w:rPr>
            </w:pPr>
            <w:r>
              <w:rPr>
                <w:rFonts w:ascii="Arial" w:cs="Arial" w:eastAsia="Arial" w:hAnsi="Arial"/>
                <w:sz w:val="14"/>
                <w:szCs w:val="14"/>
                <w:b w:val="1"/>
                <w:bCs w:val="1"/>
                <w:color w:val="auto"/>
              </w:rPr>
              <w:t>Power Solutions</w:t>
            </w:r>
          </w:p>
        </w:tc>
        <w:tc>
          <w:tcPr>
            <w:tcW w:w="70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73"/>
              <w:spacing w:after="0"/>
              <w:rPr>
                <w:sz w:val="20"/>
                <w:szCs w:val="20"/>
                <w:color w:val="auto"/>
              </w:rPr>
            </w:pPr>
            <w:r>
              <w:rPr>
                <w:rFonts w:ascii="Arial" w:cs="Arial" w:eastAsia="Arial" w:hAnsi="Arial"/>
                <w:sz w:val="14"/>
                <w:szCs w:val="14"/>
                <w:b w:val="1"/>
                <w:bCs w:val="1"/>
                <w:color w:val="auto"/>
                <w:w w:val="83"/>
              </w:rPr>
              <w:t>2018</w:t>
            </w:r>
          </w:p>
        </w:tc>
        <w:tc>
          <w:tcPr>
            <w:tcW w:w="220" w:type="dxa"/>
            <w:vAlign w:val="bottom"/>
          </w:tcPr>
          <w:p>
            <w:pPr>
              <w:spacing w:after="0"/>
              <w:rPr>
                <w:sz w:val="14"/>
                <w:szCs w:val="14"/>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 (109,054)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2,193</w:t>
            </w:r>
          </w:p>
        </w:tc>
        <w:tc>
          <w:tcPr>
            <w:tcW w:w="2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109,100</w:t>
            </w:r>
          </w:p>
        </w:tc>
        <w:tc>
          <w:tcPr>
            <w:tcW w:w="220" w:type="dxa"/>
            <w:vAlign w:val="bottom"/>
            <w:shd w:val="clear" w:color="auto" w:fill="CCEEFF"/>
          </w:tcPr>
          <w:p>
            <w:pPr>
              <w:spacing w:after="0"/>
              <w:rPr>
                <w:sz w:val="18"/>
                <w:szCs w:val="18"/>
                <w:color w:val="auto"/>
              </w:rPr>
            </w:pPr>
          </w:p>
        </w:tc>
      </w:tr>
      <w:tr>
        <w:trPr>
          <w:trHeight w:val="209"/>
        </w:trPr>
        <w:tc>
          <w:tcPr>
            <w:tcW w:w="332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5,839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5,763</w:t>
            </w:r>
          </w:p>
        </w:tc>
        <w:tc>
          <w:tcPr>
            <w:tcW w:w="22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GAAP net sales</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6"/>
              </w:rPr>
              <w:t>$ 43,621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45,194</w:t>
            </w:r>
          </w:p>
        </w:tc>
        <w:tc>
          <w:tcPr>
            <w:tcW w:w="220" w:type="dxa"/>
            <w:vAlign w:val="bottom"/>
          </w:tcPr>
          <w:p>
            <w:pPr>
              <w:spacing w:after="0"/>
              <w:rPr>
                <w:sz w:val="20"/>
                <w:szCs w:val="20"/>
                <w:color w:val="auto"/>
              </w:rPr>
            </w:pPr>
          </w:p>
        </w:tc>
      </w:tr>
      <w:tr>
        <w:trPr>
          <w:trHeight w:val="354"/>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r>
      <w:tr>
        <w:trPr>
          <w:trHeight w:val="148"/>
        </w:trPr>
        <w:tc>
          <w:tcPr>
            <w:tcW w:w="33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8"/>
          </w:tcPr>
          <w:p>
            <w:pPr>
              <w:jc w:val="right"/>
              <w:ind w:right="6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Life Sciences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2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2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7,666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5,361</w:t>
            </w:r>
          </w:p>
        </w:tc>
        <w:tc>
          <w:tcPr>
            <w:tcW w:w="2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09"/>
        </w:trPr>
        <w:tc>
          <w:tcPr>
            <w:tcW w:w="3320" w:type="dxa"/>
            <w:vAlign w:val="bottom"/>
          </w:tcPr>
          <w:p>
            <w:pPr>
              <w:spacing w:after="0"/>
              <w:rPr>
                <w:sz w:val="20"/>
                <w:szCs w:val="20"/>
                <w:color w:val="auto"/>
              </w:rPr>
            </w:pPr>
            <w:r>
              <w:rPr>
                <w:rFonts w:ascii="Arial" w:cs="Arial" w:eastAsia="Arial" w:hAnsi="Arial"/>
                <w:sz w:val="18"/>
                <w:szCs w:val="18"/>
                <w:color w:val="auto"/>
                <w:w w:val="92"/>
              </w:rPr>
              <w:t>Non-GAAP adjusted income from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(a)</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$ 17,938</w:t>
            </w:r>
          </w:p>
        </w:tc>
        <w:tc>
          <w:tcPr>
            <w:tcW w:w="18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$ 15,657</w:t>
            </w:r>
          </w:p>
        </w:tc>
        <w:tc>
          <w:tcPr>
            <w:tcW w:w="22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GAAP net sales</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$ 88,381</w:t>
            </w:r>
          </w:p>
        </w:tc>
        <w:tc>
          <w:tcPr>
            <w:tcW w:w="18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$ 79,457</w:t>
            </w:r>
          </w:p>
        </w:tc>
        <w:tc>
          <w:tcPr>
            <w:tcW w:w="220" w:type="dxa"/>
            <w:vAlign w:val="bottom"/>
          </w:tcPr>
          <w:p>
            <w:pPr>
              <w:spacing w:after="0"/>
              <w:rPr>
                <w:sz w:val="20"/>
                <w:szCs w:val="20"/>
                <w:color w:val="auto"/>
              </w:rPr>
            </w:pPr>
          </w:p>
        </w:tc>
      </w:tr>
    </w:tbl>
    <w:p>
      <w:pPr>
        <w:spacing w:after="0" w:line="2669"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56"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20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2019 Includes Capacity &amp; Capabilities Dev - $2.0 / Prof Fees - $2.7 / Integration &amp; Transformation - $8.4 / Acq Transaction Costs - $0.0 / Asset Write-Downs/Inventory Step-Up - $0.0</w:t>
      </w:r>
    </w:p>
    <w:p>
      <w:pPr>
        <w:spacing w:after="0" w:line="77" w:lineRule="exact"/>
        <w:rPr>
          <w:rFonts w:ascii="Arial" w:cs="Arial" w:eastAsia="Arial" w:hAnsi="Arial"/>
          <w:sz w:val="18"/>
          <w:szCs w:val="18"/>
          <w:color w:val="auto"/>
        </w:rPr>
      </w:pPr>
    </w:p>
    <w:p>
      <w:pPr>
        <w:ind w:left="444" w:right="220"/>
        <w:spacing w:after="0" w:line="277" w:lineRule="auto"/>
        <w:rPr>
          <w:rFonts w:ascii="Arial" w:cs="Arial" w:eastAsia="Arial" w:hAnsi="Arial"/>
          <w:sz w:val="18"/>
          <w:szCs w:val="18"/>
          <w:color w:val="auto"/>
        </w:rPr>
      </w:pPr>
      <w:r>
        <w:rPr>
          <w:rFonts w:ascii="Arial" w:cs="Arial" w:eastAsia="Arial" w:hAnsi="Arial"/>
          <w:sz w:val="18"/>
          <w:szCs w:val="18"/>
          <w:color w:val="auto"/>
        </w:rPr>
        <w:t>2018 Includes Capacity &amp; Capabilities Dev - $3.1 / Prof Fees - $3.2 / Integration &amp; Transformation - $8.7 / AcqTransaction Costs - $0.1 / Asset Write-Downs/Inventory Step-Up - $0.8</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type w:val="continuous"/>
        </w:sectPr>
      </w:pPr>
    </w:p>
    <w:bookmarkStart w:id="11" w:name="page12"/>
    <w:bookmarkEnd w:id="11"/>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 (179,864)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Restructuring and integration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39,463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46,998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32,553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187,778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96,982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91,856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GAAP net sales</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$ 847,451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770,657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10"/>
          </w:tcPr>
          <w:p>
            <w:pPr>
              <w:jc w:val="right"/>
              <w:ind w:right="7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Mobile Solutions</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(55,079)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w w:val="99"/>
              </w:rPr>
              <w:t>Restructuring and integration expense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18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248"/>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78,054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48"/>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30,456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of net income from joint</w:t>
            </w: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(14,390)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Impairment of joint venture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with JV</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19,585</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32,655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Non-GAAP adjusted operating</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margin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ind w:right="8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120" w:type="dxa"/>
            <w:vAlign w:val="bottom"/>
            <w:gridSpan w:val="6"/>
            <w:shd w:val="clear" w:color="auto" w:fill="CCEEFF"/>
          </w:tcPr>
          <w:p>
            <w:pPr>
              <w:jc w:val="right"/>
              <w:ind w:right="248"/>
              <w:spacing w:after="0"/>
              <w:rPr>
                <w:sz w:val="20"/>
                <w:szCs w:val="20"/>
                <w:color w:val="auto"/>
              </w:rPr>
            </w:pPr>
            <w:r>
              <w:rPr>
                <w:rFonts w:ascii="Arial" w:cs="Arial" w:eastAsia="Arial" w:hAnsi="Arial"/>
                <w:sz w:val="18"/>
                <w:szCs w:val="18"/>
                <w:color w:val="auto"/>
                <w:w w:val="97"/>
              </w:rPr>
              <w:t>$ 297,749</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7"/>
              </w:rPr>
              <w:t>$ 335,037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Arial" w:cs="Arial" w:eastAsia="Arial" w:hAnsi="Arial"/>
                <w:sz w:val="14"/>
                <w:szCs w:val="14"/>
                <w:b w:val="1"/>
                <w:bCs w:val="1"/>
                <w:color w:val="auto"/>
              </w:rPr>
              <w:t>Elimination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top w:val="single" w:sz="8" w:color="auto"/>
            </w:tcBorders>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(2,130)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3"/>
              </w:rPr>
              <w:t>$ (2,331)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(95,115)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10,994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9"/>
              </w:rPr>
              <w:t>Impairments (Goodwill and fixed assets)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32,843</w:t>
            </w:r>
          </w:p>
        </w:tc>
        <w:tc>
          <w:tcPr>
            <w:tcW w:w="2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33,622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6"/>
              </w:rPr>
              <w:t>Non-GAAP adjusted operating margin (1)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GAAP net sales</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192,100</w:t>
            </w:r>
          </w:p>
        </w:tc>
        <w:tc>
          <w:tcPr>
            <w:tcW w:w="2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6"/>
              </w:rPr>
              <w:t>189,778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8"/>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Life Sciences</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32,526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9"/>
              </w:rPr>
              <w:t>Impairments (Goodwill and fixed assets)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76,036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51,610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6"/>
              </w:rPr>
              <w:t>Non-GAAP adjusted operating margin (1)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GAAP net sales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359,732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248,173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15"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56"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10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2019 Includes Capacity &amp; Capabilities Dev - $9.1 / Prof Fees - $4.5 / Integration &amp; Transformation - $25.5 / Acq Transaction Costs - $0.0 / Asset Write-Downs/Inventory Step-Up - $0.4</w:t>
      </w:r>
    </w:p>
    <w:p>
      <w:pPr>
        <w:spacing w:after="0" w:line="77" w:lineRule="exact"/>
        <w:rPr>
          <w:rFonts w:ascii="Arial" w:cs="Arial" w:eastAsia="Arial" w:hAnsi="Arial"/>
          <w:sz w:val="18"/>
          <w:szCs w:val="18"/>
          <w:color w:val="auto"/>
        </w:rPr>
      </w:pPr>
    </w:p>
    <w:p>
      <w:pPr>
        <w:ind w:left="444" w:right="40"/>
        <w:spacing w:after="0" w:line="277" w:lineRule="auto"/>
        <w:rPr>
          <w:rFonts w:ascii="Arial" w:cs="Arial" w:eastAsia="Arial" w:hAnsi="Arial"/>
          <w:sz w:val="18"/>
          <w:szCs w:val="18"/>
          <w:color w:val="auto"/>
        </w:rPr>
      </w:pPr>
      <w:r>
        <w:rPr>
          <w:rFonts w:ascii="Arial" w:cs="Arial" w:eastAsia="Arial" w:hAnsi="Arial"/>
          <w:sz w:val="18"/>
          <w:szCs w:val="18"/>
          <w:color w:val="auto"/>
        </w:rPr>
        <w:t>2018 Includes Capacity &amp; Capabilities Dev - $8.2 / Prof Fees - $10.7 / Integration &amp; Transformation - $19.8 / AcqTransaction Costs - $5.9 / Asset Write-Downs/Inventory Step-Up - $4.7</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0" w:right="4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Net Income (Loss) to Non-GAAP Adjusted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r>
      <w:tr>
        <w:trPr>
          <w:trHeight w:val="149"/>
        </w:trPr>
        <w:tc>
          <w:tcPr>
            <w:tcW w:w="8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52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108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r>
      <w:tr>
        <w:trPr>
          <w:trHeight w:val="209"/>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(14,085)</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(217,424)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14,663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14,651</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22,876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12,656</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15,482</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Costs related to divested businesses</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JV and fixed assets)</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204,367</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Non-GAAP adjusted EBITDA (b)</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33,202</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34,439</w:t>
            </w:r>
          </w:p>
        </w:tc>
        <w:tc>
          <w:tcPr>
            <w:tcW w:w="2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margin (2)</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GAAP net sales</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$ 198,632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199,477</w:t>
            </w:r>
          </w:p>
        </w:tc>
      </w:tr>
      <w:tr>
        <w:trPr>
          <w:trHeight w:val="445"/>
        </w:trPr>
        <w:tc>
          <w:tcPr>
            <w:tcW w:w="8520" w:type="dxa"/>
            <w:vAlign w:val="bottom"/>
          </w:tcPr>
          <w:p>
            <w:pPr>
              <w:spacing w:after="0"/>
              <w:rPr>
                <w:sz w:val="20"/>
                <w:szCs w:val="20"/>
                <w:color w:val="auto"/>
              </w:rPr>
            </w:pPr>
            <w:r>
              <w:rPr>
                <w:rFonts w:ascii="Arial" w:cs="Arial" w:eastAsia="Arial" w:hAnsi="Arial"/>
                <w:sz w:val="18"/>
                <w:szCs w:val="18"/>
                <w:color w:val="auto"/>
              </w:rPr>
              <w:t>(2)   Non-GAAP adjusted EBITDA margin = Non-GAAP adjusted EBITDA / GAAP net sales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48"/>
        </w:trPr>
        <w:tc>
          <w:tcPr>
            <w:tcW w:w="8520" w:type="dxa"/>
            <w:vAlign w:val="bottom"/>
          </w:tcPr>
          <w:p>
            <w:pPr>
              <w:ind w:left="2840"/>
              <w:spacing w:after="0"/>
              <w:rPr>
                <w:sz w:val="20"/>
                <w:szCs w:val="20"/>
                <w:color w:val="auto"/>
              </w:rPr>
            </w:pPr>
            <w:r>
              <w:rPr>
                <w:rFonts w:ascii="Arial" w:cs="Arial" w:eastAsia="Arial" w:hAnsi="Arial"/>
                <w:sz w:val="18"/>
                <w:szCs w:val="18"/>
                <w:b w:val="1"/>
                <w:bCs w:val="1"/>
                <w:color w:val="auto"/>
                <w:w w:val="97"/>
              </w:rPr>
              <w:t>Reconciliation of Net Income (Loss) to Non-GAAP Adjusted EBITDA</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9"/>
        </w:trPr>
        <w:tc>
          <w:tcPr>
            <w:tcW w:w="8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Twelve Months Ended</w:t>
            </w:r>
          </w:p>
        </w:tc>
      </w:tr>
      <w:tr>
        <w:trPr>
          <w:trHeight w:val="148"/>
        </w:trPr>
        <w:tc>
          <w:tcPr>
            <w:tcW w:w="8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52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108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(46,741)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(262,987)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(13,413)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57,155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61,243</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19,562</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91,846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71,128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38,504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48,922</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3,885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2,413</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Costs related to divested businesses</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JV and fixed assets)</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204,367</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Non-GAAP adjusted EBITDA (b)</w:t>
            </w: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$ 146,564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135,983</w:t>
            </w:r>
          </w:p>
        </w:tc>
        <w:tc>
          <w:tcPr>
            <w:tcW w:w="2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margin (2)</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GAAP net sales</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$ 847,451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770,657</w:t>
            </w:r>
          </w:p>
        </w:tc>
      </w:tr>
    </w:tbl>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w:t>
        <w:tab/>
        <w:t>Non-GAAP adjusted EBITDA margin = Non-GAAP adjusted EBITDA / GAAP net sales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Net Income (Loss) to Non-GAAP Adjusted Net Income (Loss) and Net</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Income (Loss) per Diluted Share to Non-GAAP Adjusted Net Income (Loss) per Diluted Share</w:t>
      </w:r>
    </w:p>
    <w:p>
      <w:pPr>
        <w:sectPr>
          <w:pgSz w:w="11900" w:h="16838" w:orient="portrait"/>
          <w:cols w:equalWidth="0" w:num="1">
            <w:col w:w="10960"/>
          </w:cols>
          <w:pgMar w:left="440" w:top="270" w:right="4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integration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interest expense on cash held from divestiture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costs related to divested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effect of adjustments reflected above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Non-GAAP discrete tax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Impairments (Goodwill and 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Divestiture of Business Segment, exclusive of tax reform</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 per diluted share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integration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interest expense on cash held from divestiture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costs related to divested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effect of adjustments reflected above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Non-GAAP discrete tax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Impairments (Goodwill and 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Divestiture of Business Segment, exclusive of tax reform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cumulative dividends and deemed dividends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per diluted share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diluted</w:t>
      </w:r>
    </w:p>
    <w:p>
      <w:pPr>
        <w:spacing w:after="0" w:line="158"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jc w:val="center"/>
        <w:ind w:right="60"/>
        <w:spacing w:after="0" w:line="226" w:lineRule="auto"/>
        <w:rPr>
          <w:sz w:val="20"/>
          <w:szCs w:val="20"/>
          <w:color w:val="auto"/>
        </w:rPr>
      </w:pPr>
      <w:r>
        <w:rPr>
          <w:rFonts w:ascii="Arial" w:cs="Arial" w:eastAsia="Arial" w:hAnsi="Arial"/>
          <w:sz w:val="14"/>
          <w:szCs w:val="14"/>
          <w:b w:val="1"/>
          <w:bCs w:val="1"/>
          <w:color w:val="auto"/>
        </w:rPr>
        <w:t>December 31,</w:t>
      </w:r>
    </w:p>
    <w:p>
      <w:pPr>
        <w:ind w:left="200"/>
        <w:spacing w:after="0"/>
        <w:tabs>
          <w:tab w:leader="none" w:pos="10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9" w:lineRule="exact"/>
        <w:rPr>
          <w:sz w:val="20"/>
          <w:szCs w:val="20"/>
          <w:color w:val="auto"/>
        </w:rPr>
      </w:pPr>
    </w:p>
    <w:p>
      <w:pPr>
        <w:ind w:left="120" w:hanging="116"/>
        <w:spacing w:after="0"/>
        <w:tabs>
          <w:tab w:leader="none" w:pos="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(14,085)  $(217,424)</w:t>
      </w:r>
    </w:p>
    <w:p>
      <w:pPr>
        <w:spacing w:after="0" w:line="19"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13,012</w:t>
      </w:r>
      <w:r>
        <w:rPr>
          <w:rFonts w:ascii="Arial" w:cs="Arial" w:eastAsia="Arial" w:hAnsi="Arial"/>
          <w:sz w:val="16"/>
          <w:szCs w:val="16"/>
          <w:color w:val="auto"/>
        </w:rPr>
        <w:t>15,822</w:t>
      </w:r>
    </w:p>
    <w:p>
      <w:pPr>
        <w:spacing w:after="0" w:line="9" w:lineRule="exact"/>
        <w:rPr>
          <w:rFonts w:ascii="Arial" w:cs="Arial" w:eastAsia="Arial" w:hAnsi="Arial"/>
          <w:sz w:val="17"/>
          <w:szCs w:val="17"/>
          <w:color w:val="auto"/>
        </w:rPr>
      </w:pPr>
    </w:p>
    <w:p>
      <w:pPr>
        <w:ind w:left="1300" w:hanging="964"/>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(547)</w:t>
      </w:r>
    </w:p>
    <w:p>
      <w:pPr>
        <w:spacing w:after="0" w:line="32"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(10)</w:t>
      </w:r>
    </w:p>
    <w:p>
      <w:pPr>
        <w:spacing w:after="0" w:line="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594—</w:t>
      </w:r>
    </w:p>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00" w:type="dxa"/>
            <w:vAlign w:val="bottom"/>
          </w:tcPr>
          <w:p>
            <w:pPr>
              <w:jc w:val="right"/>
              <w:ind w:right="130"/>
              <w:spacing w:after="0"/>
              <w:rPr>
                <w:sz w:val="20"/>
                <w:szCs w:val="20"/>
                <w:color w:val="auto"/>
              </w:rPr>
            </w:pPr>
            <w:r>
              <w:rPr>
                <w:rFonts w:ascii="Arial" w:cs="Arial" w:eastAsia="Arial" w:hAnsi="Arial"/>
                <w:sz w:val="18"/>
                <w:szCs w:val="18"/>
                <w:color w:val="auto"/>
                <w:w w:val="83"/>
              </w:rPr>
              <w:t>12,506</w:t>
            </w:r>
          </w:p>
        </w:tc>
        <w:tc>
          <w:tcPr>
            <w:tcW w:w="800" w:type="dxa"/>
            <w:vAlign w:val="bottom"/>
          </w:tcPr>
          <w:p>
            <w:pPr>
              <w:jc w:val="right"/>
              <w:spacing w:after="0"/>
              <w:rPr>
                <w:sz w:val="20"/>
                <w:szCs w:val="20"/>
                <w:color w:val="auto"/>
              </w:rPr>
            </w:pPr>
            <w:r>
              <w:rPr>
                <w:rFonts w:ascii="Arial" w:cs="Arial" w:eastAsia="Arial" w:hAnsi="Arial"/>
                <w:sz w:val="18"/>
                <w:szCs w:val="18"/>
                <w:color w:val="auto"/>
              </w:rPr>
              <w:t>9,653</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130"/>
              <w:spacing w:after="0"/>
              <w:rPr>
                <w:sz w:val="20"/>
                <w:szCs w:val="20"/>
                <w:color w:val="auto"/>
              </w:rPr>
            </w:pPr>
            <w:r>
              <w:rPr>
                <w:rFonts w:ascii="Arial" w:cs="Arial" w:eastAsia="Arial" w:hAnsi="Arial"/>
                <w:sz w:val="18"/>
                <w:szCs w:val="18"/>
                <w:color w:val="auto"/>
              </w:rPr>
              <w:t>244</w:t>
            </w:r>
          </w:p>
        </w:tc>
        <w:tc>
          <w:tcPr>
            <w:tcW w:w="800" w:type="dxa"/>
            <w:vAlign w:val="bottom"/>
          </w:tcPr>
          <w:p>
            <w:pPr>
              <w:jc w:val="right"/>
              <w:spacing w:after="0"/>
              <w:rPr>
                <w:sz w:val="20"/>
                <w:szCs w:val="20"/>
                <w:color w:val="auto"/>
              </w:rPr>
            </w:pPr>
            <w:r>
              <w:rPr>
                <w:rFonts w:ascii="Arial" w:cs="Arial" w:eastAsia="Arial" w:hAnsi="Arial"/>
                <w:sz w:val="18"/>
                <w:szCs w:val="18"/>
                <w:color w:val="auto"/>
              </w:rPr>
              <w:t>5,236</w:t>
            </w:r>
          </w:p>
        </w:tc>
      </w:tr>
      <w:tr>
        <w:trPr>
          <w:trHeight w:val="216"/>
        </w:trPr>
        <w:tc>
          <w:tcPr>
            <w:tcW w:w="700" w:type="dxa"/>
            <w:vAlign w:val="bottom"/>
          </w:tcPr>
          <w:p>
            <w:pPr>
              <w:jc w:val="right"/>
              <w:ind w:right="130"/>
              <w:spacing w:after="0"/>
              <w:rPr>
                <w:sz w:val="20"/>
                <w:szCs w:val="20"/>
                <w:color w:val="auto"/>
              </w:rPr>
            </w:pPr>
            <w:r>
              <w:rPr>
                <w:rFonts w:ascii="Arial" w:cs="Arial" w:eastAsia="Arial" w:hAnsi="Arial"/>
                <w:sz w:val="18"/>
                <w:szCs w:val="18"/>
                <w:color w:val="auto"/>
              </w:rPr>
              <w:t>260</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70"/>
              <w:spacing w:after="0"/>
              <w:rPr>
                <w:sz w:val="20"/>
                <w:szCs w:val="20"/>
                <w:color w:val="auto"/>
              </w:rPr>
            </w:pPr>
            <w:r>
              <w:rPr>
                <w:rFonts w:ascii="Arial" w:cs="Arial" w:eastAsia="Arial" w:hAnsi="Arial"/>
                <w:sz w:val="18"/>
                <w:szCs w:val="18"/>
                <w:color w:val="auto"/>
                <w:w w:val="91"/>
              </w:rPr>
              <w:t>(5,444)</w:t>
            </w:r>
          </w:p>
        </w:tc>
        <w:tc>
          <w:tcPr>
            <w:tcW w:w="800" w:type="dxa"/>
            <w:vAlign w:val="bottom"/>
          </w:tcPr>
          <w:p>
            <w:pPr>
              <w:jc w:val="right"/>
              <w:spacing w:after="0"/>
              <w:rPr>
                <w:sz w:val="20"/>
                <w:szCs w:val="20"/>
                <w:color w:val="auto"/>
              </w:rPr>
            </w:pPr>
            <w:r>
              <w:rPr>
                <w:rFonts w:ascii="Arial" w:cs="Arial" w:eastAsia="Arial" w:hAnsi="Arial"/>
                <w:sz w:val="18"/>
                <w:szCs w:val="18"/>
                <w:color w:val="auto"/>
              </w:rPr>
              <w:t>(6,368)</w:t>
            </w:r>
          </w:p>
        </w:tc>
      </w:tr>
      <w:tr>
        <w:trPr>
          <w:trHeight w:val="216"/>
        </w:trPr>
        <w:tc>
          <w:tcPr>
            <w:tcW w:w="700" w:type="dxa"/>
            <w:vAlign w:val="bottom"/>
          </w:tcPr>
          <w:p>
            <w:pPr>
              <w:jc w:val="right"/>
              <w:ind w:right="70"/>
              <w:spacing w:after="0"/>
              <w:rPr>
                <w:sz w:val="20"/>
                <w:szCs w:val="20"/>
                <w:color w:val="auto"/>
              </w:rPr>
            </w:pPr>
            <w:r>
              <w:rPr>
                <w:rFonts w:ascii="Arial" w:cs="Arial" w:eastAsia="Arial" w:hAnsi="Arial"/>
                <w:sz w:val="18"/>
                <w:szCs w:val="18"/>
                <w:color w:val="auto"/>
                <w:w w:val="91"/>
              </w:rPr>
              <w:t>(1,221)</w:t>
            </w:r>
          </w:p>
        </w:tc>
        <w:tc>
          <w:tcPr>
            <w:tcW w:w="80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199,131</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028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tabs>
          <w:tab w:leader="none" w:pos="240" w:val="left"/>
          <w:tab w:leader="none" w:pos="860" w:val="left"/>
          <w:tab w:leader="none" w:pos="1100" w:val="left"/>
        </w:tabs>
        <w:rPr>
          <w:sz w:val="20"/>
          <w:szCs w:val="20"/>
          <w:color w:val="auto"/>
        </w:rPr>
      </w:pPr>
      <w:r>
        <w:rPr>
          <w:rFonts w:ascii="Arial" w:cs="Arial" w:eastAsia="Arial" w:hAnsi="Arial"/>
          <w:sz w:val="18"/>
          <w:szCs w:val="18"/>
          <w:u w:val="single" w:color="auto"/>
          <w:color w:val="auto"/>
        </w:rPr>
        <w:t>$</w:t>
        <w:tab/>
        <w:t>5,710</w:t>
        <w:tab/>
        <w:t>$</w:t>
      </w:r>
      <w:r>
        <w:rPr>
          <w:sz w:val="20"/>
          <w:szCs w:val="20"/>
          <w:color w:val="auto"/>
        </w:rPr>
        <w:tab/>
      </w:r>
      <w:r>
        <w:rPr>
          <w:rFonts w:ascii="Arial" w:cs="Arial" w:eastAsia="Arial" w:hAnsi="Arial"/>
          <w:sz w:val="16"/>
          <w:szCs w:val="16"/>
          <w:u w:val="single" w:color="auto"/>
          <w:color w:val="auto"/>
        </w:rPr>
        <w:t>12,287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1028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jc w:val="center"/>
        <w:ind w:right="60"/>
        <w:spacing w:after="0" w:line="226" w:lineRule="auto"/>
        <w:rPr>
          <w:sz w:val="20"/>
          <w:szCs w:val="20"/>
          <w:color w:val="auto"/>
        </w:rPr>
      </w:pPr>
      <w:r>
        <w:rPr>
          <w:rFonts w:ascii="Arial" w:cs="Arial" w:eastAsia="Arial" w:hAnsi="Arial"/>
          <w:sz w:val="14"/>
          <w:szCs w:val="14"/>
          <w:b w:val="1"/>
          <w:bCs w:val="1"/>
          <w:color w:val="auto"/>
        </w:rPr>
        <w:t>December 31,</w:t>
      </w:r>
    </w:p>
    <w:p>
      <w:pPr>
        <w:ind w:left="160"/>
        <w:spacing w:after="0" w:line="232" w:lineRule="auto"/>
        <w:tabs>
          <w:tab w:leader="none" w:pos="11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20" w:type="dxa"/>
            <w:vAlign w:val="bottom"/>
            <w:gridSpan w:val="2"/>
          </w:tcPr>
          <w:p>
            <w:pPr>
              <w:jc w:val="right"/>
              <w:ind w:right="360"/>
              <w:spacing w:after="0" w:line="176" w:lineRule="exact"/>
              <w:rPr>
                <w:sz w:val="20"/>
                <w:szCs w:val="20"/>
                <w:color w:val="auto"/>
              </w:rPr>
            </w:pPr>
            <w:r>
              <w:rPr>
                <w:rFonts w:ascii="Arial" w:cs="Arial" w:eastAsia="Arial" w:hAnsi="Arial"/>
                <w:sz w:val="18"/>
                <w:szCs w:val="18"/>
                <w:color w:val="auto"/>
                <w:w w:val="95"/>
              </w:rPr>
              <w:t>$  (0.35)</w:t>
            </w: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5"/>
              </w:rPr>
              <w:t>$  (5.18)</w:t>
            </w:r>
          </w:p>
        </w:tc>
      </w:tr>
      <w:tr>
        <w:trPr>
          <w:trHeight w:val="216"/>
        </w:trPr>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0.31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r>
      <w:tr>
        <w:trPr>
          <w:trHeight w:val="230"/>
        </w:trPr>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(0.01)</w:t>
            </w:r>
          </w:p>
        </w:tc>
      </w:tr>
    </w:tbl>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(0.00)</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0.01—</w:t>
      </w:r>
    </w:p>
    <w:p>
      <w:pPr>
        <w:spacing w:after="0" w:line="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0.30</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16"/>
        </w:trPr>
        <w:tc>
          <w:tcPr>
            <w:tcW w:w="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0.01</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740" w:type="dxa"/>
            <w:vAlign w:val="bottom"/>
          </w:tcPr>
          <w:p>
            <w:pPr>
              <w:jc w:val="right"/>
              <w:ind w:right="270"/>
              <w:spacing w:after="0"/>
              <w:rPr>
                <w:sz w:val="20"/>
                <w:szCs w:val="20"/>
                <w:color w:val="auto"/>
              </w:rPr>
            </w:pPr>
            <w:r>
              <w:rPr>
                <w:rFonts w:ascii="Arial" w:cs="Arial" w:eastAsia="Arial" w:hAnsi="Arial"/>
                <w:sz w:val="18"/>
                <w:szCs w:val="18"/>
                <w:color w:val="auto"/>
              </w:rPr>
              <w:t>0.01</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9"/>
              </w:rPr>
              <w:t>(0.13)</w:t>
            </w:r>
          </w:p>
        </w:tc>
        <w:tc>
          <w:tcPr>
            <w:tcW w:w="72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740" w:type="dxa"/>
            <w:vAlign w:val="bottom"/>
          </w:tcPr>
          <w:p>
            <w:pPr>
              <w:jc w:val="right"/>
              <w:ind w:right="210"/>
              <w:spacing w:after="0"/>
              <w:rPr>
                <w:sz w:val="20"/>
                <w:szCs w:val="20"/>
                <w:color w:val="auto"/>
              </w:rPr>
            </w:pPr>
            <w:r>
              <w:rPr>
                <w:rFonts w:ascii="Arial" w:cs="Arial" w:eastAsia="Arial" w:hAnsi="Arial"/>
                <w:sz w:val="18"/>
                <w:szCs w:val="18"/>
                <w:color w:val="auto"/>
                <w:w w:val="89"/>
              </w:rPr>
              <w:t>(0.03)</w:t>
            </w: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r>
    </w:tbl>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4.75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0.17</w:t>
      </w:r>
    </w:p>
    <w:p>
      <w:pPr>
        <w:spacing w:after="0" w:line="9" w:lineRule="exact"/>
        <w:rPr>
          <w:sz w:val="20"/>
          <w:szCs w:val="20"/>
          <w:color w:val="auto"/>
        </w:rPr>
      </w:pPr>
    </w:p>
    <w:p>
      <w:pPr>
        <w:ind w:left="280"/>
        <w:spacing w:after="0"/>
        <w:tabs>
          <w:tab w:leader="none" w:pos="134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771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5715</wp:posOffset>
            </wp:positionV>
            <wp:extent cx="3771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 w:lineRule="exact"/>
        <w:rPr>
          <w:sz w:val="20"/>
          <w:szCs w:val="20"/>
          <w:color w:val="auto"/>
        </w:rPr>
      </w:pPr>
    </w:p>
    <w:p>
      <w:pPr>
        <w:spacing w:after="0"/>
        <w:tabs>
          <w:tab w:leader="none" w:pos="260" w:val="left"/>
          <w:tab w:leader="none" w:pos="1020" w:val="left"/>
          <w:tab w:leader="none" w:pos="1280" w:val="left"/>
        </w:tabs>
        <w:rPr>
          <w:sz w:val="20"/>
          <w:szCs w:val="20"/>
          <w:color w:val="auto"/>
        </w:rPr>
      </w:pPr>
      <w:r>
        <w:rPr>
          <w:rFonts w:ascii="Arial" w:cs="Arial" w:eastAsia="Arial" w:hAnsi="Arial"/>
          <w:sz w:val="18"/>
          <w:szCs w:val="18"/>
          <w:u w:val="single" w:color="auto"/>
          <w:color w:val="auto"/>
        </w:rPr>
        <w:t>$</w:t>
        <w:tab/>
        <w:t>0.14</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3771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31750</wp:posOffset>
            </wp:positionV>
            <wp:extent cx="3771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43"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8"/>
          <w:szCs w:val="18"/>
          <w:color w:val="auto"/>
        </w:rPr>
        <w:t>42,078</w:t>
      </w:r>
      <w:r>
        <w:rPr>
          <w:sz w:val="20"/>
          <w:szCs w:val="20"/>
          <w:color w:val="auto"/>
        </w:rPr>
        <w:tab/>
      </w:r>
      <w:r>
        <w:rPr>
          <w:rFonts w:ascii="Arial" w:cs="Arial" w:eastAsia="Arial" w:hAnsi="Arial"/>
          <w:sz w:val="18"/>
          <w:szCs w:val="18"/>
          <w:color w:val="auto"/>
        </w:rPr>
        <w:t>41,959</w:t>
      </w:r>
    </w:p>
    <w:p>
      <w:pPr>
        <w:sectPr>
          <w:pgSz w:w="11900" w:h="16838" w:orient="portrait"/>
          <w:cols w:equalWidth="0" w:num="2">
            <w:col w:w="8560" w:space="720"/>
            <w:col w:w="1680"/>
          </w:cols>
          <w:pgMar w:left="440" w:top="270" w:right="499" w:bottom="1440" w:gutter="0" w:footer="0" w:header="0"/>
          <w:type w:val="continuous"/>
        </w:sectPr>
      </w:pPr>
    </w:p>
    <w:bookmarkStart w:id="14" w:name="page15"/>
    <w:bookmarkEnd w:id="14"/>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Net Income (Loss) to Non-GAAP Adjusted Net Income (Loss) and Net</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Income (Loss) per Diluted Share to Non-GAAP Adjusted Net Income (Loss) per Diluted Share</w:t>
      </w:r>
    </w:p>
    <w:p>
      <w:pPr>
        <w:sectPr>
          <w:pgSz w:w="11900" w:h="16838" w:orient="portrait"/>
          <w:cols w:equalWidth="0" w:num="1">
            <w:col w:w="10960"/>
          </w:cols>
          <w:pgMar w:left="440" w:top="270" w:right="4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integration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interest expense on cash held from divestiture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costs related to divested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effect of adjustments reflected above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Non-GAAP discrete tax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Impairments (Goodwill and 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Divestiture of Business Segment, exclusive of tax reform</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 per diluted share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integration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interest expense on cash held from divestiture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costs related to divested businesses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effect of adjustments reflected above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Non-GAAP discrete tax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Impairments (Goodwill and 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Divestiture of Business Segment, exclusive of tax reform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cumulative dividends and deemed dividends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per diluted share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diluted</w:t>
      </w:r>
    </w:p>
    <w:p>
      <w:pPr>
        <w:spacing w:after="0" w:line="158"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Twelve Months Ended</w:t>
      </w:r>
    </w:p>
    <w:p>
      <w:pPr>
        <w:jc w:val="center"/>
        <w:ind w:right="60"/>
        <w:spacing w:after="0" w:line="226" w:lineRule="auto"/>
        <w:rPr>
          <w:sz w:val="20"/>
          <w:szCs w:val="20"/>
          <w:color w:val="auto"/>
        </w:rPr>
      </w:pPr>
      <w:r>
        <w:rPr>
          <w:rFonts w:ascii="Arial" w:cs="Arial" w:eastAsia="Arial" w:hAnsi="Arial"/>
          <w:sz w:val="14"/>
          <w:szCs w:val="14"/>
          <w:b w:val="1"/>
          <w:bCs w:val="1"/>
          <w:color w:val="auto"/>
        </w:rPr>
        <w:t>December 31,</w:t>
      </w:r>
    </w:p>
    <w:p>
      <w:pPr>
        <w:ind w:left="200"/>
        <w:spacing w:after="0"/>
        <w:tabs>
          <w:tab w:leader="none" w:pos="10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9" w:lineRule="exact"/>
        <w:rPr>
          <w:sz w:val="20"/>
          <w:szCs w:val="20"/>
          <w:color w:val="auto"/>
        </w:rPr>
      </w:pPr>
    </w:p>
    <w:p>
      <w:pPr>
        <w:ind w:left="120" w:hanging="116"/>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(46,741)  $(262,987)</w:t>
      </w:r>
    </w:p>
    <w:p>
      <w:pPr>
        <w:spacing w:after="0" w:line="19"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39,463</w:t>
      </w:r>
      <w:r>
        <w:rPr>
          <w:rFonts w:ascii="Arial" w:cs="Arial" w:eastAsia="Arial" w:hAnsi="Arial"/>
          <w:sz w:val="16"/>
          <w:szCs w:val="16"/>
          <w:color w:val="auto"/>
        </w:rPr>
        <w:t>49,262</w:t>
      </w:r>
    </w:p>
    <w:p>
      <w:pPr>
        <w:spacing w:after="0" w:line="9"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8"/>
          <w:szCs w:val="18"/>
          <w:color w:val="auto"/>
        </w:rPr>
        <w:t>307</w:t>
      </w:r>
      <w:r>
        <w:rPr>
          <w:rFonts w:ascii="Arial" w:cs="Arial" w:eastAsia="Arial" w:hAnsi="Arial"/>
          <w:sz w:val="15"/>
          <w:szCs w:val="15"/>
          <w:color w:val="auto"/>
        </w:rPr>
        <w:t>2,620</w:t>
      </w:r>
    </w:p>
    <w:p>
      <w:pPr>
        <w:spacing w:after="0" w:line="9" w:lineRule="exact"/>
        <w:rPr>
          <w:rFonts w:ascii="Arial" w:cs="Arial" w:eastAsia="Arial" w:hAnsi="Arial"/>
          <w:sz w:val="17"/>
          <w:szCs w:val="17"/>
          <w:color w:val="auto"/>
        </w:rPr>
      </w:pPr>
    </w:p>
    <w:p>
      <w:pPr>
        <w:ind w:left="1220" w:hanging="794"/>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2,127</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3,293</w:t>
      </w:r>
      <w:r>
        <w:rPr>
          <w:rFonts w:ascii="Arial" w:cs="Arial" w:eastAsia="Arial" w:hAnsi="Arial"/>
          <w:sz w:val="16"/>
          <w:szCs w:val="16"/>
          <w:color w:val="auto"/>
        </w:rPr>
        <w:t>19,562</w:t>
      </w:r>
    </w:p>
    <w:p>
      <w:pPr>
        <w:spacing w:after="0" w:line="9"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51,788</w:t>
      </w:r>
      <w:r>
        <w:rPr>
          <w:sz w:val="20"/>
          <w:szCs w:val="20"/>
          <w:color w:val="auto"/>
        </w:rPr>
        <w:tab/>
      </w:r>
      <w:r>
        <w:rPr>
          <w:rFonts w:ascii="Arial" w:cs="Arial" w:eastAsia="Arial" w:hAnsi="Arial"/>
          <w:sz w:val="18"/>
          <w:szCs w:val="18"/>
          <w:color w:val="auto"/>
        </w:rPr>
        <w:t>37,741</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3,607</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644</w:t>
      </w:r>
      <w:r>
        <w:rPr>
          <w:rFonts w:ascii="Arial" w:cs="Arial" w:eastAsia="Arial" w:hAnsi="Arial"/>
          <w:sz w:val="15"/>
          <w:szCs w:val="15"/>
          <w:color w:val="auto"/>
        </w:rPr>
        <w:t>5,236</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960—</w:t>
      </w:r>
    </w:p>
    <w:p>
      <w:pPr>
        <w:spacing w:after="0" w:line="9"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6"/>
          <w:szCs w:val="16"/>
          <w:color w:val="auto"/>
        </w:rPr>
        <w:t>(19,433)</w:t>
      </w:r>
      <w:r>
        <w:rPr>
          <w:sz w:val="20"/>
          <w:szCs w:val="20"/>
          <w:color w:val="auto"/>
        </w:rPr>
        <w:tab/>
      </w:r>
      <w:r>
        <w:rPr>
          <w:rFonts w:ascii="Arial" w:cs="Arial" w:eastAsia="Arial" w:hAnsi="Arial"/>
          <w:sz w:val="16"/>
          <w:szCs w:val="16"/>
          <w:color w:val="auto"/>
        </w:rPr>
        <w:t>(25,094)</w:t>
      </w:r>
    </w:p>
    <w:p>
      <w:pPr>
        <w:spacing w:after="0" w:line="32" w:lineRule="exact"/>
        <w:rPr>
          <w:sz w:val="20"/>
          <w:szCs w:val="20"/>
          <w:color w:val="auto"/>
        </w:rPr>
      </w:pPr>
    </w:p>
    <w:p>
      <w:pPr>
        <w:ind w:left="260"/>
        <w:spacing w:after="0"/>
        <w:tabs>
          <w:tab w:leader="none" w:pos="1340" w:val="left"/>
        </w:tabs>
        <w:rPr>
          <w:sz w:val="20"/>
          <w:szCs w:val="20"/>
          <w:color w:val="auto"/>
        </w:rPr>
      </w:pPr>
      <w:r>
        <w:rPr>
          <w:rFonts w:ascii="Arial" w:cs="Arial" w:eastAsia="Arial" w:hAnsi="Arial"/>
          <w:sz w:val="18"/>
          <w:szCs w:val="18"/>
          <w:color w:val="auto"/>
        </w:rPr>
        <w:t>4,779</w:t>
      </w:r>
      <w:r>
        <w:rPr>
          <w:sz w:val="20"/>
          <w:szCs w:val="20"/>
          <w:color w:val="auto"/>
        </w:rPr>
        <w:tab/>
      </w:r>
      <w:r>
        <w:rPr>
          <w:rFonts w:ascii="Arial" w:cs="Arial" w:eastAsia="Arial" w:hAnsi="Arial"/>
          <w:sz w:val="18"/>
          <w:szCs w:val="18"/>
          <w:color w:val="auto"/>
        </w:rPr>
        <w:t>570</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199,131</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028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 w:lineRule="exact"/>
        <w:rPr>
          <w:sz w:val="20"/>
          <w:szCs w:val="20"/>
          <w:color w:val="auto"/>
        </w:rPr>
      </w:pPr>
    </w:p>
    <w:p>
      <w:pPr>
        <w:spacing w:after="0"/>
        <w:tabs>
          <w:tab w:leader="none" w:pos="860" w:val="left"/>
          <w:tab w:leader="none" w:pos="1100" w:val="left"/>
        </w:tabs>
        <w:rPr>
          <w:sz w:val="20"/>
          <w:szCs w:val="20"/>
          <w:color w:val="auto"/>
        </w:rPr>
      </w:pPr>
      <w:r>
        <w:rPr>
          <w:rFonts w:ascii="Arial" w:cs="Arial" w:eastAsia="Arial" w:hAnsi="Arial"/>
          <w:sz w:val="18"/>
          <w:szCs w:val="18"/>
          <w:u w:val="single" w:color="auto"/>
          <w:color w:val="auto"/>
        </w:rPr>
        <w:t>$ 35,049</w:t>
        <w:tab/>
        <w:t>$</w:t>
      </w:r>
      <w:r>
        <w:rPr>
          <w:sz w:val="20"/>
          <w:szCs w:val="20"/>
          <w:color w:val="auto"/>
        </w:rPr>
        <w:tab/>
      </w:r>
      <w:r>
        <w:rPr>
          <w:rFonts w:ascii="Arial" w:cs="Arial" w:eastAsia="Arial" w:hAnsi="Arial"/>
          <w:sz w:val="16"/>
          <w:szCs w:val="16"/>
          <w:u w:val="single" w:color="auto"/>
          <w:color w:val="auto"/>
        </w:rPr>
        <w:t>38,974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1028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Twelve Months Ended</w:t>
      </w:r>
    </w:p>
    <w:p>
      <w:pPr>
        <w:jc w:val="center"/>
        <w:ind w:right="-19"/>
        <w:spacing w:after="0" w:line="226" w:lineRule="auto"/>
        <w:rPr>
          <w:sz w:val="20"/>
          <w:szCs w:val="20"/>
          <w:color w:val="auto"/>
        </w:rPr>
      </w:pPr>
      <w:r>
        <w:rPr>
          <w:rFonts w:ascii="Arial" w:cs="Arial" w:eastAsia="Arial" w:hAnsi="Arial"/>
          <w:sz w:val="14"/>
          <w:szCs w:val="14"/>
          <w:b w:val="1"/>
          <w:bCs w:val="1"/>
          <w:color w:val="auto"/>
        </w:rPr>
        <w:t>December 31,</w:t>
      </w:r>
    </w:p>
    <w:p>
      <w:pPr>
        <w:ind w:left="240"/>
        <w:spacing w:after="0"/>
        <w:tabs>
          <w:tab w:leader="none" w:pos="11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9" w:lineRule="exact"/>
        <w:rPr>
          <w:sz w:val="20"/>
          <w:szCs w:val="20"/>
          <w:color w:val="auto"/>
        </w:rPr>
      </w:pPr>
    </w:p>
    <w:p>
      <w:pPr>
        <w:ind w:left="300" w:hanging="215"/>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(1.13)   $  (8.30)</w:t>
      </w:r>
    </w:p>
    <w:p>
      <w:pPr>
        <w:spacing w:after="0" w:line="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0.94</w:t>
      </w:r>
      <w:r>
        <w:rPr>
          <w:rFonts w:ascii="Arial" w:cs="Arial" w:eastAsia="Arial" w:hAnsi="Arial"/>
          <w:sz w:val="16"/>
          <w:szCs w:val="16"/>
          <w:color w:val="auto"/>
        </w:rPr>
        <w:t>1.56</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0.01</w:t>
      </w:r>
      <w:r>
        <w:rPr>
          <w:rFonts w:ascii="Arial" w:cs="Arial" w:eastAsia="Arial" w:hAnsi="Arial"/>
          <w:sz w:val="16"/>
          <w:szCs w:val="16"/>
          <w:color w:val="auto"/>
        </w:rPr>
        <w:t>0.08</w:t>
      </w:r>
    </w:p>
    <w:p>
      <w:pPr>
        <w:spacing w:after="0" w:line="9" w:lineRule="exact"/>
        <w:rPr>
          <w:sz w:val="20"/>
          <w:szCs w:val="20"/>
          <w:color w:val="auto"/>
        </w:rPr>
      </w:pPr>
    </w:p>
    <w:p>
      <w:pPr>
        <w:ind w:left="300"/>
        <w:spacing w:after="0"/>
        <w:tabs>
          <w:tab w:leader="none" w:pos="1280" w:val="left"/>
        </w:tabs>
        <w:rPr>
          <w:sz w:val="20"/>
          <w:szCs w:val="20"/>
          <w:color w:val="auto"/>
        </w:rPr>
      </w:pPr>
      <w:r>
        <w:rPr>
          <w:rFonts w:ascii="Arial" w:cs="Arial" w:eastAsia="Arial" w:hAnsi="Arial"/>
          <w:sz w:val="18"/>
          <w:szCs w:val="18"/>
          <w:color w:val="auto"/>
        </w:rPr>
        <w:t>(0.00)</w:t>
      </w:r>
      <w:r>
        <w:rPr>
          <w:sz w:val="20"/>
          <w:szCs w:val="20"/>
          <w:color w:val="auto"/>
        </w:rPr>
        <w:tab/>
      </w:r>
      <w:r>
        <w:rPr>
          <w:rFonts w:ascii="Arial" w:cs="Arial" w:eastAsia="Arial" w:hAnsi="Arial"/>
          <w:sz w:val="16"/>
          <w:szCs w:val="16"/>
          <w:color w:val="auto"/>
        </w:rPr>
        <w:t>0.07</w:t>
      </w:r>
    </w:p>
    <w:p>
      <w:pPr>
        <w:spacing w:after="0" w:line="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0.08</w:t>
      </w:r>
      <w:r>
        <w:rPr>
          <w:sz w:val="20"/>
          <w:szCs w:val="20"/>
          <w:color w:val="auto"/>
        </w:rPr>
        <w:tab/>
      </w:r>
      <w:r>
        <w:rPr>
          <w:rFonts w:ascii="Arial" w:cs="Arial" w:eastAsia="Arial" w:hAnsi="Arial"/>
          <w:sz w:val="16"/>
          <w:szCs w:val="16"/>
          <w:color w:val="auto"/>
        </w:rPr>
        <w:t>0.62</w:t>
      </w:r>
    </w:p>
    <w:p>
      <w:pPr>
        <w:spacing w:after="0" w:line="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1.19</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0.11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0.02</w:t>
      </w:r>
      <w:r>
        <w:rPr>
          <w:rFonts w:ascii="Arial" w:cs="Arial" w:eastAsia="Arial" w:hAnsi="Arial"/>
          <w:sz w:val="16"/>
          <w:szCs w:val="16"/>
          <w:color w:val="auto"/>
        </w:rPr>
        <w:t>0.17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0.02—</w:t>
      </w:r>
    </w:p>
    <w:p>
      <w:pPr>
        <w:spacing w:after="0" w:line="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(0.46)</w:t>
      </w:r>
      <w:r>
        <w:rPr>
          <w:sz w:val="20"/>
          <w:szCs w:val="20"/>
          <w:color w:val="auto"/>
        </w:rPr>
        <w:tab/>
      </w:r>
      <w:r>
        <w:rPr>
          <w:rFonts w:ascii="Arial" w:cs="Arial" w:eastAsia="Arial" w:hAnsi="Arial"/>
          <w:sz w:val="16"/>
          <w:szCs w:val="16"/>
          <w:color w:val="auto"/>
        </w:rPr>
        <w:t>(0.79)</w:t>
      </w:r>
    </w:p>
    <w:p>
      <w:pPr>
        <w:spacing w:after="0" w:line="9" w:lineRule="exact"/>
        <w:rPr>
          <w:sz w:val="20"/>
          <w:szCs w:val="20"/>
          <w:color w:val="auto"/>
        </w:rPr>
      </w:pPr>
    </w:p>
    <w:p>
      <w:pPr>
        <w:ind w:left="380"/>
        <w:spacing w:after="0"/>
        <w:tabs>
          <w:tab w:leader="none" w:pos="1280" w:val="left"/>
        </w:tabs>
        <w:rPr>
          <w:sz w:val="20"/>
          <w:szCs w:val="20"/>
          <w:color w:val="auto"/>
        </w:rPr>
      </w:pPr>
      <w:r>
        <w:rPr>
          <w:rFonts w:ascii="Arial" w:cs="Arial" w:eastAsia="Arial" w:hAnsi="Arial"/>
          <w:sz w:val="18"/>
          <w:szCs w:val="18"/>
          <w:color w:val="auto"/>
        </w:rPr>
        <w:t>0.11</w:t>
      </w:r>
      <w:r>
        <w:rPr>
          <w:sz w:val="20"/>
          <w:szCs w:val="20"/>
          <w:color w:val="auto"/>
        </w:rPr>
        <w:tab/>
      </w:r>
      <w:r>
        <w:rPr>
          <w:rFonts w:ascii="Arial" w:cs="Arial" w:eastAsia="Arial" w:hAnsi="Arial"/>
          <w:sz w:val="16"/>
          <w:szCs w:val="16"/>
          <w:color w:val="auto"/>
        </w:rPr>
        <w:t>0.02</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6.29</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0.23</w:t>
      </w:r>
    </w:p>
    <w:p>
      <w:pPr>
        <w:spacing w:after="0" w:line="9"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5715</wp:posOffset>
            </wp:positionV>
            <wp:extent cx="9772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 w:lineRule="exact"/>
        <w:rPr>
          <w:sz w:val="20"/>
          <w:szCs w:val="20"/>
          <w:color w:val="auto"/>
        </w:rPr>
      </w:pPr>
    </w:p>
    <w:p>
      <w:pPr>
        <w:ind w:left="360" w:hanging="275"/>
        <w:spacing w:after="0"/>
        <w:tabs>
          <w:tab w:leader="none" w:pos="360"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0.83    $   1.23</w:t>
      </w:r>
    </w:p>
    <w:p>
      <w:pPr>
        <w:spacing w:after="0" w:line="63" w:lineRule="exact"/>
        <w:rPr>
          <w:rFonts w:ascii="Arial" w:cs="Arial" w:eastAsia="Arial" w:hAnsi="Arial"/>
          <w:sz w:val="18"/>
          <w:szCs w:val="18"/>
          <w:u w:val="single" w:color="auto"/>
          <w:color w:val="auto"/>
        </w:rPr>
      </w:pPr>
    </w:p>
    <w:p>
      <w:pPr>
        <w:ind w:left="180"/>
        <w:spacing w:after="0"/>
        <w:rPr>
          <w:rFonts w:ascii="Arial" w:cs="Arial" w:eastAsia="Arial" w:hAnsi="Arial"/>
          <w:sz w:val="18"/>
          <w:szCs w:val="18"/>
          <w:u w:val="single" w:color="auto"/>
          <w:color w:val="auto"/>
        </w:rPr>
      </w:pPr>
      <w:r>
        <w:rPr>
          <w:rFonts w:ascii="Arial" w:cs="Arial" w:eastAsia="Arial" w:hAnsi="Arial"/>
          <w:sz w:val="18"/>
          <w:szCs w:val="18"/>
          <w:color w:val="auto"/>
        </w:rPr>
        <w:t>42,030</w:t>
      </w:r>
      <w:r>
        <w:rPr>
          <w:rFonts w:ascii="Arial" w:cs="Arial" w:eastAsia="Arial" w:hAnsi="Arial"/>
          <w:sz w:val="16"/>
          <w:szCs w:val="16"/>
          <w:color w:val="auto"/>
        </w:rPr>
        <w:t>31,678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-139065</wp:posOffset>
            </wp:positionV>
            <wp:extent cx="9772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ectPr>
          <w:pgSz w:w="11900" w:h="16838" w:orient="portrait"/>
          <w:cols w:equalWidth="0" w:num="2">
            <w:col w:w="8560" w:space="720"/>
            <w:col w:w="1680"/>
          </w:cols>
          <w:pgMar w:left="440" w:top="270" w:right="499" w:bottom="1440" w:gutter="0" w:footer="0" w:header="0"/>
          <w:type w:val="continuous"/>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Operating Cash Flow to Free Cash Flow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8"/>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44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54,154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(12,601)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(17,038)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37,116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8"/>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44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48,526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40,939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(53,321)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(64,036)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(23,097)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620" w:type="dxa"/>
            <w:vAlign w:val="bottom"/>
            <w:gridSpan w:val="2"/>
            <w:vMerge w:val="restart"/>
          </w:tcPr>
          <w:p>
            <w:pPr>
              <w:jc w:val="center"/>
              <w:ind w:right="2436"/>
              <w:spacing w:after="0"/>
              <w:rPr>
                <w:sz w:val="20"/>
                <w:szCs w:val="20"/>
                <w:color w:val="auto"/>
              </w:rPr>
            </w:pPr>
            <w:r>
              <w:rPr>
                <w:rFonts w:ascii="Arial" w:cs="Arial" w:eastAsia="Arial" w:hAnsi="Arial"/>
                <w:sz w:val="18"/>
                <w:szCs w:val="18"/>
                <w:b w:val="1"/>
                <w:bCs w:val="1"/>
                <w:color w:val="auto"/>
                <w:w w:val="90"/>
              </w:rPr>
              <w:t>Reconciliation of Net Debt</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tcPr>
          <w:p>
            <w:pPr>
              <w:spacing w:after="0"/>
              <w:rPr>
                <w:sz w:val="24"/>
                <w:szCs w:val="24"/>
                <w:color w:val="auto"/>
              </w:rPr>
            </w:pPr>
          </w:p>
        </w:tc>
        <w:tc>
          <w:tcPr>
            <w:tcW w:w="46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4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Short term debt &amp; finance lease liability</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0"/>
              </w:rPr>
              <w:t>Long term debt and finance lease liability (ex- issuance costs)</w:t>
            </w: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w w:val="98"/>
              </w:rPr>
              <w:t>766,521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817,549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Funded debt</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8"/>
              </w:rPr>
              <w:t>789,351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851,377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31,703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debt</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8"/>
              </w:rPr>
              <w:t>757,648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833,389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440" w:type="dxa"/>
            <w:vAlign w:val="bottom"/>
            <w:vMerge w:val="restart"/>
          </w:tcPr>
          <w:p>
            <w:pPr>
              <w:jc w:val="right"/>
              <w:ind w:right="321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4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ind w:left="4"/>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discloses in this presentation the non-GAAP financial measures of adjusted income from operations, adjusted EBITDA, adjusted net income (loss), adjusted net income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EBITDA, adjusted net income (loss), adjusted net income per diluted share, free cash flow and net debt provides useful information in assessing our underlying business trends and facilitates comparison of our long-term performance over given periods.</w:t>
      </w:r>
    </w:p>
    <w:p>
      <w:pPr>
        <w:spacing w:after="0" w:line="172"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80" w:lineRule="exact"/>
        <w:rPr>
          <w:sz w:val="20"/>
          <w:szCs w:val="20"/>
          <w:color w:val="auto"/>
        </w:rPr>
      </w:pPr>
    </w:p>
    <w:p>
      <w:pPr>
        <w:ind w:left="4" w:hanging="4"/>
        <w:spacing w:after="0" w:line="254" w:lineRule="auto"/>
        <w:tabs>
          <w:tab w:leader="none" w:pos="259"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86" w:lineRule="exact"/>
        <w:rPr>
          <w:rFonts w:ascii="Arial" w:cs="Arial" w:eastAsia="Arial" w:hAnsi="Arial"/>
          <w:sz w:val="18"/>
          <w:szCs w:val="18"/>
          <w:i w:val="1"/>
          <w:iCs w:val="1"/>
          <w:color w:val="auto"/>
        </w:rPr>
      </w:pPr>
    </w:p>
    <w:p>
      <w:pPr>
        <w:ind w:left="4" w:right="140" w:hanging="4"/>
        <w:spacing w:after="0" w:line="267" w:lineRule="auto"/>
        <w:tabs>
          <w:tab w:leader="none" w:pos="259"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EBITDA represents GAAP net income (loss), adjusted to include income taxes, interest expense, Interest rate swaps and write-offs, depreciation and amortization, charges related to acquisition and transition costs, non-cash stock compensation expense, foreign exchange gain (loss) on inter-company loans, restructuring and integration expense,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4" w:lineRule="exact"/>
        <w:rPr>
          <w:rFonts w:ascii="Arial" w:cs="Arial" w:eastAsia="Arial" w:hAnsi="Arial"/>
          <w:sz w:val="17"/>
          <w:szCs w:val="17"/>
          <w:i w:val="1"/>
          <w:iCs w:val="1"/>
          <w:color w:val="auto"/>
        </w:rPr>
      </w:pPr>
    </w:p>
    <w:p>
      <w:pPr>
        <w:ind w:left="4" w:right="300" w:hanging="4"/>
        <w:spacing w:after="0" w:line="277" w:lineRule="auto"/>
        <w:tabs>
          <w:tab w:leader="none" w:pos="249"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64" w:lineRule="exact"/>
        <w:rPr>
          <w:rFonts w:ascii="Arial" w:cs="Arial" w:eastAsia="Arial" w:hAnsi="Arial"/>
          <w:sz w:val="17"/>
          <w:szCs w:val="17"/>
          <w:i w:val="1"/>
          <w:iCs w:val="1"/>
          <w:color w:val="auto"/>
        </w:rPr>
      </w:pPr>
    </w:p>
    <w:p>
      <w:pPr>
        <w:ind w:left="4" w:hanging="4"/>
        <w:spacing w:after="0" w:line="270" w:lineRule="auto"/>
        <w:tabs>
          <w:tab w:leader="none" w:pos="259"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estimated interest expense on cash held from divestiture, non-cash impairment charges, the impact of enactment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upperLetter"/>
      <w:start w:val="40"/>
    </w:lvl>
  </w:abstractNum>
  <w:abstractNum w:abstractNumId="3">
    <w:nsid w:val="1190CDE7"/>
    <w:multiLevelType w:val="hybridMultilevel"/>
    <w:lvl w:ilvl="0">
      <w:lvlJc w:val="left"/>
      <w:lvlText w:val="%1"/>
      <w:numFmt w:val="upperLetter"/>
      <w:start w:val="40"/>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lvl w:ilvl="1">
      <w:lvlJc w:val="left"/>
      <w:lvlText w:val="(%2)"/>
      <w:numFmt w:val="decimal"/>
      <w:start w:val="157"/>
    </w:lvl>
  </w:abstractNum>
  <w:abstractNum w:abstractNumId="9">
    <w:nsid w:val="7FDCC233"/>
    <w:multiLevelType w:val="hybridMultilevel"/>
    <w:lvl w:ilvl="0">
      <w:lvlJc w:val="left"/>
      <w:lvlText w:val="\emdash "/>
      <w:numFmt w:val="bullet"/>
      <w:start w:val="1"/>
    </w:lvl>
  </w:abstractNum>
  <w:abstractNum w:abstractNumId="10">
    <w:nsid w:val="1BEFD79F"/>
    <w:multiLevelType w:val="hybridMultilevel"/>
    <w:lvl w:ilvl="0">
      <w:lvlJc w:val="left"/>
      <w:lvlText w:val="\emdash "/>
      <w:numFmt w:val="bullet"/>
      <w:start w:val="1"/>
    </w:lvl>
  </w:abstractNum>
  <w:abstractNum w:abstractNumId="11">
    <w:nsid w:val="41A7C4C9"/>
    <w:multiLevelType w:val="hybridMultilevel"/>
    <w:lvl w:ilvl="0">
      <w:lvlJc w:val="left"/>
      <w:lvlText w:val="$"/>
      <w:numFmt w:val="bullet"/>
      <w:start w:val="1"/>
    </w:lvl>
    <w:lvl w:ilvl="1">
      <w:lvlJc w:val="left"/>
      <w:lvlText w:val="(%2)"/>
      <w:numFmt w:val="decimal"/>
      <w:start w:val="12"/>
    </w:lvl>
  </w:abstractNum>
  <w:abstractNum w:abstractNumId="12">
    <w:nsid w:val="6B68079A"/>
    <w:multiLevelType w:val="hybridMultilevel"/>
    <w:lvl w:ilvl="0">
      <w:lvlJc w:val="left"/>
      <w:lvlText w:val="\emdash "/>
      <w:numFmt w:val="bullet"/>
      <w:start w:val="1"/>
    </w:lvl>
  </w:abstractNum>
  <w:abstractNum w:abstractNumId="13">
    <w:nsid w:val="4E6AFB66"/>
    <w:multiLevelType w:val="hybridMultilevel"/>
    <w:lvl w:ilvl="0">
      <w:lvlJc w:val="left"/>
      <w:lvlText w:val="\emdash "/>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emdash "/>
      <w:numFmt w:val="bullet"/>
      <w:start w:val="1"/>
    </w:lvl>
  </w:abstractNum>
  <w:abstractNum w:abstractNumId="16">
    <w:nsid w:val="431BD7B7"/>
    <w:multiLevelType w:val="hybridMultilevel"/>
    <w:lvl w:ilvl="0">
      <w:lvlJc w:val="left"/>
      <w:lvlText w:val="\emdash "/>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2020-03-13T15:02:50Z</dcterms:created>
  <dcterms:modified xsi:type="dcterms:W3CDTF">2020-03-13T15:02:50Z</dcterms:modified>
</cp:coreProperties>
</file>