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p>
      <w:pPr>
        <w:spacing w:after="0" w:line="217" w:lineRule="exact"/>
        <w:rPr>
          <w:sz w:val="24"/>
          <w:szCs w:val="24"/>
          <w:color w:val="auto"/>
        </w:rPr>
      </w:pPr>
    </w:p>
    <w:p>
      <w:pPr>
        <w:ind w:left="202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400"/>
        <w:spacing w:after="0"/>
        <w:rPr>
          <w:sz w:val="20"/>
          <w:szCs w:val="20"/>
          <w:color w:val="auto"/>
        </w:rPr>
      </w:pPr>
      <w:r>
        <w:rPr>
          <w:rFonts w:ascii="Arial" w:cs="Arial" w:eastAsia="Arial" w:hAnsi="Arial"/>
          <w:sz w:val="15"/>
          <w:szCs w:val="15"/>
          <w:i w:val="1"/>
          <w:iCs w:val="1"/>
          <w:color w:val="auto"/>
        </w:rPr>
        <w:t>(State or other jurisdiction of</w:t>
      </w:r>
    </w:p>
    <w:p>
      <w:pPr>
        <w:spacing w:after="0" w:line="4" w:lineRule="exact"/>
        <w:rPr>
          <w:sz w:val="24"/>
          <w:szCs w:val="24"/>
          <w:color w:val="auto"/>
        </w:rPr>
      </w:pPr>
    </w:p>
    <w:p>
      <w:pPr>
        <w:ind w:left="1340"/>
        <w:spacing w:after="0"/>
        <w:rPr>
          <w:sz w:val="20"/>
          <w:szCs w:val="20"/>
          <w:color w:val="auto"/>
        </w:rPr>
      </w:pPr>
      <w:r>
        <w:rPr>
          <w:rFonts w:ascii="Arial" w:cs="Arial" w:eastAsia="Arial" w:hAnsi="Arial"/>
          <w:sz w:val="15"/>
          <w:szCs w:val="15"/>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000-23486</w:t>
      </w:r>
    </w:p>
    <w:p>
      <w:pPr>
        <w:spacing w:after="0" w:line="36" w:lineRule="exact"/>
        <w:rPr>
          <w:sz w:val="24"/>
          <w:szCs w:val="24"/>
          <w:color w:val="auto"/>
        </w:rPr>
      </w:pPr>
    </w:p>
    <w:p>
      <w:pPr>
        <w:jc w:val="center"/>
        <w:ind w:right="920"/>
        <w:spacing w:after="0"/>
        <w:rPr>
          <w:sz w:val="20"/>
          <w:szCs w:val="20"/>
          <w:color w:val="auto"/>
        </w:rPr>
      </w:pPr>
      <w:r>
        <w:rPr>
          <w:rFonts w:ascii="Arial" w:cs="Arial" w:eastAsia="Arial" w:hAnsi="Arial"/>
          <w:sz w:val="14"/>
          <w:szCs w:val="14"/>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600"/>
        <w:spacing w:after="0"/>
        <w:rPr>
          <w:sz w:val="20"/>
          <w:szCs w:val="20"/>
          <w:color w:val="auto"/>
        </w:rPr>
      </w:pPr>
      <w:r>
        <w:rPr>
          <w:rFonts w:ascii="Arial" w:cs="Arial" w:eastAsia="Arial" w:hAnsi="Arial"/>
          <w:sz w:val="16"/>
          <w:szCs w:val="16"/>
          <w:i w:val="1"/>
          <w:iCs w:val="1"/>
          <w:color w:val="auto"/>
        </w:rPr>
        <w:t>(I.R.S. Employer</w:t>
      </w:r>
    </w:p>
    <w:p>
      <w:pPr>
        <w:jc w:val="center"/>
        <w:ind w:right="1600"/>
        <w:spacing w:after="0"/>
        <w:rPr>
          <w:sz w:val="20"/>
          <w:szCs w:val="20"/>
          <w:color w:val="auto"/>
        </w:rPr>
      </w:pPr>
      <w:r>
        <w:rPr>
          <w:rFonts w:ascii="Arial" w:cs="Arial" w:eastAsia="Arial" w:hAnsi="Arial"/>
          <w:sz w:val="15"/>
          <w:szCs w:val="15"/>
          <w:i w:val="1"/>
          <w:iCs w:val="1"/>
          <w:color w:val="auto"/>
        </w:rPr>
        <w:t>Identification Number)</w:t>
      </w:r>
    </w:p>
    <w:p>
      <w:pPr>
        <w:spacing w:after="0" w:line="200" w:lineRule="exact"/>
        <w:rPr>
          <w:sz w:val="24"/>
          <w:szCs w:val="24"/>
          <w:color w:val="auto"/>
        </w:rPr>
      </w:pPr>
    </w:p>
    <w:p>
      <w:pPr>
        <w:sectPr>
          <w:pgSz w:w="11900" w:h="16838" w:orient="portrait"/>
          <w:cols w:equalWidth="0" w:num="3">
            <w:col w:w="4020" w:space="720"/>
            <w:col w:w="2700" w:space="720"/>
            <w:col w:w="3080"/>
          </w:cols>
          <w:pgMar w:left="320" w:top="1295" w:right="339" w:bottom="1440" w:gutter="0" w:footer="0" w:header="0"/>
          <w:type w:val="continuous"/>
        </w:sectPr>
      </w:pPr>
    </w:p>
    <w:p>
      <w:pPr>
        <w:spacing w:after="0" w:line="231" w:lineRule="exact"/>
        <w:rPr>
          <w:sz w:val="24"/>
          <w:szCs w:val="24"/>
          <w:color w:val="auto"/>
        </w:rPr>
      </w:pPr>
    </w:p>
    <w:p>
      <w:pPr>
        <w:jc w:val="center"/>
        <w:ind w:left="440"/>
        <w:spacing w:after="0"/>
        <w:rPr>
          <w:sz w:val="20"/>
          <w:szCs w:val="20"/>
          <w:color w:val="auto"/>
        </w:rPr>
      </w:pPr>
      <w:r>
        <w:rPr>
          <w:rFonts w:ascii="Arial" w:cs="Arial" w:eastAsia="Arial" w:hAnsi="Arial"/>
          <w:sz w:val="14"/>
          <w:szCs w:val="14"/>
          <w:b w:val="1"/>
          <w:bCs w:val="1"/>
          <w:color w:val="auto"/>
        </w:rPr>
        <w:t>6210 Ardrey Kell Road, Suite 600</w:t>
      </w:r>
    </w:p>
    <w:p>
      <w:pPr>
        <w:spacing w:after="0" w:line="109" w:lineRule="exact"/>
        <w:rPr>
          <w:sz w:val="24"/>
          <w:szCs w:val="24"/>
          <w:color w:val="auto"/>
        </w:rPr>
      </w:pPr>
    </w:p>
    <w:p>
      <w:pPr>
        <w:jc w:val="center"/>
        <w:ind w:left="44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1" w:lineRule="exact"/>
        <w:rPr>
          <w:sz w:val="24"/>
          <w:szCs w:val="24"/>
          <w:color w:val="auto"/>
        </w:rPr>
      </w:pPr>
    </w:p>
    <w:p>
      <w:pPr>
        <w:jc w:val="center"/>
        <w:ind w:right="2780"/>
        <w:spacing w:after="0"/>
        <w:rPr>
          <w:sz w:val="20"/>
          <w:szCs w:val="20"/>
          <w:color w:val="auto"/>
        </w:rPr>
      </w:pPr>
      <w:r>
        <w:rPr>
          <w:rFonts w:ascii="Arial" w:cs="Arial" w:eastAsia="Arial" w:hAnsi="Arial"/>
          <w:sz w:val="15"/>
          <w:szCs w:val="15"/>
          <w:b w:val="1"/>
          <w:bCs w:val="1"/>
          <w:color w:val="auto"/>
        </w:rPr>
        <w:t>28277</w:t>
      </w:r>
    </w:p>
    <w:p>
      <w:pPr>
        <w:spacing w:after="0" w:line="101" w:lineRule="exact"/>
        <w:rPr>
          <w:sz w:val="24"/>
          <w:szCs w:val="24"/>
          <w:color w:val="auto"/>
        </w:rPr>
      </w:pPr>
    </w:p>
    <w:p>
      <w:pPr>
        <w:sectPr>
          <w:pgSz w:w="11900" w:h="16838" w:orient="portrait"/>
          <w:cols w:equalWidth="0" w:num="2">
            <w:col w:w="7320" w:space="720"/>
            <w:col w:w="3200"/>
          </w:cols>
          <w:pgMar w:left="320" w:top="1295" w:right="339" w:bottom="1440" w:gutter="0" w:footer="0" w:header="0"/>
          <w:type w:val="continuous"/>
        </w:sectPr>
      </w:pPr>
    </w:p>
    <w:p>
      <w:pPr>
        <w:jc w:val="center"/>
        <w:ind w:left="60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4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ectPr>
          <w:pgSz w:w="11900" w:h="16838" w:orient="portrait"/>
          <w:cols w:equalWidth="0" w:num="2">
            <w:col w:w="7180" w:space="720"/>
            <w:col w:w="3340"/>
          </w:cols>
          <w:pgMar w:left="320" w:top="1295"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(980) 264-4300</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4"/>
          <w:szCs w:val="14"/>
          <w:i w:val="1"/>
          <w:iCs w:val="1"/>
          <w:color w:val="auto"/>
        </w:rPr>
        <w:t>(Registrant’s telephone number, including area code)</w:t>
      </w:r>
    </w:p>
    <w:p>
      <w:pPr>
        <w:sectPr>
          <w:pgSz w:w="11900" w:h="16838" w:orient="portrait"/>
          <w:cols w:equalWidth="0" w:num="1">
            <w:col w:w="11240"/>
          </w:cols>
          <w:pgMar w:left="320" w:top="1295" w:right="339" w:bottom="1440" w:gutter="0" w:footer="0" w:header="0"/>
          <w:type w:val="continuous"/>
        </w:sectPr>
      </w:pP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32385</wp:posOffset>
            </wp:positionV>
            <wp:extent cx="2125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86"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295" w:right="339" w:bottom="1440" w:gutter="0" w:footer="0" w:header="0"/>
          <w:type w:val="continuous"/>
        </w:sectPr>
      </w:pPr>
    </w:p>
    <w:p>
      <w:pPr>
        <w:spacing w:after="0" w:line="32" w:lineRule="exact"/>
        <w:rPr>
          <w:sz w:val="24"/>
          <w:szCs w:val="24"/>
          <w:color w:val="auto"/>
        </w:rPr>
      </w:pPr>
    </w:p>
    <w:p>
      <w:pPr>
        <w:ind w:left="164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47" w:lineRule="exact"/>
        <w:rPr>
          <w:sz w:val="24"/>
          <w:szCs w:val="24"/>
          <w:color w:val="auto"/>
        </w:rPr>
      </w:pPr>
    </w:p>
    <w:p>
      <w:pPr>
        <w:sectPr>
          <w:pgSz w:w="11900" w:h="16838" w:orient="portrait"/>
          <w:cols w:equalWidth="0" w:num="3">
            <w:col w:w="4440" w:space="720"/>
            <w:col w:w="1940" w:space="720"/>
            <w:col w:w="3420"/>
          </w:cols>
          <w:pgMar w:left="320" w:top="1295" w:right="339" w:bottom="1440" w:gutter="0" w:footer="0" w:header="0"/>
          <w:type w:val="continuous"/>
        </w:sectPr>
      </w:pPr>
    </w:p>
    <w:p>
      <w:pPr>
        <w:ind w:left="860"/>
        <w:spacing w:after="0"/>
        <w:rPr>
          <w:sz w:val="20"/>
          <w:szCs w:val="20"/>
          <w:color w:val="auto"/>
        </w:rPr>
      </w:pPr>
      <w:r>
        <w:rPr>
          <w:rFonts w:ascii="Arial" w:cs="Arial" w:eastAsia="Arial" w:hAnsi="Arial"/>
          <w:sz w:val="13"/>
          <w:szCs w:val="13"/>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2" w:lineRule="exact"/>
        <w:rPr>
          <w:sz w:val="24"/>
          <w:szCs w:val="24"/>
          <w:color w:val="auto"/>
        </w:rPr>
      </w:pPr>
    </w:p>
    <w:p>
      <w:pPr>
        <w:sectPr>
          <w:pgSz w:w="11900" w:h="16838" w:orient="portrait"/>
          <w:cols w:equalWidth="0" w:num="3">
            <w:col w:w="4680" w:space="720"/>
            <w:col w:w="2000" w:space="720"/>
            <w:col w:w="3120"/>
          </w:cols>
          <w:pgMar w:left="320" w:top="1295" w:right="339" w:bottom="1440" w:gutter="0" w:footer="0" w:header="0"/>
          <w:type w:val="continuous"/>
        </w:sect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type w:val="continuous"/>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6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March 3, 2022, NN, Inc., a Delaware corporation (the “Company”), certain subsidiaries of the Company named therein, the lenders party thereto and Oaktree Fund Administration, LLC, as administrative agent, entered into that certain Amendment No. 1 to Term Loan Credit Agreement (the “Amendment”), which amended the Company’s existing Term Loan Credit Agreement, dated as of March 22, 2021 (the “Term Loan Credit Agreement”), by and among the Company, the lenders party thereto from time to time, and Oaktree Fund Administration, LLC, as administrative agent.</w:t>
      </w:r>
    </w:p>
    <w:p>
      <w:pPr>
        <w:spacing w:after="0" w:line="4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Amendment, among other things, increases the quarterly maximum Consolidated Net Leverage Ratio (as defined in the Term Loan Credit Agreement) that the Company is required to satisfy, beginning with the fiscal quarter ending March 31, 2022.</w:t>
      </w:r>
    </w:p>
    <w:p>
      <w:pPr>
        <w:spacing w:after="0" w:line="6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filed as Exhibit 10.1 to this Current Report on Form 8-K and incorporated herein by reference.</w:t>
      </w:r>
    </w:p>
    <w:p>
      <w:pPr>
        <w:spacing w:after="0" w:line="342" w:lineRule="exact"/>
        <w:rPr>
          <w:sz w:val="20"/>
          <w:szCs w:val="20"/>
          <w:color w:val="auto"/>
        </w:rPr>
      </w:pPr>
    </w:p>
    <w:p>
      <w:pPr>
        <w:ind w:left="1340" w:right="620" w:hanging="1322"/>
        <w:spacing w:after="0" w:line="237" w:lineRule="auto"/>
        <w:tabs>
          <w:tab w:leader="none" w:pos="13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8"/>
          <w:szCs w:val="18"/>
          <w:b w:val="1"/>
          <w:bCs w:val="1"/>
          <w:color w:val="auto"/>
        </w:rPr>
        <w:t>CREATION OF A DIRECT FINANCIAL OBLIGATION OR AN OBLIGATION UNDER AN OFF-BALANCE SHEET ARRANGEMENT OF A REGISTRANT.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9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March 4, 2022, the Company issued a press release announcing the Amendment. A copy of this press release is included as Exhibit 99.1 to this Current Report on Form 8-K.</w:t>
      </w:r>
    </w:p>
    <w:p>
      <w:pPr>
        <w:spacing w:after="0" w:line="6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except as otherwise expressly stated in such filing.</w:t>
      </w:r>
    </w:p>
    <w:p>
      <w:pPr>
        <w:spacing w:after="0" w:line="35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62" w:lineRule="exact"/>
        <w:rPr>
          <w:sz w:val="20"/>
          <w:szCs w:val="20"/>
          <w:color w:val="auto"/>
        </w:rPr>
      </w:pPr>
    </w:p>
    <w:p>
      <w:pPr>
        <w:ind w:left="440" w:hanging="387"/>
        <w:spacing w:after="0"/>
        <w:tabs>
          <w:tab w:leader="none" w:pos="4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Exhibit</w:t>
      </w:r>
    </w:p>
    <w:p>
      <w:pPr>
        <w:ind w:left="240"/>
        <w:spacing w:after="0"/>
        <w:tabs>
          <w:tab w:leader="none" w:pos="82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p>
    <w:p>
      <w:pPr>
        <w:ind w:left="840" w:right="920" w:hanging="699"/>
        <w:spacing w:after="0" w:line="246" w:lineRule="auto"/>
        <w:tabs>
          <w:tab w:leader="none" w:pos="8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8"/>
            <w:szCs w:val="18"/>
            <w:u w:val="single" w:color="auto"/>
            <w:color w:val="0000FF"/>
          </w:rPr>
          <w:t>Amendment No. 1 to Term Loan Credit Agreement, dated as of March 3, 2022, by and among NN, Inc., certain subsidiaries of NN,</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Inc., the lenders party thereto, and Oaktree Fund Administration, LLC, as administrative agent.</w:t>
        </w:r>
      </w:hyperlink>
    </w:p>
    <w:p>
      <w:pPr>
        <w:spacing w:after="0" w:line="8"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20">
        <w:r>
          <w:rPr>
            <w:rFonts w:ascii="Arial" w:cs="Arial" w:eastAsia="Arial" w:hAnsi="Arial"/>
            <w:sz w:val="16"/>
            <w:szCs w:val="16"/>
            <w:u w:val="single" w:color="auto"/>
            <w:color w:val="0000FF"/>
          </w:rPr>
          <w:t>Press Release issued by NN, Inc. dated March 4, 2022</w:t>
        </w:r>
      </w:hyperlink>
    </w:p>
    <w:p>
      <w:pPr>
        <w:spacing w:after="0" w:line="23" w:lineRule="exact"/>
        <w:rPr>
          <w:sz w:val="20"/>
          <w:szCs w:val="20"/>
          <w:color w:val="auto"/>
        </w:rPr>
      </w:pPr>
    </w:p>
    <w:p>
      <w:pPr>
        <w:ind w:left="840" w:hanging="636"/>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 pursuant to Rule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383" w:lineRule="exact"/>
        <w:rPr>
          <w:sz w:val="20"/>
          <w:szCs w:val="20"/>
          <w:color w:val="auto"/>
        </w:rPr>
      </w:pPr>
    </w:p>
    <w:tbl>
      <w:tblPr>
        <w:tblLayout w:type="fixed"/>
        <w:tblInd w:w="546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4360" w:type="dxa"/>
            <w:vAlign w:val="bottom"/>
          </w:tcPr>
          <w:p>
            <w:pPr>
              <w:spacing w:after="0"/>
              <w:rPr>
                <w:sz w:val="20"/>
                <w:szCs w:val="20"/>
                <w:color w:val="auto"/>
              </w:rPr>
            </w:pPr>
          </w:p>
        </w:tc>
      </w:tr>
      <w:tr>
        <w:trPr>
          <w:trHeight w:val="499"/>
        </w:trPr>
        <w:tc>
          <w:tcPr>
            <w:tcW w:w="14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1 TO TERM LOAN CREDIT AGREEMENT</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This AMENDMENT NO. 1 TO TERM LOAN CREDIT AGREEMENT, dated as of March 3, 2022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by and among NN,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other Loan Party party hereto, each Lender (as defined below) party hereto and Oaktree Fund Administration, LLC, as administrative agent and collateral agent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WHEREAS, the Borrower, the lenders party thereto from time to time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individually, each a “</w:t>
      </w:r>
      <w:r>
        <w:rPr>
          <w:rFonts w:ascii="Arial" w:cs="Arial" w:eastAsia="Arial" w:hAnsi="Arial"/>
          <w:sz w:val="22"/>
          <w:szCs w:val="22"/>
          <w:u w:val="single" w:color="auto"/>
          <w:color w:val="auto"/>
        </w:rPr>
        <w:t>Lender</w:t>
      </w:r>
      <w:r>
        <w:rPr>
          <w:rFonts w:ascii="Arial" w:cs="Arial" w:eastAsia="Arial" w:hAnsi="Arial"/>
          <w:sz w:val="22"/>
          <w:szCs w:val="22"/>
          <w:color w:val="auto"/>
        </w:rPr>
        <w:t>”) and the Administrative Agent are parties to that certain Term Loan Credit Agreement, dated as of March 22, 2021 (as amended, restated, amended and restated, supplemented or otherwise modified from time to time prior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Borrower has requested that the Lenders agree to amend certain provisions of the Credit Agreement as provided for herein;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Lenders are willing to agree to such amendment to the Credit Agreement.</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covenants and agreements contained herein, as well as other good and valuable consideration, the receipt and sufficiency of which are hereby acknowledged, the parties hereto hereby agree as follows:</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Defined Terms</w:t>
      </w:r>
      <w:r>
        <w:rPr>
          <w:rFonts w:ascii="Arial" w:cs="Arial" w:eastAsia="Arial" w:hAnsi="Arial"/>
          <w:sz w:val="22"/>
          <w:szCs w:val="22"/>
          <w:color w:val="000000"/>
        </w:rPr>
        <w:t>. Capitalized terms used but not defined herein shall have the meanings assigned to such</w:t>
      </w:r>
      <w:r>
        <w:rPr>
          <w:rFonts w:ascii="Arial" w:cs="Arial" w:eastAsia="Arial" w:hAnsi="Arial"/>
          <w:sz w:val="22"/>
          <w:szCs w:val="22"/>
          <w:color w:val="010000"/>
        </w:rPr>
        <w:t xml:space="preserve"> </w:t>
      </w:r>
      <w:r>
        <w:rPr>
          <w:rFonts w:ascii="Arial" w:cs="Arial" w:eastAsia="Arial" w:hAnsi="Arial"/>
          <w:sz w:val="22"/>
          <w:szCs w:val="22"/>
          <w:color w:val="000000"/>
        </w:rPr>
        <w:t>terms in the Credit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010000"/>
        </w:rPr>
        <w:t xml:space="preserve">SECTION 2. </w:t>
      </w:r>
      <w:r>
        <w:rPr>
          <w:rFonts w:ascii="Arial" w:cs="Arial" w:eastAsia="Arial" w:hAnsi="Arial"/>
          <w:sz w:val="22"/>
          <w:szCs w:val="22"/>
          <w:u w:val="single" w:color="auto"/>
          <w:color w:val="000000"/>
        </w:rPr>
        <w:t>Amendments</w:t>
      </w:r>
      <w:r>
        <w:rPr>
          <w:rFonts w:ascii="Arial" w:cs="Arial" w:eastAsia="Arial" w:hAnsi="Arial"/>
          <w:sz w:val="22"/>
          <w:szCs w:val="22"/>
          <w:color w:val="000000"/>
        </w:rPr>
        <w:t>. Each of the Loan Parties, the Lenders and the Administrative Agent agrees that the Credit</w:t>
      </w:r>
      <w:r>
        <w:rPr>
          <w:rFonts w:ascii="Arial" w:cs="Arial" w:eastAsia="Arial" w:hAnsi="Arial"/>
          <w:sz w:val="22"/>
          <w:szCs w:val="22"/>
          <w:color w:val="010000"/>
        </w:rPr>
        <w:t xml:space="preserve"> </w:t>
      </w:r>
      <w:r>
        <w:rPr>
          <w:rFonts w:ascii="Arial" w:cs="Arial" w:eastAsia="Arial" w:hAnsi="Arial"/>
          <w:sz w:val="22"/>
          <w:szCs w:val="22"/>
          <w:color w:val="000000"/>
        </w:rPr>
        <w:t>Agreement shall be amended as follows effective on and as of the Amendment Effective Date (the Credit Agreement as so amended, the “</w:t>
      </w:r>
      <w:r>
        <w:rPr>
          <w:rFonts w:ascii="Arial" w:cs="Arial" w:eastAsia="Arial" w:hAnsi="Arial"/>
          <w:sz w:val="22"/>
          <w:szCs w:val="22"/>
          <w:u w:val="single" w:color="auto"/>
          <w:color w:val="000000"/>
        </w:rPr>
        <w:t>Amended Credit Agreement</w:t>
      </w:r>
      <w:r>
        <w:rPr>
          <w:rFonts w:ascii="Arial" w:cs="Arial" w:eastAsia="Arial" w:hAnsi="Arial"/>
          <w:sz w:val="22"/>
          <w:szCs w:val="22"/>
          <w:color w:val="000000"/>
        </w:rPr>
        <w:t>”):</w:t>
      </w:r>
    </w:p>
    <w:p>
      <w:pPr>
        <w:spacing w:after="0" w:line="159"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Section 7.14</w:t>
      </w:r>
      <w:r>
        <w:rPr>
          <w:rFonts w:ascii="Arial" w:cs="Arial" w:eastAsia="Arial" w:hAnsi="Arial"/>
          <w:sz w:val="22"/>
          <w:szCs w:val="22"/>
          <w:color w:val="auto"/>
        </w:rPr>
        <w:t xml:space="preserve"> of the Credit Agreement is hereby amended and restated in its entirety as follows:</w:t>
      </w:r>
    </w:p>
    <w:p>
      <w:pPr>
        <w:spacing w:after="0" w:line="179" w:lineRule="exact"/>
        <w:rPr>
          <w:sz w:val="20"/>
          <w:szCs w:val="20"/>
          <w:color w:val="auto"/>
        </w:rPr>
      </w:pPr>
    </w:p>
    <w:p>
      <w:pPr>
        <w:ind w:left="660" w:right="180" w:firstLine="216"/>
        <w:spacing w:after="0" w:line="249" w:lineRule="auto"/>
        <w:rPr>
          <w:sz w:val="20"/>
          <w:szCs w:val="20"/>
          <w:color w:val="auto"/>
        </w:rPr>
      </w:pPr>
      <w:r>
        <w:rPr>
          <w:rFonts w:ascii="Arial" w:cs="Arial" w:eastAsia="Arial" w:hAnsi="Arial"/>
          <w:sz w:val="19"/>
          <w:szCs w:val="19"/>
          <w:u w:val="single" w:color="auto"/>
          <w:color w:val="auto"/>
        </w:rPr>
        <w:t>Financial Covenant</w:t>
      </w:r>
      <w:r>
        <w:rPr>
          <w:rFonts w:ascii="Arial" w:cs="Arial" w:eastAsia="Arial" w:hAnsi="Arial"/>
          <w:sz w:val="19"/>
          <w:szCs w:val="19"/>
          <w:color w:val="auto"/>
        </w:rPr>
        <w:t xml:space="preserve">. For the benefit of the Lenders (and the Administrative Agent on their behalf), permit the Consolidated Net Leverage Ratio of the Borrower and its Subsidiaries as of the last day of any fiscal quarter of the Borrower to exceed the Consolidated Net Leverage Ratio set forth for the applicable fiscal quarter below, which will be tested quarterly on a trailing four (4) fiscal quarter basis for the most recent four fiscal quarter period for which financial statements are required to be delivered under </w:t>
      </w:r>
      <w:r>
        <w:rPr>
          <w:rFonts w:ascii="Arial" w:cs="Arial" w:eastAsia="Arial" w:hAnsi="Arial"/>
          <w:sz w:val="19"/>
          <w:szCs w:val="19"/>
          <w:u w:val="single" w:color="auto"/>
          <w:color w:val="auto"/>
        </w:rPr>
        <w:t>Article VI</w:t>
      </w:r>
      <w:r>
        <w:rPr>
          <w:rFonts w:ascii="Arial" w:cs="Arial" w:eastAsia="Arial" w:hAnsi="Arial"/>
          <w:sz w:val="19"/>
          <w:szCs w:val="19"/>
          <w:color w:val="auto"/>
        </w:rPr>
        <w:t>, as of the last day of any fiscal quarter of the Borrower (commencing with the first full fiscal quarter of the Borrower following the Closing Date) (the “</w:t>
      </w:r>
      <w:r>
        <w:rPr>
          <w:rFonts w:ascii="Arial" w:cs="Arial" w:eastAsia="Arial" w:hAnsi="Arial"/>
          <w:sz w:val="19"/>
          <w:szCs w:val="19"/>
          <w:u w:val="single" w:color="auto"/>
          <w:color w:val="auto"/>
        </w:rPr>
        <w:t>Financial Covenant</w:t>
      </w:r>
      <w:r>
        <w:rPr>
          <w:rFonts w:ascii="Arial" w:cs="Arial" w:eastAsia="Arial" w:hAnsi="Arial"/>
          <w:sz w:val="19"/>
          <w:szCs w:val="19"/>
          <w:color w:val="auto"/>
        </w:rPr>
        <w:t>”):</w:t>
      </w:r>
    </w:p>
    <w:p>
      <w:pPr>
        <w:sectPr>
          <w:pgSz w:w="11900" w:h="16838" w:orient="portrait"/>
          <w:cols w:equalWidth="0" w:num="1">
            <w:col w:w="11240"/>
          </w:cols>
          <w:pgMar w:left="320" w:top="104" w:right="339" w:bottom="1440" w:gutter="0" w:footer="0" w:header="0"/>
        </w:sectPr>
      </w:pPr>
    </w:p>
    <w:bookmarkStart w:id="4" w:name="page5"/>
    <w:bookmarkEnd w:id="4"/>
    <w:p>
      <w:pPr>
        <w:spacing w:after="0" w:line="3" w:lineRule="exact"/>
        <w:rPr>
          <w:sz w:val="20"/>
          <w:szCs w:val="20"/>
          <w:color w:val="auto"/>
        </w:rPr>
      </w:pPr>
    </w:p>
    <w:tbl>
      <w:tblPr>
        <w:tblLayout w:type="fixed"/>
        <w:tblInd w:w="910" w:type="dxa"/>
        <w:tblCellMar>
          <w:top w:w="0" w:type="dxa"/>
          <w:left w:w="0" w:type="dxa"/>
          <w:bottom w:w="0" w:type="dxa"/>
          <w:right w:w="0" w:type="dxa"/>
        </w:tblCellMar>
      </w:tblPr>
      <w:tr>
        <w:trPr>
          <w:trHeight w:val="257"/>
        </w:trPr>
        <w:tc>
          <w:tcPr>
            <w:tcW w:w="398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2"/>
                <w:szCs w:val="22"/>
                <w:b w:val="1"/>
                <w:bCs w:val="1"/>
                <w:color w:val="auto"/>
              </w:rPr>
              <w:t>Fiscal Quarter</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Consolidated Net Leverage Ratio</w:t>
            </w:r>
          </w:p>
        </w:tc>
      </w:tr>
      <w:tr>
        <w:trPr>
          <w:trHeight w:val="236"/>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March 31, 2021</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3.75:1.00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June 30, 2021</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3.75:1.00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September 30, 2021</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3.75:1.00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December 31, 2021</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3.75:1.00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March 31, 2022</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4.00:1.00</w:t>
            </w:r>
          </w:p>
        </w:tc>
      </w:tr>
      <w:tr>
        <w:trPr>
          <w:trHeight w:val="236"/>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June 30, 2022</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4.00:1.00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September 30, 2022</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4.00:1.00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December 31, 2022</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3.50:1.00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March 31, 2023</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3.50:1.00</w:t>
            </w:r>
          </w:p>
        </w:tc>
      </w:tr>
      <w:tr>
        <w:trPr>
          <w:trHeight w:val="236"/>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June 30, 2023</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3.25:1.00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September 30, 2023</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3.00:1.00</w:t>
            </w:r>
          </w:p>
        </w:tc>
      </w:tr>
      <w:tr>
        <w:trPr>
          <w:trHeight w:val="237"/>
        </w:trPr>
        <w:tc>
          <w:tcPr>
            <w:tcW w:w="3980" w:type="dxa"/>
            <w:vAlign w:val="bottom"/>
            <w:tcBorders>
              <w:left w:val="single" w:sz="8" w:color="auto"/>
              <w:bottom w:val="single" w:sz="8" w:color="auto"/>
              <w:right w:val="single" w:sz="8" w:color="auto"/>
            </w:tcBorders>
          </w:tcPr>
          <w:p>
            <w:pPr>
              <w:ind w:left="780"/>
              <w:spacing w:after="0" w:line="237" w:lineRule="exact"/>
              <w:rPr>
                <w:sz w:val="20"/>
                <w:szCs w:val="20"/>
                <w:color w:val="auto"/>
              </w:rPr>
            </w:pPr>
            <w:r>
              <w:rPr>
                <w:rFonts w:ascii="Arial" w:cs="Arial" w:eastAsia="Arial" w:hAnsi="Arial"/>
                <w:sz w:val="22"/>
                <w:szCs w:val="22"/>
                <w:color w:val="auto"/>
              </w:rPr>
              <w:t>December 31, 2023</w:t>
            </w:r>
          </w:p>
        </w:tc>
        <w:tc>
          <w:tcPr>
            <w:tcW w:w="40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2.75:1.00</w:t>
            </w:r>
          </w:p>
        </w:tc>
      </w:tr>
      <w:tr>
        <w:trPr>
          <w:trHeight w:val="263"/>
        </w:trPr>
        <w:tc>
          <w:tcPr>
            <w:tcW w:w="398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22"/>
                <w:szCs w:val="22"/>
                <w:color w:val="auto"/>
              </w:rPr>
              <w:t>Thereafter</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2.50:1.00</w:t>
            </w:r>
          </w:p>
        </w:tc>
      </w:tr>
    </w:tbl>
    <w:p>
      <w:pPr>
        <w:spacing w:after="0" w:line="303" w:lineRule="exact"/>
        <w:rPr>
          <w:sz w:val="20"/>
          <w:szCs w:val="20"/>
          <w:color w:val="auto"/>
        </w:rPr>
      </w:pPr>
    </w:p>
    <w:p>
      <w:pPr>
        <w:ind w:right="20" w:firstLine="656"/>
        <w:spacing w:after="0" w:line="232" w:lineRule="auto"/>
        <w:tabs>
          <w:tab w:leader="none" w:pos="1291"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Schedule 5.01</w:t>
      </w:r>
      <w:r>
        <w:rPr>
          <w:rFonts w:ascii="Arial" w:cs="Arial" w:eastAsia="Arial" w:hAnsi="Arial"/>
          <w:sz w:val="22"/>
          <w:szCs w:val="22"/>
          <w:color w:val="auto"/>
          <w:highlight w:val="white"/>
        </w:rPr>
        <w:t>,</w:t>
      </w:r>
      <w:r>
        <w:rPr>
          <w:rFonts w:ascii="Arial" w:cs="Arial" w:eastAsia="Arial" w:hAnsi="Arial"/>
          <w:sz w:val="22"/>
          <w:szCs w:val="22"/>
          <w:color w:val="auto"/>
        </w:rPr>
        <w:t xml:space="preserve"> </w:t>
      </w:r>
      <w:r>
        <w:rPr>
          <w:rFonts w:ascii="Arial" w:cs="Arial" w:eastAsia="Arial" w:hAnsi="Arial"/>
          <w:sz w:val="22"/>
          <w:szCs w:val="22"/>
          <w:u w:val="single" w:color="auto"/>
          <w:color w:val="auto"/>
          <w:highlight w:val="white"/>
        </w:rPr>
        <w:t>Schedule 5.04</w:t>
      </w:r>
      <w:r>
        <w:rPr>
          <w:rFonts w:ascii="Arial" w:cs="Arial" w:eastAsia="Arial" w:hAnsi="Arial"/>
          <w:sz w:val="22"/>
          <w:szCs w:val="22"/>
          <w:color w:val="auto"/>
        </w:rPr>
        <w:t xml:space="preserve"> </w:t>
      </w:r>
      <w:r>
        <w:rPr>
          <w:rFonts w:ascii="Arial" w:cs="Arial" w:eastAsia="Arial" w:hAnsi="Arial"/>
          <w:sz w:val="22"/>
          <w:szCs w:val="22"/>
          <w:color w:val="auto"/>
          <w:highlight w:val="white"/>
        </w:rPr>
        <w:t>and</w:t>
      </w:r>
      <w:r>
        <w:rPr>
          <w:rFonts w:ascii="Arial" w:cs="Arial" w:eastAsia="Arial" w:hAnsi="Arial"/>
          <w:sz w:val="22"/>
          <w:szCs w:val="22"/>
          <w:color w:val="auto"/>
        </w:rPr>
        <w:t xml:space="preserve"> </w:t>
      </w:r>
      <w:r>
        <w:rPr>
          <w:rFonts w:ascii="Arial" w:cs="Arial" w:eastAsia="Arial" w:hAnsi="Arial"/>
          <w:sz w:val="22"/>
          <w:szCs w:val="22"/>
          <w:u w:val="single" w:color="auto"/>
          <w:color w:val="auto"/>
          <w:highlight w:val="white"/>
        </w:rPr>
        <w:t>Schedule 7.02</w:t>
      </w:r>
      <w:r>
        <w:rPr>
          <w:rFonts w:ascii="Arial" w:cs="Arial" w:eastAsia="Arial" w:hAnsi="Arial"/>
          <w:sz w:val="22"/>
          <w:szCs w:val="22"/>
          <w:color w:val="auto"/>
        </w:rPr>
        <w:t xml:space="preserve"> </w:t>
      </w:r>
      <w:r>
        <w:rPr>
          <w:rFonts w:ascii="Arial" w:cs="Arial" w:eastAsia="Arial" w:hAnsi="Arial"/>
          <w:sz w:val="22"/>
          <w:szCs w:val="22"/>
          <w:color w:val="auto"/>
          <w:highlight w:val="white"/>
        </w:rPr>
        <w:t>of the Credit Agreement are hereby amended and restated in their</w:t>
      </w:r>
      <w:r>
        <w:rPr>
          <w:rFonts w:ascii="Arial" w:cs="Arial" w:eastAsia="Arial" w:hAnsi="Arial"/>
          <w:sz w:val="22"/>
          <w:szCs w:val="22"/>
          <w:color w:val="auto"/>
        </w:rPr>
        <w:t xml:space="preserve"> </w:t>
      </w:r>
      <w:r>
        <w:rPr>
          <w:rFonts w:ascii="Arial" w:cs="Arial" w:eastAsia="Arial" w:hAnsi="Arial"/>
          <w:sz w:val="22"/>
          <w:szCs w:val="22"/>
          <w:color w:val="auto"/>
          <w:highlight w:val="white"/>
        </w:rPr>
        <w:t xml:space="preserve">entirety with </w:t>
      </w:r>
      <w:r>
        <w:rPr>
          <w:rFonts w:ascii="Arial" w:cs="Arial" w:eastAsia="Arial" w:hAnsi="Arial"/>
          <w:sz w:val="22"/>
          <w:szCs w:val="22"/>
          <w:u w:val="single" w:color="auto"/>
          <w:color w:val="auto"/>
          <w:highlight w:val="white"/>
        </w:rPr>
        <w:t>Schedule 5.01</w:t>
      </w:r>
      <w:r>
        <w:rPr>
          <w:rFonts w:ascii="Arial" w:cs="Arial" w:eastAsia="Arial" w:hAnsi="Arial"/>
          <w:sz w:val="22"/>
          <w:szCs w:val="22"/>
          <w:color w:val="auto"/>
          <w:highlight w:val="white"/>
        </w:rPr>
        <w:t xml:space="preserve">, </w:t>
      </w:r>
      <w:r>
        <w:rPr>
          <w:rFonts w:ascii="Arial" w:cs="Arial" w:eastAsia="Arial" w:hAnsi="Arial"/>
          <w:sz w:val="22"/>
          <w:szCs w:val="22"/>
          <w:u w:val="single" w:color="auto"/>
          <w:color w:val="auto"/>
          <w:highlight w:val="white"/>
        </w:rPr>
        <w:t>Schedule 5.04</w:t>
      </w:r>
      <w:r>
        <w:rPr>
          <w:rFonts w:ascii="Arial" w:cs="Arial" w:eastAsia="Arial" w:hAnsi="Arial"/>
          <w:sz w:val="22"/>
          <w:szCs w:val="22"/>
          <w:color w:val="auto"/>
          <w:highlight w:val="white"/>
        </w:rPr>
        <w:t xml:space="preserve"> and </w:t>
      </w:r>
      <w:r>
        <w:rPr>
          <w:rFonts w:ascii="Arial" w:cs="Arial" w:eastAsia="Arial" w:hAnsi="Arial"/>
          <w:sz w:val="22"/>
          <w:szCs w:val="22"/>
          <w:u w:val="single" w:color="auto"/>
          <w:color w:val="auto"/>
          <w:highlight w:val="white"/>
        </w:rPr>
        <w:t>Schedule 7.02</w:t>
      </w:r>
      <w:r>
        <w:rPr>
          <w:rFonts w:ascii="Arial" w:cs="Arial" w:eastAsia="Arial" w:hAnsi="Arial"/>
          <w:sz w:val="22"/>
          <w:szCs w:val="22"/>
          <w:color w:val="auto"/>
          <w:highlight w:val="white"/>
        </w:rPr>
        <w:t xml:space="preserve"> attached hereto.</w:t>
      </w:r>
    </w:p>
    <w:p>
      <w:pPr>
        <w:spacing w:after="0" w:line="15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010000"/>
        </w:rPr>
        <w:t xml:space="preserve">SECTION 3. </w:t>
      </w:r>
      <w:r>
        <w:rPr>
          <w:rFonts w:ascii="Arial" w:cs="Arial" w:eastAsia="Arial" w:hAnsi="Arial"/>
          <w:sz w:val="22"/>
          <w:szCs w:val="22"/>
          <w:u w:val="single" w:color="auto"/>
          <w:color w:val="000000"/>
        </w:rPr>
        <w:t>Conditions to Effectiveness</w:t>
      </w:r>
      <w:r>
        <w:rPr>
          <w:rFonts w:ascii="Arial" w:cs="Arial" w:eastAsia="Arial" w:hAnsi="Arial"/>
          <w:sz w:val="22"/>
          <w:szCs w:val="22"/>
          <w:color w:val="000000"/>
        </w:rPr>
        <w:t>. This Amendment shall become effective upon satisfaction (or effective</w:t>
      </w:r>
      <w:r>
        <w:rPr>
          <w:rFonts w:ascii="Arial" w:cs="Arial" w:eastAsia="Arial" w:hAnsi="Arial"/>
          <w:sz w:val="22"/>
          <w:szCs w:val="22"/>
          <w:color w:val="010000"/>
        </w:rPr>
        <w:t xml:space="preserve"> </w:t>
      </w:r>
      <w:r>
        <w:rPr>
          <w:rFonts w:ascii="Arial" w:cs="Arial" w:eastAsia="Arial" w:hAnsi="Arial"/>
          <w:sz w:val="22"/>
          <w:szCs w:val="22"/>
          <w:color w:val="000000"/>
        </w:rPr>
        <w:t>waiver) of the following conditions precedent (such date, the “</w:t>
      </w:r>
      <w:r>
        <w:rPr>
          <w:rFonts w:ascii="Arial" w:cs="Arial" w:eastAsia="Arial" w:hAnsi="Arial"/>
          <w:sz w:val="22"/>
          <w:szCs w:val="22"/>
          <w:u w:val="single" w:color="auto"/>
          <w:color w:val="000000"/>
        </w:rPr>
        <w:t>Amendment Effective Date</w:t>
      </w:r>
      <w:r>
        <w:rPr>
          <w:rFonts w:ascii="Arial" w:cs="Arial" w:eastAsia="Arial" w:hAnsi="Arial"/>
          <w:sz w:val="22"/>
          <w:szCs w:val="22"/>
          <w:color w:val="000000"/>
        </w:rPr>
        <w:t>”):</w:t>
      </w:r>
    </w:p>
    <w:p>
      <w:pPr>
        <w:spacing w:after="0" w:line="186" w:lineRule="exact"/>
        <w:rPr>
          <w:sz w:val="20"/>
          <w:szCs w:val="20"/>
          <w:color w:val="auto"/>
        </w:rPr>
      </w:pPr>
    </w:p>
    <w:p>
      <w:pPr>
        <w:jc w:val="both"/>
        <w:ind w:firstLine="656"/>
        <w:spacing w:after="0" w:line="223" w:lineRule="auto"/>
        <w:tabs>
          <w:tab w:leader="none" w:pos="1286" w:val="left"/>
        </w:tabs>
        <w:numPr>
          <w:ilvl w:val="1"/>
          <w:numId w:val="6"/>
        </w:numPr>
        <w:rPr>
          <w:rFonts w:ascii="Arial" w:cs="Arial" w:eastAsia="Arial" w:hAnsi="Arial"/>
          <w:sz w:val="20"/>
          <w:szCs w:val="20"/>
          <w:color w:val="auto"/>
        </w:rPr>
      </w:pPr>
      <w:r>
        <w:rPr>
          <w:rFonts w:ascii="Arial" w:cs="Arial" w:eastAsia="Arial" w:hAnsi="Arial"/>
          <w:sz w:val="22"/>
          <w:szCs w:val="22"/>
          <w:color w:val="auto"/>
        </w:rPr>
        <w:t>The Administrative Agent shall have received from the Borrower, each other Loan Party and each Lender an executed counterpart of this Amendment (or photocopies thereof sent by fax, pdf or other electronic means, each of which shall be enforceable with the same effect as a signed original).</w:t>
      </w:r>
    </w:p>
    <w:p>
      <w:pPr>
        <w:spacing w:after="0" w:line="158" w:lineRule="exact"/>
        <w:rPr>
          <w:rFonts w:ascii="Arial" w:cs="Arial" w:eastAsia="Arial" w:hAnsi="Arial"/>
          <w:sz w:val="20"/>
          <w:szCs w:val="20"/>
          <w:color w:val="auto"/>
        </w:rPr>
      </w:pPr>
    </w:p>
    <w:p>
      <w:pPr>
        <w:jc w:val="both"/>
        <w:ind w:firstLine="656"/>
        <w:spacing w:after="0" w:line="223" w:lineRule="auto"/>
        <w:tabs>
          <w:tab w:leader="none" w:pos="1291" w:val="left"/>
        </w:tabs>
        <w:numPr>
          <w:ilvl w:val="1"/>
          <w:numId w:val="6"/>
        </w:numPr>
        <w:rPr>
          <w:rFonts w:ascii="Arial" w:cs="Arial" w:eastAsia="Arial" w:hAnsi="Arial"/>
          <w:sz w:val="22"/>
          <w:szCs w:val="22"/>
          <w:color w:val="auto"/>
        </w:rPr>
      </w:pPr>
      <w:r>
        <w:rPr>
          <w:rFonts w:ascii="Arial" w:cs="Arial" w:eastAsia="Arial" w:hAnsi="Arial"/>
          <w:sz w:val="22"/>
          <w:szCs w:val="22"/>
          <w:color w:val="auto"/>
        </w:rPr>
        <w:t>After giving effect to this Amendment, the representations and warranties contained in each of the Loan Documents are true and correct in all material respects on and as of the Amendment Effective Date (or to the extent such representations and warranties specifically relate to an earlier date, on and as of such earlier date).</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6"/>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after giving effect to this Amendment.</w:t>
      </w:r>
    </w:p>
    <w:p>
      <w:pPr>
        <w:spacing w:after="0" w:line="190" w:lineRule="exact"/>
        <w:rPr>
          <w:rFonts w:ascii="Arial" w:cs="Arial" w:eastAsia="Arial" w:hAnsi="Arial"/>
          <w:sz w:val="21"/>
          <w:szCs w:val="21"/>
          <w:color w:val="auto"/>
        </w:rPr>
      </w:pPr>
    </w:p>
    <w:p>
      <w:pPr>
        <w:jc w:val="both"/>
        <w:ind w:firstLine="656"/>
        <w:spacing w:after="0" w:line="242" w:lineRule="auto"/>
        <w:tabs>
          <w:tab w:leader="none" w:pos="1291"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Administrative Agent shall have received reimbursement or payment of all fees and expenses required to be reimbursed or paid hereunder or under any other Loan Document or otherwise agreed to in writing to be paid (including the reasonable and documented fees, charges and disbursements of Milbank LLP, as counsel to the Administrative Agent), in each case, on or prior to the Amendment Effective Date, in the case of reimbursement of expenses, to the extent invoiced at least three</w:t>
      </w: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Business Days prior to the Amendment Effective Date (or such later date as the Borrower may agree).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SECTION 4.  </w:t>
      </w:r>
      <w:r>
        <w:rPr>
          <w:rFonts w:ascii="Arial" w:cs="Arial" w:eastAsia="Arial" w:hAnsi="Arial"/>
          <w:sz w:val="22"/>
          <w:szCs w:val="22"/>
          <w:u w:val="single" w:color="auto"/>
          <w:color w:val="000000"/>
        </w:rPr>
        <w:t>Effects on Loan Documents</w:t>
      </w:r>
      <w:r>
        <w:rPr>
          <w:rFonts w:ascii="Arial" w:cs="Arial" w:eastAsia="Arial" w:hAnsi="Arial"/>
          <w:sz w:val="22"/>
          <w:szCs w:val="22"/>
          <w:color w:val="000000"/>
        </w:rPr>
        <w:t>.</w:t>
      </w:r>
    </w:p>
    <w:p>
      <w:pPr>
        <w:spacing w:after="0" w:line="179" w:lineRule="exact"/>
        <w:rPr>
          <w:sz w:val="20"/>
          <w:szCs w:val="20"/>
          <w:color w:val="auto"/>
        </w:rPr>
      </w:pPr>
    </w:p>
    <w:p>
      <w:pPr>
        <w:ind w:firstLine="656"/>
        <w:spacing w:after="0" w:line="232" w:lineRule="auto"/>
        <w:tabs>
          <w:tab w:leader="none" w:pos="1293" w:val="left"/>
        </w:tabs>
        <w:numPr>
          <w:ilvl w:val="0"/>
          <w:numId w:val="8"/>
        </w:numPr>
        <w:rPr>
          <w:rFonts w:ascii="Arial" w:cs="Arial" w:eastAsia="Arial" w:hAnsi="Arial"/>
          <w:sz w:val="22"/>
          <w:szCs w:val="22"/>
          <w:color w:val="auto"/>
        </w:rPr>
      </w:pPr>
      <w:r>
        <w:rPr>
          <w:rFonts w:ascii="Arial" w:cs="Arial" w:eastAsia="Arial" w:hAnsi="Arial"/>
          <w:sz w:val="22"/>
          <w:szCs w:val="22"/>
          <w:color w:val="auto"/>
        </w:rPr>
        <w:t>From and after the Amendment Effective Date, each reference in the Amended Credit Agreement to “this Agreement,” “hereunder,” “hereof” or words of like import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34" w:lineRule="auto"/>
        <w:rPr>
          <w:sz w:val="20"/>
          <w:szCs w:val="20"/>
          <w:color w:val="auto"/>
        </w:rPr>
      </w:pPr>
      <w:r>
        <w:rPr>
          <w:rFonts w:ascii="Arial" w:cs="Arial" w:eastAsia="Arial" w:hAnsi="Arial"/>
          <w:sz w:val="21"/>
          <w:szCs w:val="21"/>
          <w:color w:val="auto"/>
        </w:rPr>
        <w:t>unless expressly provided otherwise, mean and be a reference to the Amended Credit Agreement and each reference in each other Loan Document to the Credit Agreement (including by means of words like “thereunder,” thereof” and words of like import) shall, unless expressly provided otherwise, mean and be a reference to the Amended Credit Agreement.</w:t>
      </w:r>
    </w:p>
    <w:p>
      <w:pPr>
        <w:spacing w:after="0" w:line="158" w:lineRule="exact"/>
        <w:rPr>
          <w:sz w:val="20"/>
          <w:szCs w:val="20"/>
          <w:color w:val="auto"/>
        </w:rPr>
      </w:pPr>
    </w:p>
    <w:p>
      <w:pPr>
        <w:jc w:val="both"/>
        <w:ind w:firstLine="656"/>
        <w:spacing w:after="0" w:line="214" w:lineRule="auto"/>
        <w:tabs>
          <w:tab w:leader="none" w:pos="1291"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expressly set forth herein, each and every term, condition, obligation, covenant and agreement contained in the Credit Agreement or any other provision of either such agreement or any other Loan Document is hereby ratified and re-affirmed in all respects and shall continue in full force and effect and each Loan Party reaffirms its obligations under each of the Loan Documents to which it is party (including, for the avoidance of doubt, the Guaranty Agreement), and confirms that all obligations of such Loan Party under the Loan Documents to which such Loan Party is a party shall continue to apply to the Amended Credit Agreement.</w:t>
      </w:r>
    </w:p>
    <w:p>
      <w:pPr>
        <w:spacing w:after="0" w:line="158" w:lineRule="exact"/>
        <w:rPr>
          <w:rFonts w:ascii="Arial" w:cs="Arial" w:eastAsia="Arial" w:hAnsi="Arial"/>
          <w:sz w:val="22"/>
          <w:szCs w:val="22"/>
          <w:color w:val="auto"/>
        </w:rPr>
      </w:pPr>
    </w:p>
    <w:p>
      <w:pPr>
        <w:ind w:right="20" w:firstLine="656"/>
        <w:spacing w:after="0" w:line="232" w:lineRule="auto"/>
        <w:tabs>
          <w:tab w:leader="none" w:pos="1293"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expressly amended hereby, all Loan Documents shall continue to be in full force and effect and are hereby in all respects ratified and confirmed.</w:t>
      </w:r>
    </w:p>
    <w:p>
      <w:pPr>
        <w:spacing w:after="0" w:line="158" w:lineRule="exact"/>
        <w:rPr>
          <w:rFonts w:ascii="Arial" w:cs="Arial" w:eastAsia="Arial" w:hAnsi="Arial"/>
          <w:sz w:val="22"/>
          <w:szCs w:val="22"/>
          <w:color w:val="auto"/>
        </w:rPr>
      </w:pPr>
    </w:p>
    <w:p>
      <w:pPr>
        <w:jc w:val="both"/>
        <w:ind w:firstLine="656"/>
        <w:spacing w:after="0" w:line="229" w:lineRule="auto"/>
        <w:tabs>
          <w:tab w:leader="none" w:pos="1291"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execution, delivery and effectiveness of this Amendment shall not operate as a waiver of any right, power or remedy of any Lender, the Administrative Agent or any other Secured Party under any of the Loan Documents, nor constitute a waiver of any provision of the Loan Documents or in any way limit, impair or otherwise affect the rights and remedies of the Administrative Agent, the Lenders or any of the other Secured Parties under the Loan Documents.</w:t>
      </w:r>
    </w:p>
    <w:p>
      <w:pPr>
        <w:spacing w:after="0" w:line="158" w:lineRule="exact"/>
        <w:rPr>
          <w:rFonts w:ascii="Arial" w:cs="Arial" w:eastAsia="Arial" w:hAnsi="Arial"/>
          <w:sz w:val="21"/>
          <w:szCs w:val="21"/>
          <w:color w:val="auto"/>
        </w:rPr>
      </w:pPr>
    </w:p>
    <w:p>
      <w:pPr>
        <w:ind w:firstLine="656"/>
        <w:spacing w:after="0" w:line="232" w:lineRule="auto"/>
        <w:tabs>
          <w:tab w:leader="none" w:pos="129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other parties hereto hereby acknowledge and agree that, from and after the Amendment Effective Date, this Amendment shall constitute a Loan Document for all purposes of the Amended Credit Agreement.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010000"/>
        </w:rPr>
        <w:t xml:space="preserve">SECTION 5.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AMENDMENT AND ANY CLAIMS, CONTROVERSY, DISPUTE OR</w:t>
      </w:r>
      <w:r>
        <w:rPr>
          <w:rFonts w:ascii="Arial" w:cs="Arial" w:eastAsia="Arial" w:hAnsi="Arial"/>
          <w:sz w:val="22"/>
          <w:szCs w:val="22"/>
          <w:color w:val="010000"/>
        </w:rPr>
        <w:t xml:space="preserve"> </w:t>
      </w:r>
      <w:r>
        <w:rPr>
          <w:rFonts w:ascii="Arial" w:cs="Arial" w:eastAsia="Arial" w:hAnsi="Arial"/>
          <w:sz w:val="22"/>
          <w:szCs w:val="22"/>
          <w:color w:val="000000"/>
        </w:rPr>
        <w:t>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010000"/>
        </w:rPr>
        <w:t xml:space="preserve">SECTION 6.  </w:t>
      </w:r>
      <w:r>
        <w:rPr>
          <w:rFonts w:ascii="Arial" w:cs="Arial" w:eastAsia="Arial" w:hAnsi="Arial"/>
          <w:sz w:val="22"/>
          <w:szCs w:val="22"/>
          <w:u w:val="single" w:color="auto"/>
          <w:color w:val="000000"/>
        </w:rPr>
        <w:t>Miscellaneous</w:t>
      </w:r>
      <w:r>
        <w:rPr>
          <w:rFonts w:ascii="Arial" w:cs="Arial" w:eastAsia="Arial" w:hAnsi="Arial"/>
          <w:sz w:val="22"/>
          <w:szCs w:val="22"/>
          <w:color w:val="000000"/>
        </w:rPr>
        <w:t>.</w:t>
      </w:r>
    </w:p>
    <w:p>
      <w:pPr>
        <w:spacing w:after="0" w:line="179" w:lineRule="exact"/>
        <w:rPr>
          <w:sz w:val="20"/>
          <w:szCs w:val="20"/>
          <w:color w:val="auto"/>
        </w:rPr>
      </w:pPr>
    </w:p>
    <w:p>
      <w:pPr>
        <w:ind w:firstLine="656"/>
        <w:spacing w:after="0" w:line="232" w:lineRule="auto"/>
        <w:tabs>
          <w:tab w:leader="none" w:pos="12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Amendment is binding and enforceable as of the date hereof against each party hereto and its successors and permitted assigns.</w:t>
      </w:r>
    </w:p>
    <w:p>
      <w:pPr>
        <w:spacing w:after="0" w:line="158" w:lineRule="exact"/>
        <w:rPr>
          <w:rFonts w:ascii="Arial" w:cs="Arial" w:eastAsia="Arial" w:hAnsi="Arial"/>
          <w:sz w:val="22"/>
          <w:szCs w:val="22"/>
          <w:color w:val="auto"/>
        </w:rPr>
      </w:pPr>
    </w:p>
    <w:p>
      <w:pPr>
        <w:jc w:val="both"/>
        <w:ind w:firstLine="656"/>
        <w:spacing w:after="0" w:line="220" w:lineRule="auto"/>
        <w:tabs>
          <w:tab w:leader="none" w:pos="1291"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This Amendment may be executed in one or more counterparts, each of which shall be deemed an original, but all of which together shall constitute one and the same instrument. Delivery of an executed signature page of this Amendment by facsimile or other electronic mail transmission shall be effective as delivery of a manually executed counterpart hereof. A set of the copies of this Amendment signed by all the parties shall be lodged with the Administrative Agent. Each party hereto agrees that the words “execution,” “signed,” “signature,” and words of like import in this Amendment shall be deemed to include electronic signatures or the keeping of electronic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1" w:right="339" w:bottom="1440" w:gutter="0" w:footer="0" w:header="0"/>
        </w:sectPr>
      </w:pPr>
    </w:p>
    <w:bookmarkStart w:id="6" w:name="page7"/>
    <w:bookmarkEnd w:id="6"/>
    <w:p>
      <w:pPr>
        <w:jc w:val="both"/>
        <w:ind w:firstLine="656"/>
        <w:spacing w:after="0" w:line="252" w:lineRule="auto"/>
        <w:tabs>
          <w:tab w:leader="none" w:pos="1293"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any provision of this Amendment is held to be illegal, invalid or unenforceable, (x) the legality, validity and enforceability of the remaining provisions of this Amendment shall not be affected or impaired thereby and (y)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8" w:lineRule="exact"/>
        <w:rPr>
          <w:rFonts w:ascii="Arial" w:cs="Arial" w:eastAsia="Arial" w:hAnsi="Arial"/>
          <w:sz w:val="19"/>
          <w:szCs w:val="19"/>
          <w:color w:val="auto"/>
        </w:rPr>
      </w:pPr>
    </w:p>
    <w:p>
      <w:pPr>
        <w:jc w:val="both"/>
        <w:ind w:firstLine="656"/>
        <w:spacing w:after="0" w:line="223" w:lineRule="auto"/>
        <w:tabs>
          <w:tab w:leader="none" w:pos="1291"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Each of the parties hereto hereby agrees that Sections 10.14 and 10.15 of the Credit Agreement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 and shall have the same force and effect with respect to this Amendment as if originally set forth herein.</w:t>
      </w:r>
    </w:p>
    <w:p>
      <w:pPr>
        <w:spacing w:after="0" w:line="158" w:lineRule="exact"/>
        <w:rPr>
          <w:rFonts w:ascii="Arial" w:cs="Arial" w:eastAsia="Arial" w:hAnsi="Arial"/>
          <w:sz w:val="22"/>
          <w:szCs w:val="22"/>
          <w:color w:val="auto"/>
        </w:rPr>
      </w:pPr>
    </w:p>
    <w:p>
      <w:pPr>
        <w:ind w:right="20" w:firstLine="656"/>
        <w:spacing w:after="0" w:line="232" w:lineRule="auto"/>
        <w:tabs>
          <w:tab w:leader="none" w:pos="1293" w:val="left"/>
        </w:tabs>
        <w:numPr>
          <w:ilvl w:val="0"/>
          <w:numId w:val="11"/>
        </w:numPr>
        <w:rPr>
          <w:rFonts w:ascii="Arial" w:cs="Arial" w:eastAsia="Arial" w:hAnsi="Arial"/>
          <w:sz w:val="22"/>
          <w:szCs w:val="22"/>
          <w:color w:val="auto"/>
        </w:rPr>
      </w:pPr>
      <w:r>
        <w:rPr>
          <w:rFonts w:ascii="Arial" w:cs="Arial" w:eastAsia="Arial" w:hAnsi="Arial"/>
          <w:sz w:val="22"/>
          <w:szCs w:val="22"/>
          <w:color w:val="auto"/>
        </w:rPr>
        <w:t>Section headings herein are included herein for convenience of reference only and shall not constitute a part hereof for any other purpose or be given any substantive effect.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01" w:right="339" w:bottom="1440" w:gutter="0" w:footer="0" w:header="0"/>
        </w:sectPr>
      </w:pPr>
    </w:p>
    <w:bookmarkStart w:id="7" w:name="page8"/>
    <w:bookmarkEnd w:id="7"/>
    <w:p>
      <w:pPr>
        <w:ind w:firstLine="1296"/>
        <w:spacing w:after="0" w:line="250"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respective proper and duly authorized officers as of the day and year first above written.</w:t>
      </w:r>
    </w:p>
    <w:p>
      <w:pPr>
        <w:spacing w:after="0" w:line="39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NN, INC.</w:t>
      </w:r>
      <w:r>
        <w:rPr>
          <w:rFonts w:ascii="Arial" w:cs="Arial" w:eastAsia="Arial" w:hAnsi="Arial"/>
          <w:sz w:val="22"/>
          <w:szCs w:val="22"/>
          <w:color w:val="auto"/>
        </w:rPr>
        <w:t>, as the Borrower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Michael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11957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Felcher</w:t>
      </w:r>
    </w:p>
    <w:p>
      <w:pPr>
        <w:ind w:left="3900"/>
        <w:spacing w:after="0" w:line="237" w:lineRule="auto"/>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w:t>
      </w:r>
    </w:p>
    <w:p>
      <w:pPr>
        <w:ind w:left="41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Amendment No. 1 to Credit Agreement</w:t>
      </w:r>
      <w:r>
        <w:rPr>
          <w:rFonts w:ascii="Arial" w:cs="Arial" w:eastAsia="Arial" w:hAnsi="Arial"/>
          <w:sz w:val="20"/>
          <w:szCs w:val="20"/>
          <w:color w:val="auto"/>
        </w:rPr>
        <w:t>]</w:t>
      </w:r>
    </w:p>
    <w:p>
      <w:pPr>
        <w:sectPr>
          <w:pgSz w:w="11900" w:h="16838" w:orient="portrait"/>
          <w:cols w:equalWidth="0" w:num="1">
            <w:col w:w="11020"/>
          </w:cols>
          <w:pgMar w:left="320" w:top="1414" w:right="559" w:bottom="1440" w:gutter="0" w:footer="0" w:header="0"/>
        </w:sectPr>
      </w:pPr>
    </w:p>
    <w:bookmarkStart w:id="8" w:name="page9"/>
    <w:bookmarkEnd w:id="8"/>
    <w:p>
      <w:pPr>
        <w:ind w:left="2780"/>
        <w:spacing w:after="0"/>
        <w:rPr>
          <w:sz w:val="20"/>
          <w:szCs w:val="20"/>
          <w:color w:val="auto"/>
        </w:rPr>
      </w:pPr>
      <w:r>
        <w:rPr>
          <w:rFonts w:ascii="Arial" w:cs="Arial" w:eastAsia="Arial" w:hAnsi="Arial"/>
          <w:sz w:val="22"/>
          <w:szCs w:val="22"/>
          <w:color w:val="auto"/>
        </w:rPr>
        <w:t>The following other Loan Parties:</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Industrial Molding Corporation</w:t>
      </w:r>
    </w:p>
    <w:p>
      <w:pPr>
        <w:ind w:left="2780"/>
        <w:spacing w:after="0" w:line="204" w:lineRule="auto"/>
        <w:rPr>
          <w:sz w:val="20"/>
          <w:szCs w:val="20"/>
          <w:color w:val="auto"/>
        </w:rPr>
      </w:pPr>
      <w:r>
        <w:rPr>
          <w:rFonts w:ascii="Arial" w:cs="Arial" w:eastAsia="Arial" w:hAnsi="Arial"/>
          <w:sz w:val="22"/>
          <w:szCs w:val="22"/>
          <w:b w:val="1"/>
          <w:bCs w:val="1"/>
          <w:color w:val="auto"/>
        </w:rPr>
        <w:t>Whirlaway Corporation</w:t>
      </w:r>
    </w:p>
    <w:p>
      <w:pPr>
        <w:ind w:left="2780"/>
        <w:spacing w:after="0" w:line="205" w:lineRule="auto"/>
        <w:rPr>
          <w:sz w:val="20"/>
          <w:szCs w:val="20"/>
          <w:color w:val="auto"/>
        </w:rPr>
      </w:pPr>
      <w:r>
        <w:rPr>
          <w:rFonts w:ascii="Arial" w:cs="Arial" w:eastAsia="Arial" w:hAnsi="Arial"/>
          <w:sz w:val="22"/>
          <w:szCs w:val="22"/>
          <w:b w:val="1"/>
          <w:bCs w:val="1"/>
          <w:color w:val="auto"/>
        </w:rPr>
        <w:t>PNC Acquisition Company, Inc.</w:t>
      </w:r>
    </w:p>
    <w:p>
      <w:pPr>
        <w:ind w:left="2780"/>
        <w:spacing w:after="0" w:line="215" w:lineRule="auto"/>
        <w:rPr>
          <w:sz w:val="20"/>
          <w:szCs w:val="20"/>
          <w:color w:val="auto"/>
        </w:rPr>
      </w:pPr>
      <w:r>
        <w:rPr>
          <w:rFonts w:ascii="Arial" w:cs="Arial" w:eastAsia="Arial" w:hAnsi="Arial"/>
          <w:sz w:val="21"/>
          <w:szCs w:val="21"/>
          <w:b w:val="1"/>
          <w:bCs w:val="1"/>
          <w:color w:val="auto"/>
        </w:rPr>
        <w:t>PMC USA Acquisition Company, Inc.</w:t>
      </w:r>
    </w:p>
    <w:p>
      <w:pPr>
        <w:ind w:left="2780"/>
        <w:spacing w:after="0" w:line="205" w:lineRule="auto"/>
        <w:rPr>
          <w:sz w:val="20"/>
          <w:szCs w:val="20"/>
          <w:color w:val="auto"/>
        </w:rPr>
      </w:pPr>
      <w:r>
        <w:rPr>
          <w:rFonts w:ascii="Arial" w:cs="Arial" w:eastAsia="Arial" w:hAnsi="Arial"/>
          <w:sz w:val="22"/>
          <w:szCs w:val="22"/>
          <w:b w:val="1"/>
          <w:bCs w:val="1"/>
          <w:color w:val="auto"/>
        </w:rPr>
        <w:t>PMC Acquisition Company, Inc.</w:t>
      </w:r>
    </w:p>
    <w:p>
      <w:pPr>
        <w:spacing w:after="0" w:line="1" w:lineRule="exact"/>
        <w:rPr>
          <w:sz w:val="20"/>
          <w:szCs w:val="20"/>
          <w:color w:val="auto"/>
        </w:rPr>
      </w:pPr>
    </w:p>
    <w:p>
      <w:pPr>
        <w:ind w:left="2780" w:right="2899" w:hanging="4"/>
        <w:spacing w:after="0" w:line="214" w:lineRule="auto"/>
        <w:tabs>
          <w:tab w:leader="none" w:pos="3146" w:val="left"/>
        </w:tabs>
        <w:numPr>
          <w:ilvl w:val="0"/>
          <w:numId w:val="12"/>
        </w:numPr>
        <w:rPr>
          <w:rFonts w:ascii="Arial" w:cs="Arial" w:eastAsia="Arial" w:hAnsi="Arial"/>
          <w:sz w:val="21"/>
          <w:szCs w:val="21"/>
          <w:b w:val="1"/>
          <w:bCs w:val="1"/>
          <w:color w:val="auto"/>
        </w:rPr>
      </w:pPr>
      <w:r>
        <w:rPr>
          <w:rFonts w:ascii="Arial" w:cs="Arial" w:eastAsia="Arial" w:hAnsi="Arial"/>
          <w:sz w:val="21"/>
          <w:szCs w:val="21"/>
          <w:b w:val="1"/>
          <w:bCs w:val="1"/>
          <w:color w:val="auto"/>
        </w:rPr>
        <w:t>Precision Plastics, Inc. Caprock Manufacturing, Inc. Caprock Enclosures, LLC Brainin-Advance Industries LLC Wauconda Tool &amp; Engineering LLC General Metal Finishing LLC Advanced Precision Products, Inc. HowesTemco, LLC</w:t>
      </w:r>
    </w:p>
    <w:p>
      <w:pPr>
        <w:spacing w:after="0" w:line="5" w:lineRule="exact"/>
        <w:rPr>
          <w:rFonts w:ascii="Arial" w:cs="Arial" w:eastAsia="Arial" w:hAnsi="Arial"/>
          <w:sz w:val="21"/>
          <w:szCs w:val="21"/>
          <w:b w:val="1"/>
          <w:bCs w:val="1"/>
          <w:color w:val="auto"/>
        </w:rPr>
      </w:pPr>
    </w:p>
    <w:p>
      <w:pPr>
        <w:ind w:left="2780" w:right="4199"/>
        <w:spacing w:after="0" w:line="237" w:lineRule="auto"/>
        <w:rPr>
          <w:rFonts w:ascii="Arial" w:cs="Arial" w:eastAsia="Arial" w:hAnsi="Arial"/>
          <w:sz w:val="21"/>
          <w:szCs w:val="21"/>
          <w:b w:val="1"/>
          <w:bCs w:val="1"/>
          <w:color w:val="auto"/>
        </w:rPr>
      </w:pPr>
      <w:r>
        <w:rPr>
          <w:rFonts w:ascii="Arial" w:cs="Arial" w:eastAsia="Arial" w:hAnsi="Arial"/>
          <w:sz w:val="19"/>
          <w:szCs w:val="19"/>
          <w:b w:val="1"/>
          <w:bCs w:val="1"/>
          <w:color w:val="auto"/>
        </w:rPr>
        <w:t>Premco, Inc. Profiles, Incorporated Holmed, LLC</w:t>
      </w:r>
    </w:p>
    <w:p>
      <w:pPr>
        <w:ind w:left="2780" w:right="2539"/>
        <w:spacing w:after="0" w:line="204" w:lineRule="auto"/>
        <w:rPr>
          <w:rFonts w:ascii="Arial" w:cs="Arial" w:eastAsia="Arial" w:hAnsi="Arial"/>
          <w:sz w:val="21"/>
          <w:szCs w:val="21"/>
          <w:b w:val="1"/>
          <w:bCs w:val="1"/>
          <w:color w:val="auto"/>
        </w:rPr>
      </w:pPr>
      <w:r>
        <w:rPr>
          <w:rFonts w:ascii="Arial" w:cs="Arial" w:eastAsia="Arial" w:hAnsi="Arial"/>
          <w:sz w:val="22"/>
          <w:szCs w:val="22"/>
          <w:b w:val="1"/>
          <w:bCs w:val="1"/>
          <w:color w:val="auto"/>
        </w:rPr>
        <w:t>Southern California Technical Arts, Inc. Autocam Corporation Autocam-Pax, Inc.</w:t>
      </w:r>
    </w:p>
    <w:p>
      <w:pPr>
        <w:spacing w:after="0" w:line="2" w:lineRule="exact"/>
        <w:rPr>
          <w:rFonts w:ascii="Arial" w:cs="Arial" w:eastAsia="Arial" w:hAnsi="Arial"/>
          <w:sz w:val="21"/>
          <w:szCs w:val="21"/>
          <w:b w:val="1"/>
          <w:bCs w:val="1"/>
          <w:color w:val="auto"/>
        </w:rPr>
      </w:pPr>
    </w:p>
    <w:p>
      <w:pPr>
        <w:ind w:left="2780"/>
        <w:spacing w:after="0" w:line="204" w:lineRule="auto"/>
        <w:rPr>
          <w:rFonts w:ascii="Arial" w:cs="Arial" w:eastAsia="Arial" w:hAnsi="Arial"/>
          <w:sz w:val="21"/>
          <w:szCs w:val="21"/>
          <w:b w:val="1"/>
          <w:bCs w:val="1"/>
          <w:color w:val="auto"/>
        </w:rPr>
      </w:pPr>
      <w:r>
        <w:rPr>
          <w:rFonts w:ascii="Arial" w:cs="Arial" w:eastAsia="Arial" w:hAnsi="Arial"/>
          <w:sz w:val="22"/>
          <w:szCs w:val="22"/>
          <w:b w:val="1"/>
          <w:bCs w:val="1"/>
          <w:color w:val="auto"/>
        </w:rPr>
        <w:t>Polymetallurgical LLC</w:t>
      </w:r>
    </w:p>
    <w:p>
      <w:pPr>
        <w:ind w:left="2780" w:right="2939"/>
        <w:spacing w:after="0" w:line="224" w:lineRule="auto"/>
        <w:rPr>
          <w:rFonts w:ascii="Arial" w:cs="Arial" w:eastAsia="Arial" w:hAnsi="Arial"/>
          <w:sz w:val="21"/>
          <w:szCs w:val="21"/>
          <w:b w:val="1"/>
          <w:bCs w:val="1"/>
          <w:color w:val="auto"/>
        </w:rPr>
      </w:pPr>
      <w:r>
        <w:rPr>
          <w:rFonts w:ascii="Arial" w:cs="Arial" w:eastAsia="Arial" w:hAnsi="Arial"/>
          <w:sz w:val="22"/>
          <w:szCs w:val="22"/>
          <w:b w:val="1"/>
          <w:bCs w:val="1"/>
          <w:color w:val="auto"/>
        </w:rPr>
        <w:t>NN Power Solutions Holdings, LLC NN Power Solutions,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722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2780"/>
        <w:spacing w:after="0" w:line="237" w:lineRule="auto"/>
        <w:tabs>
          <w:tab w:leader="none" w:pos="3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Matthew S. Heiter</w:t>
      </w: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401" w:right="1440" w:bottom="1440" w:gutter="0" w:footer="0" w:header="0"/>
        </w:sectPr>
      </w:pPr>
    </w:p>
    <w:bookmarkStart w:id="9" w:name="page10"/>
    <w:bookmarkEnd w:id="9"/>
    <w:p>
      <w:pPr>
        <w:ind w:left="2780"/>
        <w:spacing w:after="0"/>
        <w:rPr>
          <w:sz w:val="20"/>
          <w:szCs w:val="20"/>
          <w:color w:val="auto"/>
        </w:rPr>
      </w:pPr>
      <w:r>
        <w:rPr>
          <w:rFonts w:ascii="Arial" w:cs="Arial" w:eastAsia="Arial" w:hAnsi="Arial"/>
          <w:sz w:val="22"/>
          <w:szCs w:val="22"/>
          <w:b w:val="1"/>
          <w:bCs w:val="1"/>
          <w:color w:val="auto"/>
        </w:rPr>
        <w:t>OAKTREE FUND ADMINISTRATION, LLC,</w:t>
      </w:r>
    </w:p>
    <w:p>
      <w:pPr>
        <w:ind w:left="2780"/>
        <w:spacing w:after="0"/>
        <w:rPr>
          <w:sz w:val="20"/>
          <w:szCs w:val="20"/>
          <w:color w:val="auto"/>
        </w:rPr>
      </w:pPr>
      <w:r>
        <w:rPr>
          <w:rFonts w:ascii="Arial" w:cs="Arial" w:eastAsia="Arial" w:hAnsi="Arial"/>
          <w:sz w:val="22"/>
          <w:szCs w:val="22"/>
          <w:color w:val="auto"/>
        </w:rPr>
        <w:t>as the Administrative Agent</w:t>
      </w:r>
    </w:p>
    <w:p>
      <w:pPr>
        <w:spacing w:after="0" w:line="200" w:lineRule="exact"/>
        <w:rPr>
          <w:sz w:val="20"/>
          <w:szCs w:val="20"/>
          <w:color w:val="auto"/>
        </w:rPr>
      </w:pPr>
    </w:p>
    <w:p>
      <w:pPr>
        <w:spacing w:after="0" w:line="266"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82" w:right="1440" w:bottom="1440" w:gutter="0" w:footer="0" w:header="0"/>
        </w:sectPr>
      </w:pPr>
    </w:p>
    <w:bookmarkStart w:id="10" w:name="page11"/>
    <w:bookmarkEnd w:id="10"/>
    <w:p>
      <w:pPr>
        <w:ind w:left="2780"/>
        <w:spacing w:after="0"/>
        <w:rPr>
          <w:sz w:val="20"/>
          <w:szCs w:val="20"/>
          <w:color w:val="auto"/>
        </w:rPr>
      </w:pPr>
      <w:r>
        <w:rPr>
          <w:rFonts w:ascii="Arial" w:cs="Arial" w:eastAsia="Arial" w:hAnsi="Arial"/>
          <w:sz w:val="19"/>
          <w:szCs w:val="19"/>
          <w:b w:val="1"/>
          <w:bCs w:val="1"/>
          <w:color w:val="auto"/>
        </w:rPr>
        <w:t>Oaktree Gilead Investment Fund AIF (Delaware), L.P.</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AIF Series, L.P. – Series T</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AIF, LLC</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III,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95" w:right="1440" w:bottom="1440" w:gutter="0" w:footer="0" w:header="0"/>
        </w:sectPr>
      </w:pPr>
    </w:p>
    <w:bookmarkStart w:id="11" w:name="page12"/>
    <w:bookmarkEnd w:id="11"/>
    <w:p>
      <w:pPr>
        <w:ind w:left="2780"/>
        <w:spacing w:after="0"/>
        <w:rPr>
          <w:sz w:val="20"/>
          <w:szCs w:val="20"/>
          <w:color w:val="auto"/>
        </w:rPr>
      </w:pPr>
      <w:r>
        <w:rPr>
          <w:rFonts w:ascii="Arial" w:cs="Arial" w:eastAsia="Arial" w:hAnsi="Arial"/>
          <w:sz w:val="19"/>
          <w:szCs w:val="19"/>
          <w:b w:val="1"/>
          <w:bCs w:val="1"/>
          <w:color w:val="auto"/>
        </w:rPr>
        <w:t>Oaktree Global Credit Plus Fund AIF, L.P.</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IIA, LLC</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General Partner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95" w:right="1440" w:bottom="1440" w:gutter="0" w:footer="0" w:header="0"/>
        </w:sectPr>
      </w:pPr>
    </w:p>
    <w:bookmarkStart w:id="12" w:name="page13"/>
    <w:bookmarkEnd w:id="12"/>
    <w:p>
      <w:pPr>
        <w:ind w:left="2780"/>
        <w:spacing w:after="0"/>
        <w:rPr>
          <w:sz w:val="20"/>
          <w:szCs w:val="20"/>
          <w:color w:val="auto"/>
        </w:rPr>
      </w:pPr>
      <w:r>
        <w:rPr>
          <w:rFonts w:ascii="Arial" w:cs="Arial" w:eastAsia="Arial" w:hAnsi="Arial"/>
          <w:sz w:val="21"/>
          <w:szCs w:val="21"/>
          <w:b w:val="1"/>
          <w:bCs w:val="1"/>
          <w:color w:val="auto"/>
        </w:rPr>
        <w:t>Oaktree Huntington-GCF Investment Fund (Direct Lending AIF), L.P.</w:t>
      </w:r>
    </w:p>
    <w:p>
      <w:pPr>
        <w:spacing w:after="0" w:line="224"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19"/>
          <w:szCs w:val="19"/>
          <w:color w:val="auto"/>
        </w:rPr>
        <w:t>By:</w:t>
        <w:tab/>
        <w:t>Oaktree Huntington-GCF Investment Fund (Direct Lending AIF) GP, L.P.</w:t>
      </w:r>
    </w:p>
    <w:p>
      <w:pPr>
        <w:spacing w:after="0" w:line="16" w:lineRule="exact"/>
        <w:rPr>
          <w:sz w:val="20"/>
          <w:szCs w:val="20"/>
          <w:color w:val="auto"/>
        </w:rPr>
      </w:pPr>
    </w:p>
    <w:p>
      <w:pPr>
        <w:ind w:left="2780"/>
        <w:spacing w:after="0"/>
        <w:tabs>
          <w:tab w:leader="none" w:pos="3300" w:val="left"/>
        </w:tabs>
        <w:rPr>
          <w:sz w:val="20"/>
          <w:szCs w:val="20"/>
          <w:color w:val="auto"/>
        </w:rPr>
      </w:pPr>
      <w:r>
        <w:rPr>
          <w:rFonts w:ascii="Arial" w:cs="Arial" w:eastAsia="Arial" w:hAnsi="Arial"/>
          <w:sz w:val="22"/>
          <w:szCs w:val="22"/>
          <w:color w:val="auto"/>
        </w:rPr>
        <w:t>Its:</w:t>
        <w:tab/>
        <w:t>General Partner</w:t>
      </w:r>
    </w:p>
    <w:p>
      <w:pPr>
        <w:spacing w:after="0" w:line="188" w:lineRule="exact"/>
        <w:rPr>
          <w:sz w:val="20"/>
          <w:szCs w:val="20"/>
          <w:color w:val="auto"/>
        </w:rPr>
      </w:pPr>
    </w:p>
    <w:p>
      <w:pPr>
        <w:ind w:left="2780"/>
        <w:spacing w:after="0"/>
        <w:tabs>
          <w:tab w:leader="none" w:pos="3340" w:val="left"/>
        </w:tabs>
        <w:rPr>
          <w:sz w:val="20"/>
          <w:szCs w:val="20"/>
          <w:color w:val="auto"/>
        </w:rPr>
      </w:pPr>
      <w:r>
        <w:rPr>
          <w:rFonts w:ascii="Arial" w:cs="Arial" w:eastAsia="Arial" w:hAnsi="Arial"/>
          <w:sz w:val="19"/>
          <w:szCs w:val="19"/>
          <w:color w:val="auto"/>
        </w:rPr>
        <w:t>By:</w:t>
        <w:tab/>
        <w:t>Oaktree Huntington-GCF Investment Fund (Direct Lending AIF) GP, LLC</w:t>
      </w:r>
    </w:p>
    <w:p>
      <w:pPr>
        <w:spacing w:after="0" w:line="16" w:lineRule="exact"/>
        <w:rPr>
          <w:sz w:val="20"/>
          <w:szCs w:val="20"/>
          <w:color w:val="auto"/>
        </w:rPr>
      </w:pPr>
    </w:p>
    <w:p>
      <w:pPr>
        <w:ind w:left="2780"/>
        <w:spacing w:after="0"/>
        <w:tabs>
          <w:tab w:leader="none" w:pos="3300" w:val="left"/>
        </w:tabs>
        <w:rPr>
          <w:sz w:val="20"/>
          <w:szCs w:val="20"/>
          <w:color w:val="auto"/>
        </w:rPr>
      </w:pPr>
      <w:r>
        <w:rPr>
          <w:rFonts w:ascii="Arial" w:cs="Arial" w:eastAsia="Arial" w:hAnsi="Arial"/>
          <w:sz w:val="22"/>
          <w:szCs w:val="22"/>
          <w:color w:val="auto"/>
        </w:rPr>
        <w:t>Its:</w:t>
        <w:tab/>
        <w:t>General Partner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GP III,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Amendment No. 1 to Credit Agreement</w:t>
      </w:r>
      <w:r>
        <w:rPr>
          <w:rFonts w:ascii="Arial" w:cs="Arial" w:eastAsia="Arial" w:hAnsi="Arial"/>
          <w:sz w:val="20"/>
          <w:szCs w:val="20"/>
          <w:color w:val="auto"/>
        </w:rPr>
        <w:t>]</w:t>
      </w:r>
    </w:p>
    <w:p>
      <w:pPr>
        <w:sectPr>
          <w:pgSz w:w="11900" w:h="16838" w:orient="portrait"/>
          <w:cols w:equalWidth="0" w:num="1">
            <w:col w:w="9820"/>
          </w:cols>
          <w:pgMar w:left="1440" w:top="1395" w:right="639" w:bottom="1440" w:gutter="0" w:footer="0" w:header="0"/>
        </w:sectPr>
      </w:pPr>
    </w:p>
    <w:bookmarkStart w:id="13" w:name="page14"/>
    <w:bookmarkEnd w:id="13"/>
    <w:p>
      <w:pPr>
        <w:ind w:left="2780"/>
        <w:spacing w:after="0"/>
        <w:rPr>
          <w:sz w:val="20"/>
          <w:szCs w:val="20"/>
          <w:color w:val="auto"/>
        </w:rPr>
      </w:pPr>
      <w:r>
        <w:rPr>
          <w:rFonts w:ascii="Arial" w:cs="Arial" w:eastAsia="Arial" w:hAnsi="Arial"/>
          <w:sz w:val="22"/>
          <w:szCs w:val="22"/>
          <w:b w:val="1"/>
          <w:bCs w:val="1"/>
          <w:color w:val="auto"/>
        </w:rPr>
        <w:t>Oaktree Strategic Income II, Inc.</w:t>
      </w:r>
    </w:p>
    <w:p>
      <w:pPr>
        <w:spacing w:after="0" w:line="19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Oaktree Fund Advisors, LLC</w:t>
      </w:r>
    </w:p>
    <w:p>
      <w:pPr>
        <w:ind w:left="2780"/>
        <w:spacing w:after="0"/>
        <w:rPr>
          <w:sz w:val="20"/>
          <w:szCs w:val="20"/>
          <w:color w:val="auto"/>
        </w:rPr>
      </w:pPr>
      <w:r>
        <w:rPr>
          <w:rFonts w:ascii="Arial" w:cs="Arial" w:eastAsia="Arial" w:hAnsi="Arial"/>
          <w:sz w:val="22"/>
          <w:szCs w:val="22"/>
          <w:color w:val="auto"/>
        </w:rPr>
        <w:t>Its: Investment Advisor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OSI 2 Senior Lending SPV, LLC</w:t>
      </w:r>
    </w:p>
    <w:p>
      <w:pPr>
        <w:spacing w:after="0" w:line="19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Strategic Income II, Inc.</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Managing Member</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Amendment No. 1 to Credit Agreement</w:t>
      </w:r>
      <w:r>
        <w:rPr>
          <w:rFonts w:ascii="Arial" w:cs="Arial" w:eastAsia="Arial" w:hAnsi="Arial"/>
          <w:sz w:val="18"/>
          <w:szCs w:val="18"/>
          <w:color w:val="auto"/>
        </w:rPr>
        <w:t>]</w:t>
      </w:r>
    </w:p>
    <w:p>
      <w:pPr>
        <w:sectPr>
          <w:pgSz w:w="11900" w:h="16838" w:orient="portrait"/>
          <w:cols w:equalWidth="0" w:num="1">
            <w:col w:w="9019"/>
          </w:cols>
          <w:pgMar w:left="1440" w:top="1395" w:right="1440" w:bottom="1440" w:gutter="0" w:footer="0" w:header="0"/>
        </w:sectPr>
      </w:pPr>
    </w:p>
    <w:bookmarkStart w:id="14" w:name="page15"/>
    <w:bookmarkEnd w:id="14"/>
    <w:p>
      <w:pPr>
        <w:ind w:left="2780"/>
        <w:spacing w:after="0"/>
        <w:rPr>
          <w:sz w:val="20"/>
          <w:szCs w:val="20"/>
          <w:color w:val="auto"/>
        </w:rPr>
      </w:pPr>
      <w:r>
        <w:rPr>
          <w:rFonts w:ascii="Arial" w:cs="Arial" w:eastAsia="Arial" w:hAnsi="Arial"/>
          <w:sz w:val="22"/>
          <w:szCs w:val="22"/>
          <w:b w:val="1"/>
          <w:bCs w:val="1"/>
          <w:color w:val="auto"/>
        </w:rPr>
        <w:t>Exelon Strategic Credit Holdings, LLC</w:t>
      </w:r>
    </w:p>
    <w:p>
      <w:pPr>
        <w:spacing w:after="0" w:line="19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Oaktree-NGP Strategic Credit, LLC</w:t>
      </w:r>
    </w:p>
    <w:p>
      <w:pPr>
        <w:spacing w:after="0" w:line="193"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 xml:space="preserve">Oaktree-Forrest Multi-Strategy, LLC </w:t>
      </w:r>
      <w:r>
        <w:rPr>
          <w:rFonts w:ascii="Arial" w:cs="Arial" w:eastAsia="Arial" w:hAnsi="Arial"/>
          <w:sz w:val="19"/>
          <w:szCs w:val="19"/>
          <w:b w:val="1"/>
          <w:bCs w:val="1"/>
          <w:i w:val="1"/>
          <w:iCs w:val="1"/>
          <w:color w:val="auto"/>
        </w:rPr>
        <w:t>[– Series A]</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14" w:right="1440" w:bottom="1440" w:gutter="0" w:footer="0" w:header="0"/>
        </w:sectPr>
      </w:pPr>
    </w:p>
    <w:bookmarkStart w:id="15" w:name="page16"/>
    <w:bookmarkEnd w:id="15"/>
    <w:p>
      <w:pPr>
        <w:ind w:left="2780"/>
        <w:spacing w:after="0"/>
        <w:rPr>
          <w:sz w:val="20"/>
          <w:szCs w:val="20"/>
          <w:color w:val="auto"/>
        </w:rPr>
      </w:pPr>
      <w:r>
        <w:rPr>
          <w:rFonts w:ascii="Arial" w:cs="Arial" w:eastAsia="Arial" w:hAnsi="Arial"/>
          <w:sz w:val="19"/>
          <w:szCs w:val="19"/>
          <w:b w:val="1"/>
          <w:bCs w:val="1"/>
          <w:color w:val="auto"/>
        </w:rPr>
        <w:t>Oaktree-TBMR Strategic Credit Fund C,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Oaktree-TBMR Strategic Credit Fund F,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Oaktree-TBMR Strategic Credit Fund G,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14" w:right="1440" w:bottom="1440" w:gutter="0" w:footer="0" w:header="0"/>
        </w:sectPr>
      </w:pPr>
    </w:p>
    <w:bookmarkStart w:id="16" w:name="page17"/>
    <w:bookmarkEnd w:id="16"/>
    <w:p>
      <w:pPr>
        <w:ind w:left="2780"/>
        <w:spacing w:after="0"/>
        <w:rPr>
          <w:sz w:val="20"/>
          <w:szCs w:val="20"/>
          <w:color w:val="auto"/>
        </w:rPr>
      </w:pPr>
      <w:r>
        <w:rPr>
          <w:rFonts w:ascii="Arial" w:cs="Arial" w:eastAsia="Arial" w:hAnsi="Arial"/>
          <w:sz w:val="21"/>
          <w:szCs w:val="21"/>
          <w:b w:val="1"/>
          <w:bCs w:val="1"/>
          <w:color w:val="auto"/>
        </w:rPr>
        <w:t>Oaktree-Minn Strategic Credit, LLC</w:t>
      </w:r>
    </w:p>
    <w:p>
      <w:pPr>
        <w:spacing w:after="0" w:line="205"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INPRS Strategic Credit Holdings,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Oaktree-TCDRS Strategic Credit,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14" w:right="1440" w:bottom="1440" w:gutter="0" w:footer="0" w:header="0"/>
        </w:sectPr>
      </w:pPr>
    </w:p>
    <w:bookmarkStart w:id="17" w:name="page18"/>
    <w:bookmarkEnd w:id="17"/>
    <w:p>
      <w:pPr>
        <w:ind w:left="2780"/>
        <w:spacing w:after="0"/>
        <w:rPr>
          <w:sz w:val="20"/>
          <w:szCs w:val="20"/>
          <w:color w:val="auto"/>
        </w:rPr>
      </w:pPr>
      <w:r>
        <w:rPr>
          <w:rFonts w:ascii="Arial" w:cs="Arial" w:eastAsia="Arial" w:hAnsi="Arial"/>
          <w:sz w:val="19"/>
          <w:szCs w:val="19"/>
          <w:b w:val="1"/>
          <w:bCs w:val="1"/>
          <w:color w:val="auto"/>
        </w:rPr>
        <w:t>Oaktree-TSE 16 Strategic Credit, LLC</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Capital Management, L.P.,</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169"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14" w:right="1440" w:bottom="1440" w:gutter="0" w:footer="0" w:header="0"/>
        </w:sectPr>
      </w:pPr>
    </w:p>
    <w:bookmarkStart w:id="18" w:name="page19"/>
    <w:bookmarkEnd w:id="18"/>
    <w:p>
      <w:pPr>
        <w:ind w:left="2780"/>
        <w:spacing w:after="0"/>
        <w:rPr>
          <w:sz w:val="20"/>
          <w:szCs w:val="20"/>
          <w:color w:val="auto"/>
        </w:rPr>
      </w:pPr>
      <w:r>
        <w:rPr>
          <w:rFonts w:ascii="Arial" w:cs="Arial" w:eastAsia="Arial" w:hAnsi="Arial"/>
          <w:sz w:val="19"/>
          <w:szCs w:val="19"/>
          <w:b w:val="1"/>
          <w:bCs w:val="1"/>
          <w:color w:val="auto"/>
        </w:rPr>
        <w:t>Oaktree Specialty Lending Corporation</w:t>
      </w:r>
    </w:p>
    <w:p>
      <w:pPr>
        <w:spacing w:after="0" w:line="228"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Oaktree Fund Advisors, LLC</w:t>
      </w:r>
    </w:p>
    <w:p>
      <w:pPr>
        <w:ind w:left="2780"/>
        <w:spacing w:after="0"/>
        <w:tabs>
          <w:tab w:leader="none" w:pos="324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9"/>
          <w:szCs w:val="19"/>
          <w:color w:val="auto"/>
        </w:rPr>
        <w:t>Investment Adviser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049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Mary Gallegly</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Raghav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11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3420"/>
        <w:spacing w:after="0" w:line="204" w:lineRule="auto"/>
        <w:rPr>
          <w:sz w:val="20"/>
          <w:szCs w:val="20"/>
          <w:color w:val="auto"/>
        </w:rPr>
      </w:pPr>
      <w:r>
        <w:rPr>
          <w:rFonts w:ascii="Arial" w:cs="Arial" w:eastAsia="Arial" w:hAnsi="Arial"/>
          <w:sz w:val="22"/>
          <w:szCs w:val="22"/>
          <w:color w:val="auto"/>
        </w:rPr>
        <w:t>Name: Raghav Khanna</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Amendment No. 1 to Credit Agreement</w:t>
      </w:r>
      <w:r>
        <w:rPr>
          <w:rFonts w:ascii="Arial" w:cs="Arial" w:eastAsia="Arial" w:hAnsi="Arial"/>
          <w:sz w:val="19"/>
          <w:szCs w:val="19"/>
          <w:color w:val="auto"/>
        </w:rPr>
        <w:t>]</w:t>
      </w:r>
    </w:p>
    <w:p>
      <w:pPr>
        <w:sectPr>
          <w:pgSz w:w="11900" w:h="16838" w:orient="portrait"/>
          <w:cols w:equalWidth="0" w:num="1">
            <w:col w:w="9019"/>
          </w:cols>
          <w:pgMar w:left="1440" w:top="1314"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auto"/>
        </w:rPr>
        <w:t>NN, Inc. Announces Amendment to Term Loan</w:t>
      </w:r>
    </w:p>
    <w:p>
      <w:pPr>
        <w:spacing w:after="0" w:line="167" w:lineRule="exact"/>
        <w:rPr>
          <w:sz w:val="20"/>
          <w:szCs w:val="20"/>
          <w:color w:val="auto"/>
        </w:rPr>
      </w:pPr>
    </w:p>
    <w:p>
      <w:pPr>
        <w:ind w:right="320"/>
        <w:spacing w:after="0" w:line="262" w:lineRule="auto"/>
        <w:rPr>
          <w:sz w:val="20"/>
          <w:szCs w:val="20"/>
          <w:color w:val="auto"/>
        </w:rPr>
      </w:pPr>
      <w:r>
        <w:rPr>
          <w:rFonts w:ascii="Arial" w:cs="Arial" w:eastAsia="Arial" w:hAnsi="Arial"/>
          <w:sz w:val="19"/>
          <w:szCs w:val="19"/>
          <w:color w:val="auto"/>
        </w:rPr>
        <w:t>CHARLOTTE, N.C., March 04, 2022 (GLOBE NEWSWIRE) -- NN, Inc. (NASDAQ: NNBR), a diversified industrial company, today announced an amendment to its 5.5-year $150 million term loan with funds managed by Oaktree Capital Management, L.P. (“Oaktree”). The amendment increases the maximum total leverage ratio covenants for all quarters of 2022 and 2023.</w:t>
      </w:r>
    </w:p>
    <w:p>
      <w:pPr>
        <w:spacing w:after="0" w:line="21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"We are pleased to complete this amendment with Oaktree, which allows us to remain focused on our operations and our strategic initiatives towards transformational growth," said Warren Veltman, President and Chief Executive Officer of NN. "The amendment provides us time and flexibility to continue to make the right long-term decisions for the business as we return to a normal operating environment. In 2022, we expect the unprecedented impacts of supply chain disruption for semiconductor chips and other key inputs as well as inflation that we have experienced in 2021 to stabilize. These developments, coupled with the pricing actions we have taken with customers to recover inflation is expected to result in improved profitability in 2022."</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Highlights:</w:t>
      </w:r>
    </w:p>
    <w:p>
      <w:pPr>
        <w:spacing w:after="0" w:line="267" w:lineRule="exact"/>
        <w:rPr>
          <w:sz w:val="20"/>
          <w:szCs w:val="20"/>
          <w:color w:val="auto"/>
        </w:rPr>
      </w:pPr>
    </w:p>
    <w:p>
      <w:pPr>
        <w:ind w:left="660" w:right="1000" w:hanging="328"/>
        <w:spacing w:after="0" w:line="246"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Increases quarterly maximum leverage ratio in a range of 0.25x to 0.75x for 2022 and 2023 as specified in the amendment</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No change to interest rate</w:t>
      </w:r>
    </w:p>
    <w:p>
      <w:pPr>
        <w:spacing w:after="0" w:line="243"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Mike Felcher, NN Senior Vice President and CFO, commented, “We engaged in proactive discussions with Oaktree to reset our leverage ratios at levels that provide us adequate flexibility given the uncertain and challenging macroeconomic conditions our business is facing. We appreciate Oaktree’s continued support as an investment partner that understands our business and is committed to our long-term growth strategy.”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NN, Inc.</w:t>
      </w:r>
    </w:p>
    <w:p>
      <w:pPr>
        <w:spacing w:after="0" w:line="267" w:lineRule="exact"/>
        <w:rPr>
          <w:sz w:val="20"/>
          <w:szCs w:val="20"/>
          <w:color w:val="auto"/>
        </w:rPr>
      </w:pPr>
    </w:p>
    <w:p>
      <w:pPr>
        <w:jc w:val="both"/>
        <w:ind w:right="280"/>
        <w:spacing w:after="0" w:line="262" w:lineRule="auto"/>
        <w:rPr>
          <w:sz w:val="20"/>
          <w:szCs w:val="20"/>
          <w:color w:val="auto"/>
        </w:rPr>
      </w:pPr>
      <w:r>
        <w:rPr>
          <w:rFonts w:ascii="Arial" w:cs="Arial" w:eastAsia="Arial" w:hAnsi="Arial"/>
          <w:sz w:val="19"/>
          <w:szCs w:val="19"/>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31 facilities in North America, Europe, South America, and Asia.</w:t>
      </w:r>
    </w:p>
    <w:p>
      <w:pPr>
        <w:spacing w:after="0" w:line="216" w:lineRule="exact"/>
        <w:rPr>
          <w:sz w:val="20"/>
          <w:szCs w:val="20"/>
          <w:color w:val="auto"/>
        </w:rPr>
      </w:pPr>
    </w:p>
    <w:p>
      <w:pPr>
        <w:ind w:right="20"/>
        <w:spacing w:after="0"/>
        <w:rPr>
          <w:sz w:val="20"/>
          <w:szCs w:val="20"/>
          <w:color w:val="auto"/>
        </w:rPr>
      </w:pPr>
      <w:r>
        <w:rPr>
          <w:rFonts w:ascii="Arial" w:cs="Arial" w:eastAsia="Arial" w:hAnsi="Arial"/>
          <w:sz w:val="20"/>
          <w:szCs w:val="20"/>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20"/>
          <w:szCs w:val="20"/>
          <w:color w:val="auto"/>
        </w:rPr>
        <w:t>management’s control and that may cause actual results to be materially different from such forward-looking statements. Such factors include, among others, general economic conditions and economic conditions in the industrial sector; the impacts of the COVID-19 pandemic on the Company’s financial condition, business operations and liquidity; competitive influences; risks that current customers will commence or increase captive production; risks of capacity underutilization; quality issues; material changes in the costs and availability of raw materials; currency and other risks associated with international trade;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w:t>
      </w:r>
    </w:p>
    <w:p>
      <w:pPr>
        <w:spacing w:after="0" w:line="238" w:lineRule="exact"/>
        <w:rPr>
          <w:sz w:val="20"/>
          <w:szCs w:val="20"/>
          <w:color w:val="auto"/>
        </w:rPr>
      </w:pPr>
    </w:p>
    <w:p>
      <w:pPr>
        <w:ind w:right="60"/>
        <w:spacing w:after="0"/>
        <w:rPr>
          <w:sz w:val="20"/>
          <w:szCs w:val="20"/>
          <w:color w:val="auto"/>
        </w:rPr>
      </w:pPr>
      <w:r>
        <w:rPr>
          <w:rFonts w:ascii="Arial" w:cs="Arial" w:eastAsia="Arial" w:hAnsi="Arial"/>
          <w:sz w:val="20"/>
          <w:szCs w:val="20"/>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2020, the Company's Quarterly Report on Form 10-Q for the three months ended September 30, 2021, and, when filed, the Company’s Annual Report on Form 10-K for the fiscal year ended December 31, 2021. Except as required by law, we undertake no obligation to update or revise any forward-looking statements we make in our press releases, whether as a result of new information, future events or otherwise.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Jeff Tryka,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 Contact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3051F2"/>
        </w:rPr>
        <w:t>jtryka@lambert.com</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616-295-2509</w:t>
      </w:r>
    </w:p>
    <w:sectPr>
      <w:pgSz w:w="11900" w:h="16838" w:orient="portrait"/>
      <w:cols w:equalWidth="0" w:num="1">
        <w:col w:w="11240"/>
      </w:cols>
      <w:pgMar w:left="320" w:top="14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
      <w:numFmt w:val="bullet"/>
      <w:start w:val="1"/>
    </w:lvl>
    <w:lvl w:ilvl="1">
      <w:lvlJc w:val="left"/>
      <w:lvlText w:val="%2"/>
      <w:numFmt w:val="decimal"/>
      <w:start w:val="104"/>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decimal"/>
      <w:start w:val="3"/>
    </w:lvl>
    <w:lvl w:ilvl="1">
      <w:lvlJc w:val="left"/>
      <w:lvlText w:val="%2"/>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upperLetter"/>
      <w:start w:val="40"/>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2022-03-04T15:17:19Z</dcterms:created>
  <dcterms:modified xsi:type="dcterms:W3CDTF">2022-03-04T15:17:19Z</dcterms:modified>
</cp:coreProperties>
</file>