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Washington, DC 20549</w:t>
      </w:r>
    </w:p>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8-K</w:t>
      </w:r>
    </w:p>
    <w:p>
      <w:pPr>
        <w:spacing w:after="0" w:line="2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275" w:lineRule="exact"/>
        <w:rPr>
          <w:sz w:val="24"/>
          <w:szCs w:val="24"/>
          <w:color w:val="auto"/>
        </w:rPr>
      </w:pPr>
    </w:p>
    <w:p>
      <w:pPr>
        <w:ind w:left="1600"/>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Date of Report (Date of earliest event reported): October 30, 2006</w:t>
      </w:r>
    </w:p>
    <w:p>
      <w:pPr>
        <w:spacing w:after="0" w:line="200" w:lineRule="exact"/>
        <w:rPr>
          <w:sz w:val="24"/>
          <w:szCs w:val="24"/>
          <w:color w:val="auto"/>
        </w:rPr>
      </w:pPr>
    </w:p>
    <w:p>
      <w:pPr>
        <w:spacing w:after="0" w:line="319"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8"/>
          <w:szCs w:val="38"/>
          <w:b w:val="1"/>
          <w:bCs w:val="1"/>
          <w:color w:val="auto"/>
        </w:rPr>
        <w:t>NN, INC.</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54"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720" w:type="dxa"/>
            <w:vAlign w:val="bottom"/>
          </w:tcPr>
          <w:p>
            <w:pPr>
              <w:ind w:left="60"/>
              <w:spacing w:after="0"/>
              <w:rPr>
                <w:sz w:val="20"/>
                <w:szCs w:val="20"/>
                <w:color w:val="auto"/>
              </w:rPr>
            </w:pPr>
            <w:r>
              <w:rPr>
                <w:rFonts w:ascii="Times New Roman" w:cs="Times New Roman" w:eastAsia="Times New Roman" w:hAnsi="Times New Roman"/>
                <w:sz w:val="21"/>
                <w:szCs w:val="21"/>
                <w:b w:val="1"/>
                <w:bCs w:val="1"/>
                <w:color w:val="auto"/>
              </w:rPr>
              <w:t>Delaware</w:t>
            </w:r>
          </w:p>
        </w:tc>
        <w:tc>
          <w:tcPr>
            <w:tcW w:w="3360" w:type="dxa"/>
            <w:vAlign w:val="bottom"/>
          </w:tcPr>
          <w:p>
            <w:pPr>
              <w:ind w:left="1720"/>
              <w:spacing w:after="0"/>
              <w:rPr>
                <w:sz w:val="20"/>
                <w:szCs w:val="20"/>
                <w:color w:val="auto"/>
              </w:rPr>
            </w:pPr>
            <w:r>
              <w:rPr>
                <w:rFonts w:ascii="Times New Roman" w:cs="Times New Roman" w:eastAsia="Times New Roman" w:hAnsi="Times New Roman"/>
                <w:sz w:val="21"/>
                <w:szCs w:val="21"/>
                <w:b w:val="1"/>
                <w:bCs w:val="1"/>
                <w:color w:val="auto"/>
              </w:rPr>
              <w:t>0-23486</w:t>
            </w:r>
          </w:p>
        </w:tc>
        <w:tc>
          <w:tcPr>
            <w:tcW w:w="1680" w:type="dxa"/>
            <w:vAlign w:val="bottom"/>
          </w:tcPr>
          <w:p>
            <w:pPr>
              <w:jc w:val="right"/>
              <w:ind w:right="128"/>
              <w:spacing w:after="0"/>
              <w:rPr>
                <w:sz w:val="20"/>
                <w:szCs w:val="20"/>
                <w:color w:val="auto"/>
              </w:rPr>
            </w:pPr>
            <w:r>
              <w:rPr>
                <w:rFonts w:ascii="Times New Roman" w:cs="Times New Roman" w:eastAsia="Times New Roman" w:hAnsi="Times New Roman"/>
                <w:sz w:val="21"/>
                <w:szCs w:val="21"/>
                <w:b w:val="1"/>
                <w:bCs w:val="1"/>
                <w:color w:val="auto"/>
              </w:rPr>
              <w:t>62-1096725</w:t>
            </w:r>
          </w:p>
        </w:tc>
        <w:tc>
          <w:tcPr>
            <w:tcW w:w="0" w:type="dxa"/>
            <w:vAlign w:val="bottom"/>
          </w:tcPr>
          <w:p>
            <w:pPr>
              <w:spacing w:after="0"/>
              <w:rPr>
                <w:sz w:val="1"/>
                <w:szCs w:val="1"/>
                <w:color w:val="auto"/>
              </w:rPr>
            </w:pPr>
          </w:p>
        </w:tc>
      </w:tr>
      <w:tr>
        <w:trPr>
          <w:trHeight w:val="206"/>
        </w:trPr>
        <w:tc>
          <w:tcPr>
            <w:tcW w:w="3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(State or other jurisdiction</w:t>
            </w:r>
          </w:p>
        </w:tc>
        <w:tc>
          <w:tcPr>
            <w:tcW w:w="3360" w:type="dxa"/>
            <w:vAlign w:val="bottom"/>
          </w:tcPr>
          <w:p>
            <w:pPr>
              <w:ind w:left="1700"/>
              <w:spacing w:after="0"/>
              <w:rPr>
                <w:sz w:val="20"/>
                <w:szCs w:val="20"/>
                <w:color w:val="auto"/>
              </w:rPr>
            </w:pPr>
            <w:r>
              <w:rPr>
                <w:rFonts w:ascii="Times New Roman" w:cs="Times New Roman" w:eastAsia="Times New Roman" w:hAnsi="Times New Roman"/>
                <w:sz w:val="17"/>
                <w:szCs w:val="17"/>
                <w:color w:val="auto"/>
              </w:rPr>
              <w:t>(Commission File</w:t>
            </w:r>
          </w:p>
        </w:tc>
        <w:tc>
          <w:tcPr>
            <w:tcW w:w="1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(IRS Employer</w:t>
            </w:r>
          </w:p>
        </w:tc>
        <w:tc>
          <w:tcPr>
            <w:tcW w:w="0" w:type="dxa"/>
            <w:vAlign w:val="bottom"/>
          </w:tcPr>
          <w:p>
            <w:pPr>
              <w:spacing w:after="0"/>
              <w:rPr>
                <w:sz w:val="1"/>
                <w:szCs w:val="1"/>
                <w:color w:val="auto"/>
              </w:rPr>
            </w:pPr>
          </w:p>
        </w:tc>
      </w:tr>
      <w:tr>
        <w:trPr>
          <w:trHeight w:val="223"/>
        </w:trPr>
        <w:tc>
          <w:tcPr>
            <w:tcW w:w="372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of incorporation</w:t>
            </w:r>
          </w:p>
        </w:tc>
        <w:tc>
          <w:tcPr>
            <w:tcW w:w="3360" w:type="dxa"/>
            <w:vAlign w:val="bottom"/>
          </w:tcPr>
          <w:p>
            <w:pPr>
              <w:ind w:left="1760"/>
              <w:spacing w:after="0"/>
              <w:rPr>
                <w:sz w:val="20"/>
                <w:szCs w:val="20"/>
                <w:color w:val="auto"/>
              </w:rPr>
            </w:pPr>
            <w:r>
              <w:rPr>
                <w:rFonts w:ascii="Times New Roman" w:cs="Times New Roman" w:eastAsia="Times New Roman" w:hAnsi="Times New Roman"/>
                <w:sz w:val="17"/>
                <w:szCs w:val="17"/>
                <w:color w:val="auto"/>
              </w:rPr>
              <w:t>Number)</w:t>
            </w:r>
          </w:p>
        </w:tc>
        <w:tc>
          <w:tcPr>
            <w:tcW w:w="1680" w:type="dxa"/>
            <w:vAlign w:val="bottom"/>
          </w:tcPr>
          <w:p>
            <w:pPr>
              <w:ind w:left="400"/>
              <w:spacing w:after="0"/>
              <w:rPr>
                <w:sz w:val="20"/>
                <w:szCs w:val="20"/>
                <w:color w:val="auto"/>
              </w:rPr>
            </w:pPr>
            <w:r>
              <w:rPr>
                <w:rFonts w:ascii="Times New Roman" w:cs="Times New Roman" w:eastAsia="Times New Roman" w:hAnsi="Times New Roman"/>
                <w:sz w:val="17"/>
                <w:szCs w:val="17"/>
                <w:color w:val="auto"/>
                <w:w w:val="99"/>
              </w:rPr>
              <w:t>Identification No.)</w:t>
            </w:r>
          </w:p>
        </w:tc>
        <w:tc>
          <w:tcPr>
            <w:tcW w:w="0" w:type="dxa"/>
            <w:vAlign w:val="bottom"/>
          </w:tcPr>
          <w:p>
            <w:pPr>
              <w:spacing w:after="0"/>
              <w:rPr>
                <w:sz w:val="1"/>
                <w:szCs w:val="1"/>
                <w:color w:val="auto"/>
              </w:rPr>
            </w:pPr>
          </w:p>
        </w:tc>
      </w:tr>
      <w:tr>
        <w:trPr>
          <w:trHeight w:val="667"/>
        </w:trPr>
        <w:tc>
          <w:tcPr>
            <w:tcW w:w="3720" w:type="dxa"/>
            <w:vAlign w:val="bottom"/>
          </w:tcPr>
          <w:p>
            <w:pPr>
              <w:ind w:left="60"/>
              <w:spacing w:after="0"/>
              <w:rPr>
                <w:sz w:val="20"/>
                <w:szCs w:val="20"/>
                <w:color w:val="auto"/>
              </w:rPr>
            </w:pPr>
            <w:r>
              <w:rPr>
                <w:rFonts w:ascii="Times New Roman" w:cs="Times New Roman" w:eastAsia="Times New Roman" w:hAnsi="Times New Roman"/>
                <w:sz w:val="21"/>
                <w:szCs w:val="21"/>
                <w:b w:val="1"/>
                <w:bCs w:val="1"/>
                <w:color w:val="auto"/>
              </w:rPr>
              <w:t>2000 Waters Edge Drive</w:t>
            </w:r>
          </w:p>
        </w:tc>
        <w:tc>
          <w:tcPr>
            <w:tcW w:w="3360" w:type="dxa"/>
            <w:vAlign w:val="bottom"/>
            <w:vMerge w:val="restart"/>
          </w:tcPr>
          <w:p>
            <w:pPr>
              <w:ind w:left="960"/>
              <w:spacing w:after="0"/>
              <w:rPr>
                <w:sz w:val="20"/>
                <w:szCs w:val="20"/>
                <w:color w:val="auto"/>
              </w:rPr>
            </w:pPr>
            <w:r>
              <w:rPr>
                <w:rFonts w:ascii="Times New Roman" w:cs="Times New Roman" w:eastAsia="Times New Roman" w:hAnsi="Times New Roman"/>
                <w:sz w:val="21"/>
                <w:szCs w:val="21"/>
                <w:b w:val="1"/>
                <w:bCs w:val="1"/>
                <w:color w:val="auto"/>
              </w:rPr>
              <w:t>37604</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720" w:type="dxa"/>
            <w:vAlign w:val="bottom"/>
            <w:vMerge w:val="restart"/>
          </w:tcPr>
          <w:p>
            <w:pPr>
              <w:spacing w:after="0"/>
              <w:rPr>
                <w:sz w:val="20"/>
                <w:szCs w:val="20"/>
                <w:color w:val="auto"/>
              </w:rPr>
            </w:pPr>
            <w:r>
              <w:rPr>
                <w:rFonts w:ascii="Times New Roman" w:cs="Times New Roman" w:eastAsia="Times New Roman" w:hAnsi="Times New Roman"/>
                <w:sz w:val="21"/>
                <w:szCs w:val="21"/>
                <w:b w:val="1"/>
                <w:bCs w:val="1"/>
                <w:color w:val="auto"/>
              </w:rPr>
              <w:t>Johnson City, Tennessee</w:t>
            </w:r>
          </w:p>
        </w:tc>
        <w:tc>
          <w:tcPr>
            <w:tcW w:w="3360" w:type="dxa"/>
            <w:vAlign w:val="bottom"/>
            <w:vMerge w:val="continue"/>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9"/>
        </w:trPr>
        <w:tc>
          <w:tcPr>
            <w:tcW w:w="3720" w:type="dxa"/>
            <w:vAlign w:val="bottom"/>
            <w:vMerge w:val="continue"/>
          </w:tcPr>
          <w:p>
            <w:pPr>
              <w:spacing w:after="0"/>
              <w:rPr>
                <w:sz w:val="7"/>
                <w:szCs w:val="7"/>
                <w:color w:val="auto"/>
              </w:rPr>
            </w:pPr>
          </w:p>
        </w:tc>
        <w:tc>
          <w:tcPr>
            <w:tcW w:w="33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37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(Address of principal executive offices)</w:t>
            </w:r>
          </w:p>
        </w:tc>
        <w:tc>
          <w:tcPr>
            <w:tcW w:w="3360" w:type="dxa"/>
            <w:vAlign w:val="bottom"/>
          </w:tcPr>
          <w:p>
            <w:pPr>
              <w:ind w:left="940"/>
              <w:spacing w:after="0"/>
              <w:rPr>
                <w:sz w:val="20"/>
                <w:szCs w:val="20"/>
                <w:color w:val="auto"/>
              </w:rPr>
            </w:pPr>
            <w:r>
              <w:rPr>
                <w:rFonts w:ascii="Times New Roman" w:cs="Times New Roman" w:eastAsia="Times New Roman" w:hAnsi="Times New Roman"/>
                <w:sz w:val="17"/>
                <w:szCs w:val="17"/>
                <w:color w:val="auto"/>
              </w:rPr>
              <w:t>(Zip Code)</w:t>
            </w: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 xml:space="preserve">Registrant's telephone number, including area code: </w:t>
      </w:r>
      <w:r>
        <w:rPr>
          <w:rFonts w:ascii="Times New Roman" w:cs="Times New Roman" w:eastAsia="Times New Roman" w:hAnsi="Times New Roman"/>
          <w:sz w:val="21"/>
          <w:szCs w:val="21"/>
          <w:b w:val="1"/>
          <w:bCs w:val="1"/>
          <w:color w:val="auto"/>
        </w:rPr>
        <w:t>(423)743-9151</w:t>
      </w:r>
    </w:p>
    <w:p>
      <w:pPr>
        <w:spacing w:after="0" w:line="200" w:lineRule="exact"/>
        <w:rPr>
          <w:sz w:val="24"/>
          <w:szCs w:val="24"/>
          <w:color w:val="auto"/>
        </w:rPr>
      </w:pPr>
    </w:p>
    <w:p>
      <w:pPr>
        <w:spacing w:after="0" w:line="337"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Check the appropriate box below if the Form 8-K filing is intended to simultaneously satisfy the filing obligation of the registrant under any of the following provisions: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oWritten communications pursuant to Rule 425 under the Securities Act (17 CFR 230.425)</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 Soliciting material pursuant to Rule 14a-12 under the Exchange Act (17 CFR 240.14a-12)</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oPre-commencement communications pursuant to Rule 14d-2(b) under the Exchange Act (17 CFR 240.14d-2(b))</w:t>
      </w:r>
    </w:p>
    <w:p>
      <w:pPr>
        <w:spacing w:after="0" w:line="27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434340</wp:posOffset>
            </wp:positionV>
            <wp:extent cx="7257415"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762000</wp:posOffset>
            </wp:positionV>
            <wp:extent cx="725741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55" w:right="2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b w:val="1"/>
          <w:bCs w:val="1"/>
          <w:color w:val="auto"/>
        </w:rPr>
        <w:t>Item 2.02. Results of Operations and Financial Condition.</w:t>
      </w:r>
    </w:p>
    <w:p>
      <w:pPr>
        <w:spacing w:after="0" w:line="27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Furnished as Exhibit 99.1 is a copy of the earnings release of NN, Inc. reporting results for the third quarter and nine months ended September 30, 2006.</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Item 9.01. Financial Statements and Exhibits.</w:t>
      </w:r>
    </w:p>
    <w:p>
      <w:pPr>
        <w:spacing w:after="0" w:line="27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21"/>
          <w:szCs w:val="21"/>
          <w:color w:val="auto"/>
        </w:rPr>
        <w:t>(c) Exhibits.</w:t>
      </w:r>
    </w:p>
    <w:p>
      <w:pPr>
        <w:spacing w:after="0" w:line="275" w:lineRule="exact"/>
        <w:rPr>
          <w:sz w:val="20"/>
          <w:szCs w:val="20"/>
          <w:color w:val="auto"/>
        </w:rPr>
      </w:pPr>
    </w:p>
    <w:p>
      <w:pPr>
        <w:jc w:val="both"/>
        <w:ind w:firstLine="680"/>
        <w:spacing w:after="0" w:line="269" w:lineRule="auto"/>
        <w:rPr>
          <w:sz w:val="20"/>
          <w:szCs w:val="20"/>
          <w:color w:val="auto"/>
        </w:rPr>
      </w:pPr>
      <w:r>
        <w:rPr>
          <w:rFonts w:ascii="Times New Roman" w:cs="Times New Roman" w:eastAsia="Times New Roman" w:hAnsi="Times New Roman"/>
          <w:sz w:val="21"/>
          <w:szCs w:val="21"/>
          <w:color w:val="auto"/>
        </w:rPr>
        <w:t>The following exhibit is furnished pursuant to Item 2.02, is not considered "filed" under the Securities Exchange Act of 1934, as amended, and shall not be incorporated by reference into any of the previous or future filings of NN, Inc. under the Securities Act of 1933, as amended, or the Exchange Act:</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1200" w:type="dxa"/>
            <w:vAlign w:val="bottom"/>
            <w:gridSpan w:val="2"/>
          </w:tcPr>
          <w:p>
            <w:pPr>
              <w:spacing w:after="0"/>
              <w:rPr>
                <w:sz w:val="20"/>
                <w:szCs w:val="20"/>
                <w:color w:val="auto"/>
              </w:rPr>
            </w:pPr>
            <w:r>
              <w:rPr>
                <w:rFonts w:ascii="Times New Roman" w:cs="Times New Roman" w:eastAsia="Times New Roman" w:hAnsi="Times New Roman"/>
                <w:sz w:val="21"/>
                <w:szCs w:val="21"/>
                <w:color w:val="auto"/>
              </w:rPr>
              <w:t>Exhibit</w:t>
            </w:r>
          </w:p>
        </w:tc>
        <w:tc>
          <w:tcPr>
            <w:tcW w:w="520" w:type="dxa"/>
            <w:vAlign w:val="bottom"/>
          </w:tcPr>
          <w:p>
            <w:pPr>
              <w:spacing w:after="0"/>
              <w:rPr>
                <w:sz w:val="22"/>
                <w:szCs w:val="22"/>
                <w:color w:val="auto"/>
              </w:rPr>
            </w:pPr>
          </w:p>
        </w:tc>
        <w:tc>
          <w:tcPr>
            <w:tcW w:w="1840" w:type="dxa"/>
            <w:vAlign w:val="bottom"/>
          </w:tcPr>
          <w:p>
            <w:pPr>
              <w:spacing w:after="0"/>
              <w:rPr>
                <w:sz w:val="22"/>
                <w:szCs w:val="22"/>
                <w:color w:val="auto"/>
              </w:rPr>
            </w:pPr>
          </w:p>
        </w:tc>
        <w:tc>
          <w:tcPr>
            <w:tcW w:w="2320" w:type="dxa"/>
            <w:vAlign w:val="bottom"/>
          </w:tcPr>
          <w:p>
            <w:pPr>
              <w:spacing w:after="0"/>
              <w:rPr>
                <w:sz w:val="22"/>
                <w:szCs w:val="22"/>
                <w:color w:val="auto"/>
              </w:rPr>
            </w:pPr>
          </w:p>
        </w:tc>
      </w:tr>
      <w:tr>
        <w:trPr>
          <w:trHeight w:val="219"/>
        </w:trPr>
        <w:tc>
          <w:tcPr>
            <w:tcW w:w="680" w:type="dxa"/>
            <w:vAlign w:val="bottom"/>
          </w:tcPr>
          <w:p>
            <w:pPr>
              <w:spacing w:after="0" w:line="219" w:lineRule="exact"/>
              <w:rPr>
                <w:sz w:val="20"/>
                <w:szCs w:val="20"/>
                <w:color w:val="auto"/>
              </w:rPr>
            </w:pPr>
            <w:r>
              <w:rPr>
                <w:rFonts w:ascii="Times New Roman" w:cs="Times New Roman" w:eastAsia="Times New Roman" w:hAnsi="Times New Roman"/>
                <w:sz w:val="21"/>
                <w:szCs w:val="21"/>
                <w:color w:val="auto"/>
                <w:w w:val="95"/>
              </w:rPr>
              <w:t>Number</w:t>
            </w:r>
          </w:p>
        </w:tc>
        <w:tc>
          <w:tcPr>
            <w:tcW w:w="520" w:type="dxa"/>
            <w:vAlign w:val="bottom"/>
          </w:tcPr>
          <w:p>
            <w:pPr>
              <w:spacing w:after="0"/>
              <w:rPr>
                <w:sz w:val="19"/>
                <w:szCs w:val="19"/>
                <w:color w:val="auto"/>
              </w:rPr>
            </w:pPr>
          </w:p>
        </w:tc>
        <w:tc>
          <w:tcPr>
            <w:tcW w:w="4680" w:type="dxa"/>
            <w:vAlign w:val="bottom"/>
            <w:gridSpan w:val="3"/>
          </w:tcPr>
          <w:p>
            <w:pPr>
              <w:ind w:left="520"/>
              <w:spacing w:after="0" w:line="219" w:lineRule="exact"/>
              <w:rPr>
                <w:sz w:val="20"/>
                <w:szCs w:val="20"/>
                <w:color w:val="auto"/>
              </w:rPr>
            </w:pPr>
            <w:r>
              <w:rPr>
                <w:rFonts w:ascii="Times New Roman" w:cs="Times New Roman" w:eastAsia="Times New Roman" w:hAnsi="Times New Roman"/>
                <w:sz w:val="21"/>
                <w:szCs w:val="21"/>
                <w:color w:val="auto"/>
              </w:rPr>
              <w:t>Description of Exhibit</w:t>
            </w:r>
          </w:p>
        </w:tc>
      </w:tr>
      <w:tr>
        <w:trPr>
          <w:trHeight w:val="20"/>
        </w:trPr>
        <w:tc>
          <w:tcPr>
            <w:tcW w:w="68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545"/>
        </w:trPr>
        <w:tc>
          <w:tcPr>
            <w:tcW w:w="680" w:type="dxa"/>
            <w:vAlign w:val="bottom"/>
          </w:tcPr>
          <w:p>
            <w:pPr>
              <w:spacing w:after="0"/>
              <w:rPr>
                <w:sz w:val="20"/>
                <w:szCs w:val="20"/>
                <w:color w:val="auto"/>
              </w:rPr>
            </w:pPr>
            <w:r>
              <w:rPr>
                <w:rFonts w:ascii="Times New Roman" w:cs="Times New Roman" w:eastAsia="Times New Roman" w:hAnsi="Times New Roman"/>
                <w:sz w:val="21"/>
                <w:szCs w:val="21"/>
                <w:color w:val="auto"/>
              </w:rPr>
              <w:t>99.1</w:t>
            </w:r>
          </w:p>
        </w:tc>
        <w:tc>
          <w:tcPr>
            <w:tcW w:w="520" w:type="dxa"/>
            <w:vAlign w:val="bottom"/>
          </w:tcPr>
          <w:p>
            <w:pPr>
              <w:spacing w:after="0"/>
              <w:rPr>
                <w:sz w:val="24"/>
                <w:szCs w:val="24"/>
                <w:color w:val="auto"/>
              </w:rPr>
            </w:pPr>
          </w:p>
        </w:tc>
        <w:tc>
          <w:tcPr>
            <w:tcW w:w="4680" w:type="dxa"/>
            <w:vAlign w:val="bottom"/>
            <w:gridSpan w:val="3"/>
          </w:tcPr>
          <w:p>
            <w:pPr>
              <w:ind w:left="500"/>
              <w:spacing w:after="0"/>
              <w:rPr>
                <w:sz w:val="20"/>
                <w:szCs w:val="20"/>
                <w:color w:val="auto"/>
              </w:rPr>
            </w:pPr>
            <w:r>
              <w:rPr>
                <w:rFonts w:ascii="Times New Roman" w:cs="Times New Roman" w:eastAsia="Times New Roman" w:hAnsi="Times New Roman"/>
                <w:sz w:val="21"/>
                <w:szCs w:val="21"/>
                <w:color w:val="auto"/>
                <w:w w:val="98"/>
              </w:rPr>
              <w:t>Press Release of NN, Inc. dated October 30, 2006.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81" w:right="2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1"/>
          <w:szCs w:val="21"/>
          <w:b w:val="1"/>
          <w:bCs w:val="1"/>
          <w:color w:val="auto"/>
        </w:rPr>
        <w:t>SIGNATURES</w:t>
      </w:r>
    </w:p>
    <w:p>
      <w:pPr>
        <w:spacing w:after="0" w:line="27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21"/>
          <w:szCs w:val="21"/>
          <w:b w:val="1"/>
          <w:bCs w:val="1"/>
          <w:color w:val="auto"/>
        </w:rPr>
        <w:t>NN, INC.</w:t>
      </w:r>
    </w:p>
    <w:p>
      <w:pPr>
        <w:spacing w:after="0" w:line="200" w:lineRule="exact"/>
        <w:rPr>
          <w:sz w:val="20"/>
          <w:szCs w:val="20"/>
          <w:color w:val="auto"/>
        </w:rPr>
      </w:pPr>
    </w:p>
    <w:p>
      <w:pPr>
        <w:spacing w:after="0" w:line="204" w:lineRule="exact"/>
        <w:rPr>
          <w:sz w:val="20"/>
          <w:szCs w:val="20"/>
          <w:color w:val="auto"/>
        </w:rPr>
      </w:pPr>
    </w:p>
    <w:p>
      <w:pPr>
        <w:spacing w:after="0"/>
        <w:tabs>
          <w:tab w:leader="none" w:pos="5540" w:val="left"/>
        </w:tabs>
        <w:rPr>
          <w:sz w:val="20"/>
          <w:szCs w:val="20"/>
          <w:color w:val="auto"/>
        </w:rPr>
      </w:pPr>
      <w:r>
        <w:rPr>
          <w:rFonts w:ascii="Times New Roman" w:cs="Times New Roman" w:eastAsia="Times New Roman" w:hAnsi="Times New Roman"/>
          <w:sz w:val="21"/>
          <w:szCs w:val="21"/>
          <w:b w:val="1"/>
          <w:bCs w:val="1"/>
          <w:color w:val="auto"/>
        </w:rPr>
        <w:t>Date: November 1, 2006</w:t>
      </w:r>
      <w:r>
        <w:rPr>
          <w:sz w:val="20"/>
          <w:szCs w:val="20"/>
          <w:color w:val="auto"/>
        </w:rPr>
        <w:tab/>
      </w:r>
      <w:r>
        <w:rPr>
          <w:rFonts w:ascii="Times New Roman" w:cs="Times New Roman" w:eastAsia="Times New Roman" w:hAnsi="Times New Roman"/>
          <w:sz w:val="20"/>
          <w:szCs w:val="20"/>
          <w:b w:val="1"/>
          <w:bCs w:val="1"/>
          <w:color w:val="auto"/>
        </w:rPr>
        <w:t>By: /s/ William C. Kelly,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76200</wp:posOffset>
            </wp:positionV>
            <wp:extent cx="279082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790825" cy="20955"/>
                    </a:xfrm>
                    <a:prstGeom prst="rect">
                      <a:avLst/>
                    </a:prstGeom>
                    <a:noFill/>
                  </pic:spPr>
                </pic:pic>
              </a:graphicData>
            </a:graphic>
          </wp:anchor>
        </w:drawing>
      </w:r>
    </w:p>
    <w:p>
      <w:pPr>
        <w:spacing w:after="0" w:line="20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1"/>
          <w:szCs w:val="21"/>
          <w:color w:val="auto"/>
        </w:rPr>
        <w:t>Title: Vice President and</w:t>
      </w:r>
    </w:p>
    <w:p>
      <w:pPr>
        <w:spacing w:after="0" w:line="1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21"/>
          <w:szCs w:val="21"/>
          <w:color w:val="auto"/>
        </w:rPr>
        <w:t>Chief Administrative Officer</w:t>
      </w:r>
    </w:p>
    <w:p>
      <w:pPr>
        <w:sectPr>
          <w:pgSz w:w="11900" w:h="16838" w:orient="portrait"/>
          <w:cols w:equalWidth="0" w:num="1">
            <w:col w:w="11420"/>
          </w:cols>
          <w:pgMar w:left="240" w:top="639" w:right="2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38"/>
          <w:szCs w:val="38"/>
          <w:b w:val="1"/>
          <w:bCs w:val="1"/>
          <w:color w:val="auto"/>
        </w:rPr>
        <w:t>NEWS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31"/>
          <w:szCs w:val="31"/>
          <w:b w:val="1"/>
          <w:bCs w:val="1"/>
          <w:color w:val="auto"/>
        </w:rPr>
        <w:t>FINANCIAL</w:t>
      </w:r>
    </w:p>
    <w:p>
      <w:pPr>
        <w:spacing w:after="0"/>
        <w:rPr>
          <w:sz w:val="20"/>
          <w:szCs w:val="20"/>
          <w:color w:val="auto"/>
        </w:rPr>
      </w:pPr>
      <w:r>
        <w:rPr>
          <w:rFonts w:ascii="Times New Roman" w:cs="Times New Roman" w:eastAsia="Times New Roman" w:hAnsi="Times New Roman"/>
          <w:sz w:val="31"/>
          <w:szCs w:val="31"/>
          <w:b w:val="1"/>
          <w:bCs w:val="1"/>
          <w:color w:val="auto"/>
        </w:rPr>
        <w:t>RELATIONS BOARD</w:t>
      </w:r>
    </w:p>
    <w:p>
      <w:pPr>
        <w:spacing w:after="0" w:line="239" w:lineRule="exact"/>
        <w:rPr>
          <w:sz w:val="20"/>
          <w:szCs w:val="20"/>
          <w:color w:val="auto"/>
        </w:rPr>
      </w:pPr>
    </w:p>
    <w:p>
      <w:pPr>
        <w:ind w:left="9620"/>
        <w:spacing w:after="0"/>
        <w:rPr>
          <w:sz w:val="20"/>
          <w:szCs w:val="20"/>
          <w:color w:val="auto"/>
        </w:rPr>
      </w:pPr>
      <w:r>
        <w:rPr>
          <w:rFonts w:ascii="Times New Roman" w:cs="Times New Roman" w:eastAsia="Times New Roman" w:hAnsi="Times New Roman"/>
          <w:sz w:val="17"/>
          <w:szCs w:val="17"/>
          <w:color w:val="auto"/>
        </w:rPr>
        <w:t>RE: NN, Inc.</w:t>
      </w:r>
    </w:p>
    <w:p>
      <w:pPr>
        <w:spacing w:after="0" w:line="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2000 Waters Edge Drive</w:t>
      </w:r>
    </w:p>
    <w:p>
      <w:pPr>
        <w:spacing w:after="0" w:line="1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Johnson City, TN 37604</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FURTHER INFORMATION:</w:t>
      </w:r>
    </w:p>
    <w:p>
      <w:pPr>
        <w:spacing w:after="0" w:line="262" w:lineRule="exact"/>
        <w:rPr>
          <w:sz w:val="20"/>
          <w:szCs w:val="20"/>
          <w:color w:val="auto"/>
        </w:rPr>
      </w:pPr>
    </w:p>
    <w:tbl>
      <w:tblPr>
        <w:tblLayout w:type="fixed"/>
        <w:tblInd w:w="10" w:type="dxa"/>
        <w:tblCellMar>
          <w:top w:w="0" w:type="dxa"/>
          <w:left w:w="0" w:type="dxa"/>
          <w:bottom w:w="0" w:type="dxa"/>
          <w:right w:w="0" w:type="dxa"/>
        </w:tblCellMar>
      </w:tblPr>
      <w:tr>
        <w:trPr>
          <w:trHeight w:val="245"/>
        </w:trPr>
        <w:tc>
          <w:tcPr>
            <w:tcW w:w="5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b w:val="1"/>
                <w:bCs w:val="1"/>
                <w:color w:val="auto"/>
              </w:rPr>
              <w:t>AT THE COMPANY BOARD</w:t>
            </w:r>
          </w:p>
        </w:tc>
        <w:tc>
          <w:tcPr>
            <w:tcW w:w="5680" w:type="dxa"/>
            <w:vAlign w:val="bottom"/>
            <w:tcBorders>
              <w:top w:val="single" w:sz="8" w:color="auto"/>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7"/>
                <w:szCs w:val="17"/>
                <w:b w:val="1"/>
                <w:bCs w:val="1"/>
                <w:color w:val="auto"/>
              </w:rPr>
              <w:t>AT FINANCIAL RELATIONS BOARD</w:t>
            </w:r>
          </w:p>
        </w:tc>
      </w:tr>
      <w:tr>
        <w:trPr>
          <w:trHeight w:val="212"/>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Will Kelly</w:t>
            </w: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Marilynn Meek</w:t>
            </w:r>
          </w:p>
        </w:tc>
        <w:tc>
          <w:tcPr>
            <w:tcW w:w="292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Susan Garland</w:t>
            </w:r>
          </w:p>
        </w:tc>
      </w:tr>
      <w:tr>
        <w:trPr>
          <w:trHeight w:val="212"/>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Vice President and Chief Administrative Officer</w:t>
            </w: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(General info)</w:t>
            </w:r>
          </w:p>
        </w:tc>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(Analyst info)</w:t>
            </w:r>
          </w:p>
        </w:tc>
      </w:tr>
      <w:tr>
        <w:trPr>
          <w:trHeight w:val="212"/>
        </w:trPr>
        <w:tc>
          <w:tcPr>
            <w:tcW w:w="57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7"/>
                <w:szCs w:val="17"/>
                <w:color w:val="auto"/>
              </w:rPr>
              <w:t>(423) 743-9151</w:t>
            </w:r>
          </w:p>
        </w:tc>
        <w:tc>
          <w:tcPr>
            <w:tcW w:w="276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212-827-3773</w:t>
            </w:r>
          </w:p>
        </w:tc>
        <w:tc>
          <w:tcPr>
            <w:tcW w:w="292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7"/>
                <w:szCs w:val="17"/>
                <w:color w:val="auto"/>
              </w:rPr>
              <w:t>212-827-3775</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FOR IMMEDIATE RELEASE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30, 2006</w:t>
      </w: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NN, INC. REPORTS THIRD QUARTER 2006 RESULTS</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Earnings Per Share Unchanged For The Quarter and Up 14% Year-To-Date</w:t>
      </w:r>
    </w:p>
    <w:p>
      <w:pPr>
        <w:spacing w:after="0" w:line="248" w:lineRule="exact"/>
        <w:rPr>
          <w:sz w:val="20"/>
          <w:szCs w:val="20"/>
          <w:color w:val="auto"/>
        </w:rPr>
      </w:pPr>
    </w:p>
    <w:p>
      <w:pPr>
        <w:jc w:val="both"/>
        <w:ind w:right="160"/>
        <w:spacing w:after="0" w:line="273" w:lineRule="auto"/>
        <w:rPr>
          <w:sz w:val="20"/>
          <w:szCs w:val="20"/>
          <w:color w:val="auto"/>
        </w:rPr>
      </w:pPr>
      <w:r>
        <w:rPr>
          <w:rFonts w:ascii="Times New Roman" w:cs="Times New Roman" w:eastAsia="Times New Roman" w:hAnsi="Times New Roman"/>
          <w:sz w:val="17"/>
          <w:szCs w:val="17"/>
          <w:b w:val="1"/>
          <w:bCs w:val="1"/>
          <w:color w:val="auto"/>
        </w:rPr>
        <w:t xml:space="preserve">Johnson City, Tenn., October 30, 2006 </w:t>
      </w:r>
      <w:r>
        <w:rPr>
          <w:rFonts w:ascii="Times New Roman" w:cs="Times New Roman" w:eastAsia="Times New Roman" w:hAnsi="Times New Roman"/>
          <w:sz w:val="17"/>
          <w:szCs w:val="17"/>
          <w:color w:val="auto"/>
        </w:rPr>
        <w:t>- NN, Inc. (Nasdaq: NNBR) today reported its financial results for the third quarter and nine months ended September 30,</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2006. Net sales of $74.9 million for the third quarter of 2006 were flat compared to net sales of $75.0 million for the same period of 2005. Net income and earnings per share for the third quarter of 2006 and for the same period of 2005 totaled $2.6 million and $0.15 per diluted share, respectively.</w:t>
      </w:r>
    </w:p>
    <w:p>
      <w:pPr>
        <w:spacing w:after="0" w:line="214"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7"/>
          <w:szCs w:val="17"/>
          <w:color w:val="auto"/>
        </w:rPr>
        <w:t>Net sales of $244.4 million for the first nine months of 2006 were essentially unchanged as compared to net sales of $245.5 million for the same period of 2005. The Company achieved net income of $11.3 million for the first nine months of 2006, an increase of $1.4 million, or 14.0% over net income of $9.9 million recorded for the same period of 2005. Earnings for the first nine months of 2006 were $0.65 per diluted share, an increase of 14.0% compared to $0.57 per diluted share for the same period of 2005.</w:t>
      </w:r>
    </w:p>
    <w:p>
      <w:pPr>
        <w:spacing w:after="0" w:line="224"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7"/>
          <w:szCs w:val="17"/>
          <w:color w:val="auto"/>
        </w:rPr>
        <w:t>James H. Dorton, Vice President and Chief Financial Officer, commented, “Revenues of $74.9 million in the third quarter of 2006 were down slightly compared to revenues of $75.0 million recorded in the third quarter of the prior year. Decreases in volume of approximately $3.1 million were offset by selling price increases of $0.8 million and the positive effect of currency translation of $2.2 million. For the first nine months of 2006, revenues of $244.4 million were down slightly by $1.1 million. Decreases in volume of $3.5 million as well as the negative effects of currency translation of $2.7 million were offset by selling price increases of $5.1 million.</w:t>
      </w:r>
    </w:p>
    <w:p>
      <w:pPr>
        <w:spacing w:after="0" w:line="224"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7"/>
          <w:szCs w:val="17"/>
          <w:color w:val="auto"/>
        </w:rPr>
        <w:t>“As a percentage of net sales, cost of products sold was 78.4% in the third quarter of 2006 versus 77.6% in the third quarter of 2005. For the first nine months of 2006, as a percentage of net sales, cost of product sold was 77.6% as compared to 78.1% for the same period in the prior year. Although our Level 3 initiatives have continued to produce excellent results in 2006, volume reductions particularly in our U.S. operations impacted margins for the third quarter of 2006.”</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25741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0" w:right="239" w:bottom="1440" w:gutter="0" w:footer="0" w:header="0"/>
        </w:sectPr>
      </w:pPr>
    </w:p>
    <w:bookmarkStart w:id="5" w:name="page6"/>
    <w:bookmarkEnd w:id="5"/>
    <w:p>
      <w:pPr>
        <w:ind w:right="140"/>
        <w:spacing w:after="0" w:line="270" w:lineRule="auto"/>
        <w:rPr>
          <w:sz w:val="20"/>
          <w:szCs w:val="20"/>
          <w:color w:val="auto"/>
        </w:rPr>
      </w:pPr>
      <w:r>
        <w:rPr>
          <w:rFonts w:ascii="Times New Roman" w:cs="Times New Roman" w:eastAsia="Times New Roman" w:hAnsi="Times New Roman"/>
          <w:sz w:val="17"/>
          <w:szCs w:val="17"/>
          <w:color w:val="auto"/>
        </w:rPr>
        <w:t>“Selling, general and administrative expenses of $7.2 million, or 9.6% as a percentage of net sales for the third quarter of 2006 were comparable to the same period in 2005 of $7.2 million, or 9.6% as a percentage of net sales. Selling, general and administrative expenses for the first nine months of 2006 were $21.9 million, or 9.0% of net sales and compared with $22.0 million, or 8.9% of net sales recorded in the same period of 2005.”</w:t>
      </w:r>
    </w:p>
    <w:p>
      <w:pPr>
        <w:spacing w:after="0" w:line="218" w:lineRule="exact"/>
        <w:rPr>
          <w:sz w:val="20"/>
          <w:szCs w:val="20"/>
          <w:color w:val="auto"/>
        </w:rPr>
      </w:pPr>
    </w:p>
    <w:p>
      <w:pPr>
        <w:ind w:right="140"/>
        <w:spacing w:after="0" w:line="270" w:lineRule="auto"/>
        <w:rPr>
          <w:sz w:val="20"/>
          <w:szCs w:val="20"/>
          <w:color w:val="auto"/>
        </w:rPr>
      </w:pPr>
      <w:r>
        <w:rPr>
          <w:rFonts w:ascii="Times New Roman" w:cs="Times New Roman" w:eastAsia="Times New Roman" w:hAnsi="Times New Roman"/>
          <w:sz w:val="17"/>
          <w:szCs w:val="17"/>
          <w:color w:val="auto"/>
        </w:rPr>
        <w:t>Mr. Dorton continued, “During the third quarter, we purchased 156,715 shares of our common stock pursuant to our previously announced stock repurchase plan. This brings the total amount purchased under this plan to 213,536 shares. This program, which we began in mid March of this year and will continue for 18 months thereafter, allows for the purchase of up to $10.0 million of the Company’s outstanding stock.”</w:t>
      </w:r>
    </w:p>
    <w:p>
      <w:pPr>
        <w:spacing w:after="0" w:line="218" w:lineRule="exact"/>
        <w:rPr>
          <w:sz w:val="20"/>
          <w:szCs w:val="20"/>
          <w:color w:val="auto"/>
        </w:rPr>
      </w:pPr>
    </w:p>
    <w:p>
      <w:pPr>
        <w:ind w:right="240"/>
        <w:spacing w:after="0" w:line="264" w:lineRule="auto"/>
        <w:rPr>
          <w:sz w:val="20"/>
          <w:szCs w:val="20"/>
          <w:color w:val="auto"/>
        </w:rPr>
      </w:pPr>
      <w:r>
        <w:rPr>
          <w:rFonts w:ascii="Times New Roman" w:cs="Times New Roman" w:eastAsia="Times New Roman" w:hAnsi="Times New Roman"/>
          <w:sz w:val="17"/>
          <w:szCs w:val="17"/>
          <w:color w:val="auto"/>
        </w:rPr>
        <w:t>Mr. Dorton concluded, “On September 21, 2006, we completed negotiations with a bank group led by KeyBank and entered into a new syndicated five year $90.0 million credit facility. This new credit facility, along with the existing $40.0 million in private placement notes will provide us with the capital structure we feel is necessary to execute our strategic growth plan. Additionally, subsequent to September 30, 2006, we paid down approximately $8.0 million in debt; therefore, we remain committed to our previously stated debt reduction goal of $10.0 million for the full year of 2006.</w:t>
      </w:r>
    </w:p>
    <w:p>
      <w:pPr>
        <w:spacing w:after="0" w:line="224" w:lineRule="exact"/>
        <w:rPr>
          <w:sz w:val="20"/>
          <w:szCs w:val="20"/>
          <w:color w:val="auto"/>
        </w:rPr>
      </w:pPr>
    </w:p>
    <w:p>
      <w:pPr>
        <w:ind w:right="20"/>
        <w:spacing w:after="0" w:line="262" w:lineRule="auto"/>
        <w:rPr>
          <w:sz w:val="20"/>
          <w:szCs w:val="20"/>
          <w:color w:val="auto"/>
        </w:rPr>
      </w:pPr>
      <w:r>
        <w:rPr>
          <w:rFonts w:ascii="Times New Roman" w:cs="Times New Roman" w:eastAsia="Times New Roman" w:hAnsi="Times New Roman"/>
          <w:sz w:val="17"/>
          <w:szCs w:val="17"/>
          <w:color w:val="auto"/>
        </w:rPr>
        <w:t>Roderick R. Baty, Chairman and Chief Executive Officer, commented, “While weakening automotive sales in the U.S. market created difficult economic conditions for our U.S. business units, our overall exposure to the big three North American automotive business is only 14% of total global sales. These reductions effected our U.S. operations by approximately $2.5 million in the third quarter of this year and we expect a similar impact in our fourth quarter. This will result in a total revenue shortfall of approximately $5.0 million for the year compared to our original guidance. Therefore, our guidance for the full year of 2006 has been lowered to $320 million in revenues and full year earnings to $0.81 to $0.85 per diluted share.”</w:t>
      </w:r>
    </w:p>
    <w:p>
      <w:pPr>
        <w:spacing w:after="0" w:line="224" w:lineRule="exact"/>
        <w:rPr>
          <w:sz w:val="20"/>
          <w:szCs w:val="20"/>
          <w:color w:val="auto"/>
        </w:rPr>
      </w:pPr>
    </w:p>
    <w:p>
      <w:pPr>
        <w:spacing w:after="0" w:line="264" w:lineRule="auto"/>
        <w:rPr>
          <w:sz w:val="20"/>
          <w:szCs w:val="20"/>
          <w:color w:val="auto"/>
        </w:rPr>
      </w:pPr>
      <w:r>
        <w:rPr>
          <w:rFonts w:ascii="Times New Roman" w:cs="Times New Roman" w:eastAsia="Times New Roman" w:hAnsi="Times New Roman"/>
          <w:sz w:val="17"/>
          <w:szCs w:val="17"/>
          <w:color w:val="auto"/>
        </w:rPr>
        <w:t>Mr. Baty concluded, “We have made excellent progress regarding the execution of our long term growth strategy during the first nine months of 2006. Recall that our plans call for growing our business in three specific areas: future geographic expansion of existing bearing component products; acquisitive growth of both captive and independent businesses within bearing components, and identified acquisition opportunities that leverage our competencies in related high precision metal component manufacturing.”</w:t>
      </w:r>
    </w:p>
    <w:p>
      <w:pPr>
        <w:spacing w:after="0" w:line="220" w:lineRule="exact"/>
        <w:rPr>
          <w:sz w:val="20"/>
          <w:szCs w:val="20"/>
          <w:color w:val="auto"/>
        </w:rPr>
      </w:pPr>
    </w:p>
    <w:p>
      <w:pPr>
        <w:ind w:right="380"/>
        <w:spacing w:after="0" w:line="292" w:lineRule="auto"/>
        <w:rPr>
          <w:sz w:val="20"/>
          <w:szCs w:val="20"/>
          <w:color w:val="auto"/>
        </w:rPr>
      </w:pPr>
      <w:r>
        <w:rPr>
          <w:rFonts w:ascii="Times New Roman" w:cs="Times New Roman" w:eastAsia="Times New Roman" w:hAnsi="Times New Roman"/>
          <w:sz w:val="17"/>
          <w:szCs w:val="17"/>
          <w:i w:val="1"/>
          <w:iCs w:val="1"/>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$321 million in 2005.</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381" w:right="259" w:bottom="1440" w:gutter="0" w:footer="0" w:header="0"/>
        </w:sectPr>
      </w:pPr>
    </w:p>
    <w:bookmarkStart w:id="6" w:name="page7"/>
    <w:bookmarkEnd w:id="6"/>
    <w:p>
      <w:pPr>
        <w:spacing w:after="0" w:line="256" w:lineRule="auto"/>
        <w:rPr>
          <w:sz w:val="20"/>
          <w:szCs w:val="20"/>
          <w:color w:val="auto"/>
        </w:rPr>
      </w:pPr>
      <w:r>
        <w:rPr>
          <w:rFonts w:ascii="Times New Roman" w:cs="Times New Roman" w:eastAsia="Times New Roman" w:hAnsi="Times New Roman"/>
          <w:sz w:val="17"/>
          <w:szCs w:val="17"/>
          <w:i w:val="1"/>
          <w:iCs w:val="1"/>
          <w:color w:val="auto"/>
        </w:rPr>
        <w:t>Except for specific historical information, many of the matters discussed in this press release may express or imply projections of revenues or expenditures, statements of plans and objectives or future operations or statements of future economic performance. These, and similar statements are forward-looking statements concerning matters that involve risks, uncertainties and other factors which may cause the actual performance of NN, Inc. and its subsidiaries to differ materially from those expressed or implied by this discussion. All forward-looking information is provided by the Company pursuant to the safe harbor established under the Private Securities Litigation Reform Act of 1995 and should be evaluated in the context of these factors. 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Company's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the Company’s dependence on certain major customers, the successful implementation of the global growth plan including development of new products and consummation of potential acquisitions and other risk factors and cautionary statements listed from time to time in the Company’s periodic reports filed with the Securities and Exchange Commission, including, but not limited to, the Company’s Annual Report on 10-K for the fiscal year ended December 31, 2005.</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(Financial Tables Follow)</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55245</wp:posOffset>
            </wp:positionV>
            <wp:extent cx="725741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19"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Statements of Income</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amounts)</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900" w:type="dxa"/>
            <w:vAlign w:val="bottom"/>
          </w:tcPr>
          <w:p>
            <w:pPr>
              <w:jc w:val="right"/>
              <w:ind w:right="134"/>
              <w:spacing w:after="0"/>
              <w:rPr>
                <w:sz w:val="20"/>
                <w:szCs w:val="20"/>
                <w:color w:val="auto"/>
              </w:rPr>
            </w:pPr>
            <w:r>
              <w:rPr>
                <w:rFonts w:ascii="Times New Roman" w:cs="Times New Roman" w:eastAsia="Times New Roman" w:hAnsi="Times New Roman"/>
                <w:sz w:val="17"/>
                <w:szCs w:val="17"/>
                <w:b w:val="1"/>
                <w:bCs w:val="1"/>
                <w:color w:val="auto"/>
              </w:rPr>
              <w:t>Three Months Ended</w:t>
            </w:r>
          </w:p>
        </w:tc>
        <w:tc>
          <w:tcPr>
            <w:tcW w:w="1860" w:type="dxa"/>
            <w:vAlign w:val="bottom"/>
          </w:tcPr>
          <w:p>
            <w:pPr>
              <w:spacing w:after="0"/>
              <w:rPr>
                <w:sz w:val="19"/>
                <w:szCs w:val="19"/>
                <w:color w:val="auto"/>
              </w:rPr>
            </w:pPr>
          </w:p>
        </w:tc>
        <w:tc>
          <w:tcPr>
            <w:tcW w:w="1900" w:type="dxa"/>
            <w:vAlign w:val="bottom"/>
          </w:tcPr>
          <w:p>
            <w:pPr>
              <w:jc w:val="right"/>
              <w:ind w:right="274"/>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720" w:type="dxa"/>
            <w:vAlign w:val="bottom"/>
          </w:tcPr>
          <w:p>
            <w:pPr>
              <w:spacing w:after="0"/>
              <w:rPr>
                <w:sz w:val="19"/>
                <w:szCs w:val="19"/>
                <w:color w:val="auto"/>
              </w:rPr>
            </w:pPr>
          </w:p>
        </w:tc>
      </w:tr>
      <w:tr>
        <w:trPr>
          <w:trHeight w:val="232"/>
        </w:trPr>
        <w:tc>
          <w:tcPr>
            <w:tcW w:w="38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900" w:type="dxa"/>
            <w:vAlign w:val="bottom"/>
          </w:tcPr>
          <w:p>
            <w:pPr>
              <w:jc w:val="right"/>
              <w:ind w:right="37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860" w:type="dxa"/>
            <w:vAlign w:val="bottom"/>
          </w:tcPr>
          <w:p>
            <w:pPr>
              <w:spacing w:after="0"/>
              <w:rPr>
                <w:sz w:val="20"/>
                <w:szCs w:val="20"/>
                <w:color w:val="auto"/>
              </w:rPr>
            </w:pPr>
          </w:p>
        </w:tc>
        <w:tc>
          <w:tcPr>
            <w:tcW w:w="1900" w:type="dxa"/>
            <w:vAlign w:val="bottom"/>
          </w:tcPr>
          <w:p>
            <w:pPr>
              <w:jc w:val="right"/>
              <w:ind w:right="414"/>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720" w:type="dxa"/>
            <w:vAlign w:val="bottom"/>
          </w:tcPr>
          <w:p>
            <w:pPr>
              <w:spacing w:after="0"/>
              <w:rPr>
                <w:sz w:val="20"/>
                <w:szCs w:val="20"/>
                <w:color w:val="auto"/>
              </w:rPr>
            </w:pPr>
          </w:p>
        </w:tc>
      </w:tr>
      <w:tr>
        <w:trPr>
          <w:trHeight w:val="486"/>
        </w:trPr>
        <w:tc>
          <w:tcPr>
            <w:tcW w:w="38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2006</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2005</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2006</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2005</w:t>
            </w:r>
          </w:p>
        </w:tc>
        <w:tc>
          <w:tcPr>
            <w:tcW w:w="720" w:type="dxa"/>
            <w:vAlign w:val="bottom"/>
            <w:tcBorders>
              <w:bottom w:val="single" w:sz="8" w:color="auto"/>
            </w:tcBorders>
          </w:tcPr>
          <w:p>
            <w:pPr>
              <w:spacing w:after="0"/>
              <w:rPr>
                <w:sz w:val="24"/>
                <w:szCs w:val="24"/>
                <w:color w:val="auto"/>
              </w:rPr>
            </w:pPr>
          </w:p>
        </w:tc>
      </w:tr>
      <w:tr>
        <w:trPr>
          <w:trHeight w:val="438"/>
        </w:trPr>
        <w:tc>
          <w:tcPr>
            <w:tcW w:w="5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sales</w:t>
            </w:r>
          </w:p>
        </w:tc>
        <w:tc>
          <w:tcPr>
            <w:tcW w:w="190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7"/>
                <w:szCs w:val="17"/>
                <w:color w:val="auto"/>
              </w:rPr>
              <w:t>$ 74,870</w:t>
            </w:r>
          </w:p>
        </w:tc>
        <w:tc>
          <w:tcPr>
            <w:tcW w:w="186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rPr>
              <w:t>$ 74,998</w:t>
            </w:r>
          </w:p>
        </w:tc>
        <w:tc>
          <w:tcPr>
            <w:tcW w:w="190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$ 244,441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$ 245,500</w:t>
            </w:r>
          </w:p>
        </w:tc>
      </w:tr>
      <w:tr>
        <w:trPr>
          <w:trHeight w:val="216"/>
        </w:trPr>
        <w:tc>
          <w:tcPr>
            <w:tcW w:w="5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Cost of products sold (exclusive of</w:t>
            </w:r>
          </w:p>
        </w:tc>
        <w:tc>
          <w:tcPr>
            <w:tcW w:w="19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23"/>
        </w:trPr>
        <w:tc>
          <w:tcPr>
            <w:tcW w:w="5040" w:type="dxa"/>
            <w:vAlign w:val="bottom"/>
            <w:gridSpan w:val="2"/>
          </w:tcPr>
          <w:p>
            <w:pPr>
              <w:ind w:left="260"/>
              <w:spacing w:after="0"/>
              <w:rPr>
                <w:sz w:val="20"/>
                <w:szCs w:val="20"/>
                <w:color w:val="auto"/>
              </w:rPr>
            </w:pPr>
            <w:r>
              <w:rPr>
                <w:rFonts w:ascii="Times New Roman" w:cs="Times New Roman" w:eastAsia="Times New Roman" w:hAnsi="Times New Roman"/>
                <w:sz w:val="17"/>
                <w:szCs w:val="17"/>
                <w:color w:val="auto"/>
              </w:rPr>
              <w:t>depreciation shown separately below)</w:t>
            </w:r>
          </w:p>
        </w:tc>
        <w:tc>
          <w:tcPr>
            <w:tcW w:w="190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58,693</w:t>
            </w:r>
          </w:p>
        </w:tc>
        <w:tc>
          <w:tcPr>
            <w:tcW w:w="1860" w:type="dxa"/>
            <w:vAlign w:val="bottom"/>
          </w:tcPr>
          <w:p>
            <w:pPr>
              <w:jc w:val="right"/>
              <w:ind w:right="1114"/>
              <w:spacing w:after="0"/>
              <w:rPr>
                <w:sz w:val="20"/>
                <w:szCs w:val="20"/>
                <w:color w:val="auto"/>
              </w:rPr>
            </w:pPr>
            <w:r>
              <w:rPr>
                <w:rFonts w:ascii="Times New Roman" w:cs="Times New Roman" w:eastAsia="Times New Roman" w:hAnsi="Times New Roman"/>
                <w:sz w:val="17"/>
                <w:szCs w:val="17"/>
                <w:color w:val="auto"/>
              </w:rPr>
              <w:t>58,177</w:t>
            </w:r>
          </w:p>
        </w:tc>
        <w:tc>
          <w:tcPr>
            <w:tcW w:w="1900" w:type="dxa"/>
            <w:vAlign w:val="bottom"/>
          </w:tcPr>
          <w:p>
            <w:pPr>
              <w:jc w:val="right"/>
              <w:ind w:right="1094"/>
              <w:spacing w:after="0"/>
              <w:rPr>
                <w:sz w:val="20"/>
                <w:szCs w:val="20"/>
                <w:color w:val="auto"/>
              </w:rPr>
            </w:pPr>
            <w:r>
              <w:rPr>
                <w:rFonts w:ascii="Times New Roman" w:cs="Times New Roman" w:eastAsia="Times New Roman" w:hAnsi="Times New Roman"/>
                <w:sz w:val="17"/>
                <w:szCs w:val="17"/>
                <w:color w:val="auto"/>
              </w:rPr>
              <w:t>189,597</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191,848</w:t>
            </w:r>
          </w:p>
        </w:tc>
      </w:tr>
      <w:tr>
        <w:trPr>
          <w:trHeight w:val="232"/>
        </w:trPr>
        <w:tc>
          <w:tcPr>
            <w:tcW w:w="50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190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7"/>
                <w:szCs w:val="17"/>
                <w:color w:val="auto"/>
              </w:rPr>
              <w:t>7,178</w:t>
            </w:r>
          </w:p>
        </w:tc>
        <w:tc>
          <w:tcPr>
            <w:tcW w:w="186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rPr>
              <w:t>7,180</w:t>
            </w:r>
          </w:p>
        </w:tc>
        <w:tc>
          <w:tcPr>
            <w:tcW w:w="190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21,922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21,961</w:t>
            </w:r>
          </w:p>
        </w:tc>
      </w:tr>
      <w:tr>
        <w:trPr>
          <w:trHeight w:val="232"/>
        </w:trPr>
        <w:tc>
          <w:tcPr>
            <w:tcW w:w="50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90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4,192</w:t>
            </w:r>
          </w:p>
        </w:tc>
        <w:tc>
          <w:tcPr>
            <w:tcW w:w="1860" w:type="dxa"/>
            <w:vAlign w:val="bottom"/>
          </w:tcPr>
          <w:p>
            <w:pPr>
              <w:jc w:val="right"/>
              <w:ind w:right="1114"/>
              <w:spacing w:after="0"/>
              <w:rPr>
                <w:sz w:val="20"/>
                <w:szCs w:val="20"/>
                <w:color w:val="auto"/>
              </w:rPr>
            </w:pPr>
            <w:r>
              <w:rPr>
                <w:rFonts w:ascii="Times New Roman" w:cs="Times New Roman" w:eastAsia="Times New Roman" w:hAnsi="Times New Roman"/>
                <w:sz w:val="17"/>
                <w:szCs w:val="17"/>
                <w:color w:val="auto"/>
              </w:rPr>
              <w:t>3,998</w:t>
            </w:r>
          </w:p>
        </w:tc>
        <w:tc>
          <w:tcPr>
            <w:tcW w:w="1900" w:type="dxa"/>
            <w:vAlign w:val="bottom"/>
          </w:tcPr>
          <w:p>
            <w:pPr>
              <w:jc w:val="right"/>
              <w:ind w:right="1094"/>
              <w:spacing w:after="0"/>
              <w:rPr>
                <w:sz w:val="20"/>
                <w:szCs w:val="20"/>
                <w:color w:val="auto"/>
              </w:rPr>
            </w:pPr>
            <w:r>
              <w:rPr>
                <w:rFonts w:ascii="Times New Roman" w:cs="Times New Roman" w:eastAsia="Times New Roman" w:hAnsi="Times New Roman"/>
                <w:sz w:val="17"/>
                <w:szCs w:val="17"/>
                <w:color w:val="auto"/>
              </w:rPr>
              <w:t>12,779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12,302</w:t>
            </w:r>
          </w:p>
        </w:tc>
      </w:tr>
      <w:tr>
        <w:trPr>
          <w:trHeight w:val="252"/>
        </w:trPr>
        <w:tc>
          <w:tcPr>
            <w:tcW w:w="382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7"/>
                <w:szCs w:val="17"/>
                <w:color w:val="auto"/>
              </w:rPr>
              <w:t>Gain on disposal of assets</w:t>
            </w:r>
          </w:p>
        </w:tc>
        <w:tc>
          <w:tcPr>
            <w:tcW w:w="1220" w:type="dxa"/>
            <w:vAlign w:val="bottom"/>
            <w:tcBorders>
              <w:bottom w:val="single" w:sz="8" w:color="auto"/>
            </w:tcBorders>
            <w:shd w:val="clear" w:color="auto" w:fill="CCEEFF"/>
          </w:tcPr>
          <w:p>
            <w:pPr>
              <w:spacing w:after="0"/>
              <w:rPr>
                <w:sz w:val="21"/>
                <w:szCs w:val="21"/>
                <w:color w:val="auto"/>
              </w:rPr>
            </w:pPr>
          </w:p>
        </w:tc>
        <w:tc>
          <w:tcPr>
            <w:tcW w:w="1900" w:type="dxa"/>
            <w:vAlign w:val="bottom"/>
            <w:tcBorders>
              <w:bottom w:val="single" w:sz="8" w:color="auto"/>
            </w:tcBorders>
            <w:shd w:val="clear" w:color="auto" w:fill="CCEEFF"/>
          </w:tcPr>
          <w:p>
            <w:pPr>
              <w:jc w:val="right"/>
              <w:ind w:right="1154"/>
              <w:spacing w:after="0"/>
              <w:rPr>
                <w:sz w:val="20"/>
                <w:szCs w:val="20"/>
                <w:color w:val="auto"/>
              </w:rPr>
            </w:pPr>
            <w:r>
              <w:rPr>
                <w:rFonts w:ascii="Times New Roman" w:cs="Times New Roman" w:eastAsia="Times New Roman" w:hAnsi="Times New Roman"/>
                <w:sz w:val="17"/>
                <w:szCs w:val="17"/>
                <w:color w:val="auto"/>
              </w:rPr>
              <w:t>--</w:t>
            </w:r>
          </w:p>
        </w:tc>
        <w:tc>
          <w:tcPr>
            <w:tcW w:w="1860" w:type="dxa"/>
            <w:vAlign w:val="bottom"/>
            <w:tcBorders>
              <w:bottom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rPr>
              <w:t>--</w:t>
            </w:r>
          </w:p>
        </w:tc>
        <w:tc>
          <w:tcPr>
            <w:tcW w:w="1900" w:type="dxa"/>
            <w:vAlign w:val="bottom"/>
            <w:tcBorders>
              <w:bottom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(726)</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464"/>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Income from operations</w:t>
            </w:r>
          </w:p>
        </w:tc>
        <w:tc>
          <w:tcPr>
            <w:tcW w:w="1900" w:type="dxa"/>
            <w:vAlign w:val="bottom"/>
          </w:tcPr>
          <w:p>
            <w:pPr>
              <w:jc w:val="right"/>
              <w:ind w:right="1154"/>
              <w:spacing w:after="0"/>
              <w:rPr>
                <w:sz w:val="20"/>
                <w:szCs w:val="20"/>
                <w:color w:val="auto"/>
              </w:rPr>
            </w:pPr>
            <w:r>
              <w:rPr>
                <w:rFonts w:ascii="Times New Roman" w:cs="Times New Roman" w:eastAsia="Times New Roman" w:hAnsi="Times New Roman"/>
                <w:sz w:val="17"/>
                <w:szCs w:val="17"/>
                <w:color w:val="auto"/>
              </w:rPr>
              <w:t>4,807</w:t>
            </w:r>
          </w:p>
        </w:tc>
        <w:tc>
          <w:tcPr>
            <w:tcW w:w="1860" w:type="dxa"/>
            <w:vAlign w:val="bottom"/>
          </w:tcPr>
          <w:p>
            <w:pPr>
              <w:jc w:val="right"/>
              <w:ind w:right="1114"/>
              <w:spacing w:after="0"/>
              <w:rPr>
                <w:sz w:val="20"/>
                <w:szCs w:val="20"/>
                <w:color w:val="auto"/>
              </w:rPr>
            </w:pPr>
            <w:r>
              <w:rPr>
                <w:rFonts w:ascii="Times New Roman" w:cs="Times New Roman" w:eastAsia="Times New Roman" w:hAnsi="Times New Roman"/>
                <w:sz w:val="17"/>
                <w:szCs w:val="17"/>
                <w:color w:val="auto"/>
              </w:rPr>
              <w:t>5,643</w:t>
            </w:r>
          </w:p>
        </w:tc>
        <w:tc>
          <w:tcPr>
            <w:tcW w:w="1900" w:type="dxa"/>
            <w:vAlign w:val="bottom"/>
          </w:tcPr>
          <w:p>
            <w:pPr>
              <w:jc w:val="right"/>
              <w:ind w:right="1094"/>
              <w:spacing w:after="0"/>
              <w:rPr>
                <w:sz w:val="20"/>
                <w:szCs w:val="20"/>
                <w:color w:val="auto"/>
              </w:rPr>
            </w:pPr>
            <w:r>
              <w:rPr>
                <w:rFonts w:ascii="Times New Roman" w:cs="Times New Roman" w:eastAsia="Times New Roman" w:hAnsi="Times New Roman"/>
                <w:sz w:val="17"/>
                <w:szCs w:val="17"/>
                <w:color w:val="auto"/>
              </w:rPr>
              <w:t>20,869</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19,383</w:t>
            </w:r>
          </w:p>
        </w:tc>
      </w:tr>
      <w:tr>
        <w:trPr>
          <w:trHeight w:val="439"/>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Interest expense, net</w:t>
            </w:r>
          </w:p>
        </w:tc>
        <w:tc>
          <w:tcPr>
            <w:tcW w:w="1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194"/>
              <w:spacing w:after="0"/>
              <w:rPr>
                <w:sz w:val="20"/>
                <w:szCs w:val="20"/>
                <w:color w:val="auto"/>
              </w:rPr>
            </w:pPr>
            <w:r>
              <w:rPr>
                <w:rFonts w:ascii="Times New Roman" w:cs="Times New Roman" w:eastAsia="Times New Roman" w:hAnsi="Times New Roman"/>
                <w:sz w:val="17"/>
                <w:szCs w:val="17"/>
                <w:color w:val="auto"/>
              </w:rPr>
              <w:t>916</w:t>
            </w:r>
          </w:p>
        </w:tc>
        <w:tc>
          <w:tcPr>
            <w:tcW w:w="186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rPr>
              <w:t>967</w:t>
            </w:r>
          </w:p>
        </w:tc>
        <w:tc>
          <w:tcPr>
            <w:tcW w:w="190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2,923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2,976</w:t>
            </w:r>
          </w:p>
        </w:tc>
      </w:tr>
      <w:tr>
        <w:trPr>
          <w:trHeight w:val="228"/>
        </w:trPr>
        <w:tc>
          <w:tcPr>
            <w:tcW w:w="3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Other (income) expense</w:t>
            </w:r>
          </w:p>
        </w:tc>
        <w:tc>
          <w:tcPr>
            <w:tcW w:w="1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154"/>
              <w:spacing w:after="0"/>
              <w:rPr>
                <w:sz w:val="20"/>
                <w:szCs w:val="20"/>
                <w:color w:val="auto"/>
              </w:rPr>
            </w:pPr>
            <w:r>
              <w:rPr>
                <w:rFonts w:ascii="Times New Roman" w:cs="Times New Roman" w:eastAsia="Times New Roman" w:hAnsi="Times New Roman"/>
                <w:sz w:val="17"/>
                <w:szCs w:val="17"/>
                <w:color w:val="auto"/>
              </w:rPr>
              <w:t>(550)</w:t>
            </w:r>
          </w:p>
        </w:tc>
        <w:tc>
          <w:tcPr>
            <w:tcW w:w="186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rPr>
              <w:t>53</w:t>
            </w:r>
          </w:p>
        </w:tc>
        <w:tc>
          <w:tcPr>
            <w:tcW w:w="190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rPr>
              <w:t>(310)</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(286)</w:t>
            </w:r>
          </w:p>
        </w:tc>
      </w:tr>
      <w:tr>
        <w:trPr>
          <w:trHeight w:val="436"/>
        </w:trPr>
        <w:tc>
          <w:tcPr>
            <w:tcW w:w="3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Income before provision for income taxes</w:t>
            </w:r>
          </w:p>
        </w:tc>
        <w:tc>
          <w:tcPr>
            <w:tcW w:w="1220" w:type="dxa"/>
            <w:vAlign w:val="bottom"/>
            <w:shd w:val="clear" w:color="auto" w:fill="CCEEFF"/>
          </w:tcPr>
          <w:p>
            <w:pPr>
              <w:spacing w:after="0"/>
              <w:rPr>
                <w:sz w:val="24"/>
                <w:szCs w:val="24"/>
                <w:color w:val="auto"/>
              </w:rPr>
            </w:pPr>
          </w:p>
        </w:tc>
        <w:tc>
          <w:tcPr>
            <w:tcW w:w="1900" w:type="dxa"/>
            <w:vAlign w:val="bottom"/>
            <w:shd w:val="clear" w:color="auto" w:fill="CCEEFF"/>
          </w:tcPr>
          <w:p>
            <w:pPr>
              <w:jc w:val="right"/>
              <w:ind w:right="1154"/>
              <w:spacing w:after="0"/>
              <w:rPr>
                <w:sz w:val="20"/>
                <w:szCs w:val="20"/>
                <w:color w:val="auto"/>
              </w:rPr>
            </w:pPr>
            <w:r>
              <w:rPr>
                <w:rFonts w:ascii="Times New Roman" w:cs="Times New Roman" w:eastAsia="Times New Roman" w:hAnsi="Times New Roman"/>
                <w:sz w:val="17"/>
                <w:szCs w:val="17"/>
                <w:color w:val="auto"/>
              </w:rPr>
              <w:t>4,441</w:t>
            </w:r>
          </w:p>
        </w:tc>
        <w:tc>
          <w:tcPr>
            <w:tcW w:w="1860" w:type="dxa"/>
            <w:vAlign w:val="bottom"/>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rPr>
              <w:t>4,623</w:t>
            </w:r>
          </w:p>
        </w:tc>
        <w:tc>
          <w:tcPr>
            <w:tcW w:w="190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18,256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16,693</w:t>
            </w:r>
          </w:p>
        </w:tc>
      </w:tr>
      <w:tr>
        <w:trPr>
          <w:trHeight w:val="228"/>
        </w:trPr>
        <w:tc>
          <w:tcPr>
            <w:tcW w:w="38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22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ind w:right="1154"/>
              <w:spacing w:after="0"/>
              <w:rPr>
                <w:sz w:val="20"/>
                <w:szCs w:val="20"/>
                <w:color w:val="auto"/>
              </w:rPr>
            </w:pPr>
            <w:r>
              <w:rPr>
                <w:rFonts w:ascii="Times New Roman" w:cs="Times New Roman" w:eastAsia="Times New Roman" w:hAnsi="Times New Roman"/>
                <w:sz w:val="17"/>
                <w:szCs w:val="17"/>
                <w:color w:val="auto"/>
              </w:rPr>
              <w:t>1,808</w:t>
            </w:r>
          </w:p>
        </w:tc>
        <w:tc>
          <w:tcPr>
            <w:tcW w:w="1860" w:type="dxa"/>
            <w:vAlign w:val="bottom"/>
            <w:tcBorders>
              <w:bottom w:val="single" w:sz="8" w:color="auto"/>
            </w:tcBorders>
          </w:tcPr>
          <w:p>
            <w:pPr>
              <w:jc w:val="right"/>
              <w:ind w:right="1114"/>
              <w:spacing w:after="0"/>
              <w:rPr>
                <w:sz w:val="20"/>
                <w:szCs w:val="20"/>
                <w:color w:val="auto"/>
              </w:rPr>
            </w:pPr>
            <w:r>
              <w:rPr>
                <w:rFonts w:ascii="Times New Roman" w:cs="Times New Roman" w:eastAsia="Times New Roman" w:hAnsi="Times New Roman"/>
                <w:sz w:val="17"/>
                <w:szCs w:val="17"/>
                <w:color w:val="auto"/>
              </w:rPr>
              <w:t>2,066</w:t>
            </w:r>
          </w:p>
        </w:tc>
        <w:tc>
          <w:tcPr>
            <w:tcW w:w="190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7"/>
                <w:szCs w:val="17"/>
                <w:color w:val="auto"/>
              </w:rPr>
              <w:t>6,908</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6,801</w:t>
            </w:r>
          </w:p>
        </w:tc>
      </w:tr>
      <w:tr>
        <w:trPr>
          <w:trHeight w:val="476"/>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income</w:t>
            </w:r>
          </w:p>
        </w:tc>
        <w:tc>
          <w:tcPr>
            <w:tcW w:w="1220" w:type="dxa"/>
            <w:vAlign w:val="bottom"/>
            <w:tcBorders>
              <w:bottom w:val="single" w:sz="8" w:color="auto"/>
            </w:tcBorders>
            <w:shd w:val="clear" w:color="auto" w:fill="CCEEFF"/>
          </w:tcPr>
          <w:p>
            <w:pPr>
              <w:spacing w:after="0"/>
              <w:rPr>
                <w:sz w:val="24"/>
                <w:szCs w:val="24"/>
                <w:color w:val="auto"/>
              </w:rPr>
            </w:pPr>
          </w:p>
        </w:tc>
        <w:tc>
          <w:tcPr>
            <w:tcW w:w="1900" w:type="dxa"/>
            <w:vAlign w:val="bottom"/>
            <w:tcBorders>
              <w:bottom w:val="single" w:sz="8" w:color="auto"/>
            </w:tcBorders>
            <w:shd w:val="clear" w:color="auto" w:fill="CCEEFF"/>
          </w:tcPr>
          <w:p>
            <w:pPr>
              <w:jc w:val="right"/>
              <w:ind w:right="1154"/>
              <w:spacing w:after="0"/>
              <w:rPr>
                <w:sz w:val="20"/>
                <w:szCs w:val="20"/>
                <w:color w:val="auto"/>
              </w:rPr>
            </w:pPr>
            <w:r>
              <w:rPr>
                <w:rFonts w:ascii="Times New Roman" w:cs="Times New Roman" w:eastAsia="Times New Roman" w:hAnsi="Times New Roman"/>
                <w:sz w:val="17"/>
                <w:szCs w:val="17"/>
                <w:color w:val="auto"/>
              </w:rPr>
              <w:t>$ 2,633</w:t>
            </w:r>
          </w:p>
        </w:tc>
        <w:tc>
          <w:tcPr>
            <w:tcW w:w="1860" w:type="dxa"/>
            <w:vAlign w:val="bottom"/>
            <w:tcBorders>
              <w:bottom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rPr>
              <w:t>$2,557</w:t>
            </w:r>
          </w:p>
        </w:tc>
        <w:tc>
          <w:tcPr>
            <w:tcW w:w="1900" w:type="dxa"/>
            <w:vAlign w:val="bottom"/>
            <w:tcBorders>
              <w:bottom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$11,348</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$9,892</w:t>
            </w:r>
          </w:p>
        </w:tc>
      </w:tr>
      <w:tr>
        <w:trPr>
          <w:trHeight w:val="418"/>
        </w:trPr>
        <w:tc>
          <w:tcPr>
            <w:tcW w:w="50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Diluted income per common share</w:t>
            </w:r>
          </w:p>
        </w:tc>
        <w:tc>
          <w:tcPr>
            <w:tcW w:w="1900" w:type="dxa"/>
            <w:vAlign w:val="bottom"/>
          </w:tcPr>
          <w:p>
            <w:pPr>
              <w:jc w:val="right"/>
              <w:ind w:right="1194"/>
              <w:spacing w:after="0"/>
              <w:rPr>
                <w:sz w:val="20"/>
                <w:szCs w:val="20"/>
                <w:color w:val="auto"/>
              </w:rPr>
            </w:pPr>
            <w:r>
              <w:rPr>
                <w:rFonts w:ascii="Times New Roman" w:cs="Times New Roman" w:eastAsia="Times New Roman" w:hAnsi="Times New Roman"/>
                <w:sz w:val="17"/>
                <w:szCs w:val="17"/>
                <w:color w:val="auto"/>
              </w:rPr>
              <w:t>$ 0.15</w:t>
            </w:r>
          </w:p>
        </w:tc>
        <w:tc>
          <w:tcPr>
            <w:tcW w:w="1860" w:type="dxa"/>
            <w:vAlign w:val="bottom"/>
          </w:tcPr>
          <w:p>
            <w:pPr>
              <w:jc w:val="right"/>
              <w:ind w:right="1114"/>
              <w:spacing w:after="0"/>
              <w:rPr>
                <w:sz w:val="20"/>
                <w:szCs w:val="20"/>
                <w:color w:val="auto"/>
              </w:rPr>
            </w:pPr>
            <w:r>
              <w:rPr>
                <w:rFonts w:ascii="Times New Roman" w:cs="Times New Roman" w:eastAsia="Times New Roman" w:hAnsi="Times New Roman"/>
                <w:sz w:val="17"/>
                <w:szCs w:val="17"/>
                <w:color w:val="auto"/>
              </w:rPr>
              <w:t>$ 0.15</w:t>
            </w:r>
          </w:p>
        </w:tc>
        <w:tc>
          <w:tcPr>
            <w:tcW w:w="1900" w:type="dxa"/>
            <w:vAlign w:val="bottom"/>
          </w:tcPr>
          <w:p>
            <w:pPr>
              <w:jc w:val="right"/>
              <w:ind w:right="1094"/>
              <w:spacing w:after="0"/>
              <w:rPr>
                <w:sz w:val="20"/>
                <w:szCs w:val="20"/>
                <w:color w:val="auto"/>
              </w:rPr>
            </w:pPr>
            <w:r>
              <w:rPr>
                <w:rFonts w:ascii="Times New Roman" w:cs="Times New Roman" w:eastAsia="Times New Roman" w:hAnsi="Times New Roman"/>
                <w:sz w:val="17"/>
                <w:szCs w:val="17"/>
                <w:color w:val="auto"/>
              </w:rPr>
              <w:t>$ 0.65</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$ 0.57</w:t>
            </w:r>
          </w:p>
        </w:tc>
      </w:tr>
      <w:tr>
        <w:trPr>
          <w:trHeight w:val="20"/>
        </w:trPr>
        <w:tc>
          <w:tcPr>
            <w:tcW w:w="38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r>
        <w:trPr>
          <w:trHeight w:val="458"/>
        </w:trPr>
        <w:tc>
          <w:tcPr>
            <w:tcW w:w="38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Weighted average diluted shares</w:t>
            </w:r>
          </w:p>
        </w:tc>
        <w:tc>
          <w:tcPr>
            <w:tcW w:w="1220" w:type="dxa"/>
            <w:vAlign w:val="bottom"/>
            <w:tcBorders>
              <w:bottom w:val="single" w:sz="8" w:color="auto"/>
            </w:tcBorders>
            <w:shd w:val="clear" w:color="auto" w:fill="CCEEFF"/>
          </w:tcPr>
          <w:p>
            <w:pPr>
              <w:spacing w:after="0"/>
              <w:rPr>
                <w:sz w:val="24"/>
                <w:szCs w:val="24"/>
                <w:color w:val="auto"/>
              </w:rPr>
            </w:pPr>
          </w:p>
        </w:tc>
        <w:tc>
          <w:tcPr>
            <w:tcW w:w="1900" w:type="dxa"/>
            <w:vAlign w:val="bottom"/>
            <w:tcBorders>
              <w:bottom w:val="single" w:sz="8" w:color="auto"/>
            </w:tcBorders>
            <w:shd w:val="clear" w:color="auto" w:fill="CCEEFF"/>
          </w:tcPr>
          <w:p>
            <w:pPr>
              <w:jc w:val="right"/>
              <w:ind w:right="1154"/>
              <w:spacing w:after="0"/>
              <w:rPr>
                <w:sz w:val="20"/>
                <w:szCs w:val="20"/>
                <w:color w:val="auto"/>
              </w:rPr>
            </w:pPr>
            <w:r>
              <w:rPr>
                <w:rFonts w:ascii="Times New Roman" w:cs="Times New Roman" w:eastAsia="Times New Roman" w:hAnsi="Times New Roman"/>
                <w:sz w:val="17"/>
                <w:szCs w:val="17"/>
                <w:color w:val="auto"/>
              </w:rPr>
              <w:t>17,338</w:t>
            </w:r>
          </w:p>
        </w:tc>
        <w:tc>
          <w:tcPr>
            <w:tcW w:w="1860" w:type="dxa"/>
            <w:vAlign w:val="bottom"/>
            <w:tcBorders>
              <w:bottom w:val="single" w:sz="8" w:color="auto"/>
            </w:tcBorders>
            <w:shd w:val="clear" w:color="auto" w:fill="CCEEFF"/>
          </w:tcPr>
          <w:p>
            <w:pPr>
              <w:jc w:val="right"/>
              <w:ind w:right="1114"/>
              <w:spacing w:after="0"/>
              <w:rPr>
                <w:sz w:val="20"/>
                <w:szCs w:val="20"/>
                <w:color w:val="auto"/>
              </w:rPr>
            </w:pPr>
            <w:r>
              <w:rPr>
                <w:rFonts w:ascii="Times New Roman" w:cs="Times New Roman" w:eastAsia="Times New Roman" w:hAnsi="Times New Roman"/>
                <w:sz w:val="17"/>
                <w:szCs w:val="17"/>
                <w:color w:val="auto"/>
              </w:rPr>
              <w:t>17,522</w:t>
            </w:r>
          </w:p>
        </w:tc>
        <w:tc>
          <w:tcPr>
            <w:tcW w:w="1900" w:type="dxa"/>
            <w:vAlign w:val="bottom"/>
            <w:tcBorders>
              <w:bottom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7"/>
                <w:szCs w:val="17"/>
                <w:color w:val="auto"/>
              </w:rPr>
              <w:t>17,389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17,286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25741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8" w:name="page9"/>
    <w:bookmarkEnd w:id="8"/>
    <w:p>
      <w:pPr>
        <w:ind w:left="5400"/>
        <w:spacing w:after="0"/>
        <w:rPr>
          <w:sz w:val="20"/>
          <w:szCs w:val="20"/>
          <w:color w:val="auto"/>
        </w:rPr>
      </w:pPr>
      <w:r>
        <w:rPr>
          <w:rFonts w:ascii="Times New Roman" w:cs="Times New Roman" w:eastAsia="Times New Roman" w:hAnsi="Times New Roman"/>
          <w:sz w:val="17"/>
          <w:szCs w:val="17"/>
          <w:b w:val="1"/>
          <w:bCs w:val="1"/>
          <w:color w:val="auto"/>
        </w:rPr>
        <w:t>NN, Inc.</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1"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20" w:type="dxa"/>
            <w:vAlign w:val="bottom"/>
          </w:tcPr>
          <w:p>
            <w:pPr>
              <w:spacing w:after="0"/>
              <w:rPr>
                <w:sz w:val="17"/>
                <w:szCs w:val="17"/>
                <w:color w:val="auto"/>
              </w:rPr>
            </w:pPr>
          </w:p>
        </w:tc>
        <w:tc>
          <w:tcPr>
            <w:tcW w:w="5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0" w:type="dxa"/>
            <w:vAlign w:val="bottom"/>
          </w:tcPr>
          <w:p>
            <w:pPr>
              <w:ind w:left="100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1320" w:type="dxa"/>
            <w:vAlign w:val="bottom"/>
          </w:tcPr>
          <w:p>
            <w:pPr>
              <w:spacing w:after="0"/>
              <w:rPr>
                <w:sz w:val="17"/>
                <w:szCs w:val="17"/>
                <w:color w:val="auto"/>
              </w:rPr>
            </w:pPr>
          </w:p>
        </w:tc>
        <w:tc>
          <w:tcPr>
            <w:tcW w:w="2640" w:type="dxa"/>
            <w:vAlign w:val="bottom"/>
            <w:gridSpan w:val="2"/>
          </w:tcPr>
          <w:p>
            <w:pPr>
              <w:jc w:val="right"/>
              <w:ind w:right="11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7340" w:type="dxa"/>
            <w:vAlign w:val="bottom"/>
            <w:gridSpan w:val="3"/>
          </w:tcPr>
          <w:p>
            <w:pPr>
              <w:ind w:left="6480"/>
              <w:spacing w:after="0"/>
              <w:rPr>
                <w:sz w:val="20"/>
                <w:szCs w:val="20"/>
                <w:color w:val="auto"/>
              </w:rPr>
            </w:pPr>
            <w:r>
              <w:rPr>
                <w:rFonts w:ascii="Times New Roman" w:cs="Times New Roman" w:eastAsia="Times New Roman" w:hAnsi="Times New Roman"/>
                <w:sz w:val="17"/>
                <w:szCs w:val="17"/>
                <w:b w:val="1"/>
                <w:bCs w:val="1"/>
                <w:color w:val="auto"/>
              </w:rPr>
              <w:t>2006</w:t>
            </w:r>
          </w:p>
        </w:tc>
        <w:tc>
          <w:tcPr>
            <w:tcW w:w="1320" w:type="dxa"/>
            <w:vAlign w:val="bottom"/>
          </w:tcPr>
          <w:p>
            <w:pPr>
              <w:spacing w:after="0"/>
              <w:rPr>
                <w:sz w:val="19"/>
                <w:szCs w:val="19"/>
                <w:color w:val="auto"/>
              </w:rPr>
            </w:pPr>
          </w:p>
        </w:tc>
        <w:tc>
          <w:tcPr>
            <w:tcW w:w="2520" w:type="dxa"/>
            <w:vAlign w:val="bottom"/>
          </w:tcPr>
          <w:p>
            <w:pPr>
              <w:jc w:val="right"/>
              <w:ind w:right="1254"/>
              <w:spacing w:after="0"/>
              <w:rPr>
                <w:sz w:val="20"/>
                <w:szCs w:val="20"/>
                <w:color w:val="auto"/>
              </w:rPr>
            </w:pPr>
            <w:r>
              <w:rPr>
                <w:rFonts w:ascii="Times New Roman" w:cs="Times New Roman" w:eastAsia="Times New Roman" w:hAnsi="Times New Roman"/>
                <w:sz w:val="17"/>
                <w:szCs w:val="17"/>
                <w:b w:val="1"/>
                <w:bCs w:val="1"/>
                <w:color w:val="auto"/>
              </w:rPr>
              <w:t>2005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120" w:type="dxa"/>
            <w:vAlign w:val="bottom"/>
          </w:tcPr>
          <w:p>
            <w:pPr>
              <w:spacing w:after="0"/>
              <w:rPr>
                <w:sz w:val="19"/>
                <w:szCs w:val="19"/>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40" w:type="dxa"/>
            <w:vAlign w:val="bottom"/>
          </w:tcPr>
          <w:p>
            <w:pPr>
              <w:spacing w:after="0"/>
              <w:rPr>
                <w:sz w:val="19"/>
                <w:szCs w:val="19"/>
                <w:color w:val="auto"/>
              </w:rPr>
            </w:pPr>
          </w:p>
        </w:tc>
        <w:tc>
          <w:tcPr>
            <w:tcW w:w="2200" w:type="dxa"/>
            <w:vAlign w:val="bottom"/>
            <w:tcBorders>
              <w:top w:val="single" w:sz="8" w:color="auto"/>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2520" w:type="dxa"/>
            <w:vAlign w:val="bottom"/>
            <w:tcBorders>
              <w:top w:val="single" w:sz="8" w:color="auto"/>
            </w:tcBorders>
            <w:shd w:val="clear" w:color="auto" w:fill="CCEEFF"/>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40" w:type="dxa"/>
            <w:vAlign w:val="bottom"/>
          </w:tcPr>
          <w:p>
            <w:pPr>
              <w:spacing w:after="0"/>
              <w:rPr>
                <w:sz w:val="19"/>
                <w:szCs w:val="19"/>
                <w:color w:val="auto"/>
              </w:rPr>
            </w:pPr>
          </w:p>
        </w:tc>
        <w:tc>
          <w:tcPr>
            <w:tcW w:w="2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w:t>
            </w:r>
          </w:p>
        </w:tc>
        <w:tc>
          <w:tcPr>
            <w:tcW w:w="140" w:type="dxa"/>
            <w:vAlign w:val="bottom"/>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$ 18,502</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$ 10,856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Accounts receivable, net</w:t>
            </w:r>
          </w:p>
        </w:tc>
        <w:tc>
          <w:tcPr>
            <w:tcW w:w="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49,811</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Inventories, net</w:t>
            </w:r>
          </w:p>
        </w:tc>
        <w:tc>
          <w:tcPr>
            <w:tcW w:w="14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37,244</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38,096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Other current assets</w:t>
            </w:r>
          </w:p>
        </w:tc>
        <w:tc>
          <w:tcPr>
            <w:tcW w:w="14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11,901</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120" w:type="dxa"/>
            <w:vAlign w:val="bottom"/>
          </w:tcPr>
          <w:p>
            <w:pPr>
              <w:spacing w:after="0"/>
              <w:rPr>
                <w:sz w:val="24"/>
                <w:szCs w:val="2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current assets</w:t>
            </w:r>
          </w:p>
        </w:tc>
        <w:tc>
          <w:tcPr>
            <w:tcW w:w="140" w:type="dxa"/>
            <w:vAlign w:val="bottom"/>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117,458</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105,950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0" w:type="dxa"/>
            <w:vAlign w:val="bottom"/>
            <w:vMerge w:val="restart"/>
          </w:tcPr>
          <w:p>
            <w:pPr>
              <w:spacing w:after="0"/>
              <w:rPr>
                <w:sz w:val="20"/>
                <w:szCs w:val="20"/>
                <w:color w:val="auto"/>
              </w:rPr>
            </w:pPr>
          </w:p>
        </w:tc>
        <w:tc>
          <w:tcPr>
            <w:tcW w:w="2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140" w:type="dxa"/>
            <w:vAlign w:val="bottom"/>
            <w:vMerge w:val="continue"/>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122,853</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118,829</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Goodwill, net</w:t>
            </w:r>
          </w:p>
        </w:tc>
        <w:tc>
          <w:tcPr>
            <w:tcW w:w="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42,974</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41,648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140" w:type="dxa"/>
            <w:vAlign w:val="bottom"/>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4,162</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1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assets</w:t>
            </w: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$ 287,447</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$ 269,655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20" w:type="dxa"/>
            <w:vAlign w:val="bottom"/>
          </w:tcPr>
          <w:p>
            <w:pPr>
              <w:spacing w:after="0"/>
              <w:rPr>
                <w:sz w:val="18"/>
                <w:szCs w:val="18"/>
                <w:color w:val="auto"/>
              </w:rPr>
            </w:pPr>
          </w:p>
        </w:tc>
        <w:tc>
          <w:tcPr>
            <w:tcW w:w="5000" w:type="dxa"/>
            <w:vAlign w:val="bottom"/>
            <w:shd w:val="clear" w:color="auto" w:fill="CCEEFF"/>
          </w:tcPr>
          <w:p>
            <w:pPr>
              <w:spacing w:after="0"/>
              <w:rPr>
                <w:sz w:val="18"/>
                <w:szCs w:val="18"/>
                <w:color w:val="auto"/>
              </w:rPr>
            </w:pPr>
          </w:p>
        </w:tc>
        <w:tc>
          <w:tcPr>
            <w:tcW w:w="140" w:type="dxa"/>
            <w:vAlign w:val="bottom"/>
            <w:vMerge w:val="restart"/>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2520" w:type="dxa"/>
            <w:vAlign w:val="bottom"/>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140" w:type="dxa"/>
            <w:vAlign w:val="bottom"/>
            <w:vMerge w:val="continue"/>
          </w:tcPr>
          <w:p>
            <w:pPr>
              <w:spacing w:after="0"/>
              <w:rPr>
                <w:sz w:val="19"/>
                <w:szCs w:val="19"/>
                <w:color w:val="auto"/>
              </w:rPr>
            </w:pPr>
          </w:p>
        </w:tc>
        <w:tc>
          <w:tcPr>
            <w:tcW w:w="2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40" w:type="dxa"/>
            <w:vAlign w:val="bottom"/>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Accounts payable</w:t>
            </w:r>
          </w:p>
        </w:tc>
        <w:tc>
          <w:tcPr>
            <w:tcW w:w="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$ 39,424</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$ 41,660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salaries and wages</w:t>
            </w:r>
          </w:p>
        </w:tc>
        <w:tc>
          <w:tcPr>
            <w:tcW w:w="14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12,782</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Current portion of long-term debt</w:t>
            </w:r>
          </w:p>
        </w:tc>
        <w:tc>
          <w:tcPr>
            <w:tcW w:w="14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243</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140" w:type="dxa"/>
            <w:vAlign w:val="bottom"/>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10,090</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120" w:type="dxa"/>
            <w:vAlign w:val="bottom"/>
          </w:tcPr>
          <w:p>
            <w:pPr>
              <w:spacing w:after="0"/>
              <w:rPr>
                <w:sz w:val="24"/>
                <w:szCs w:val="24"/>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62,539</w:t>
            </w:r>
          </w:p>
        </w:tc>
        <w:tc>
          <w:tcPr>
            <w:tcW w:w="26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64,839</w:t>
            </w: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5000" w:type="dxa"/>
            <w:vAlign w:val="bottom"/>
            <w:shd w:val="clear" w:color="auto" w:fill="CCEEFF"/>
          </w:tcPr>
          <w:p>
            <w:pPr>
              <w:spacing w:after="0"/>
              <w:rPr>
                <w:sz w:val="20"/>
                <w:szCs w:val="20"/>
                <w:color w:val="auto"/>
              </w:rPr>
            </w:pPr>
          </w:p>
        </w:tc>
        <w:tc>
          <w:tcPr>
            <w:tcW w:w="140" w:type="dxa"/>
            <w:vAlign w:val="bottom"/>
            <w:vMerge w:val="restart"/>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2520" w:type="dxa"/>
            <w:vAlign w:val="bottom"/>
            <w:shd w:val="clear" w:color="auto" w:fill="CCEEFF"/>
          </w:tcPr>
          <w:p>
            <w:pPr>
              <w:spacing w:after="0"/>
              <w:rPr>
                <w:sz w:val="20"/>
                <w:szCs w:val="20"/>
                <w:color w:val="auto"/>
              </w:rPr>
            </w:pPr>
          </w:p>
        </w:tc>
        <w:tc>
          <w:tcPr>
            <w:tcW w:w="1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Deferred income taxes</w:t>
            </w:r>
          </w:p>
        </w:tc>
        <w:tc>
          <w:tcPr>
            <w:tcW w:w="140" w:type="dxa"/>
            <w:vAlign w:val="bottom"/>
            <w:vMerge w:val="continue"/>
          </w:tcPr>
          <w:p>
            <w:pPr>
              <w:spacing w:after="0"/>
              <w:rPr>
                <w:sz w:val="17"/>
                <w:szCs w:val="17"/>
                <w:color w:val="auto"/>
              </w:rPr>
            </w:pPr>
          </w:p>
        </w:tc>
        <w:tc>
          <w:tcPr>
            <w:tcW w:w="2200" w:type="dxa"/>
            <w:vAlign w:val="bottom"/>
          </w:tcPr>
          <w:p>
            <w:pPr>
              <w:spacing w:after="0"/>
              <w:rPr>
                <w:sz w:val="17"/>
                <w:szCs w:val="17"/>
                <w:color w:val="auto"/>
              </w:rPr>
            </w:pPr>
          </w:p>
        </w:tc>
        <w:tc>
          <w:tcPr>
            <w:tcW w:w="1320" w:type="dxa"/>
            <w:vAlign w:val="bottom"/>
          </w:tcPr>
          <w:p>
            <w:pPr>
              <w:jc w:val="right"/>
              <w:ind w:right="414"/>
              <w:spacing w:after="0"/>
              <w:rPr>
                <w:sz w:val="20"/>
                <w:szCs w:val="20"/>
                <w:color w:val="auto"/>
              </w:rPr>
            </w:pPr>
            <w:r>
              <w:rPr>
                <w:rFonts w:ascii="Times New Roman" w:cs="Times New Roman" w:eastAsia="Times New Roman" w:hAnsi="Times New Roman"/>
                <w:sz w:val="17"/>
                <w:szCs w:val="17"/>
                <w:color w:val="auto"/>
              </w:rPr>
              <w:t>16,601</w:t>
            </w:r>
          </w:p>
        </w:tc>
        <w:tc>
          <w:tcPr>
            <w:tcW w:w="2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15,128</w:t>
            </w:r>
          </w:p>
        </w:tc>
        <w:tc>
          <w:tcPr>
            <w:tcW w:w="1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20" w:type="dxa"/>
            <w:vAlign w:val="bottom"/>
          </w:tcPr>
          <w:p>
            <w:pPr>
              <w:spacing w:after="0"/>
              <w:rPr>
                <w:sz w:val="17"/>
                <w:szCs w:val="17"/>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Long-term notes payable</w:t>
            </w:r>
          </w:p>
        </w:tc>
        <w:tc>
          <w:tcPr>
            <w:tcW w:w="140" w:type="dxa"/>
            <w:vAlign w:val="bottom"/>
          </w:tcPr>
          <w:p>
            <w:pPr>
              <w:spacing w:after="0"/>
              <w:rPr>
                <w:sz w:val="17"/>
                <w:szCs w:val="17"/>
                <w:color w:val="auto"/>
              </w:rPr>
            </w:pPr>
          </w:p>
        </w:tc>
        <w:tc>
          <w:tcPr>
            <w:tcW w:w="2200" w:type="dxa"/>
            <w:vAlign w:val="bottom"/>
            <w:shd w:val="clear" w:color="auto" w:fill="CCEEFF"/>
          </w:tcPr>
          <w:p>
            <w:pPr>
              <w:spacing w:after="0"/>
              <w:rPr>
                <w:sz w:val="17"/>
                <w:szCs w:val="17"/>
                <w:color w:val="auto"/>
              </w:rPr>
            </w:pP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62,500</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40" w:type="dxa"/>
            <w:vAlign w:val="bottom"/>
          </w:tcPr>
          <w:p>
            <w:pPr>
              <w:spacing w:after="0"/>
              <w:rPr>
                <w:sz w:val="19"/>
                <w:szCs w:val="19"/>
                <w:color w:val="auto"/>
              </w:rPr>
            </w:pPr>
          </w:p>
        </w:tc>
        <w:tc>
          <w:tcPr>
            <w:tcW w:w="2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7"/>
                <w:szCs w:val="17"/>
                <w:color w:val="auto"/>
              </w:rPr>
              <w:t>17,235</w:t>
            </w:r>
          </w:p>
        </w:tc>
        <w:tc>
          <w:tcPr>
            <w:tcW w:w="2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2"/>
        </w:trPr>
        <w:tc>
          <w:tcPr>
            <w:tcW w:w="120" w:type="dxa"/>
            <w:vAlign w:val="bottom"/>
          </w:tcPr>
          <w:p>
            <w:pPr>
              <w:spacing w:after="0"/>
              <w:rPr>
                <w:sz w:val="24"/>
                <w:szCs w:val="24"/>
                <w:color w:val="auto"/>
              </w:rPr>
            </w:pPr>
          </w:p>
        </w:tc>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140" w:type="dxa"/>
            <w:vAlign w:val="bottom"/>
          </w:tcPr>
          <w:p>
            <w:pPr>
              <w:spacing w:after="0"/>
              <w:rPr>
                <w:sz w:val="24"/>
                <w:szCs w:val="24"/>
                <w:color w:val="auto"/>
              </w:rPr>
            </w:pPr>
          </w:p>
        </w:tc>
        <w:tc>
          <w:tcPr>
            <w:tcW w:w="2200" w:type="dxa"/>
            <w:vAlign w:val="bottom"/>
            <w:shd w:val="clear" w:color="auto" w:fill="CCEEFF"/>
          </w:tcPr>
          <w:p>
            <w:pPr>
              <w:spacing w:after="0"/>
              <w:rPr>
                <w:sz w:val="24"/>
                <w:szCs w:val="24"/>
                <w:color w:val="auto"/>
              </w:rPr>
            </w:pPr>
          </w:p>
        </w:tc>
        <w:tc>
          <w:tcPr>
            <w:tcW w:w="1320" w:type="dxa"/>
            <w:vAlign w:val="bottom"/>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158,875</w:t>
            </w:r>
          </w:p>
        </w:tc>
        <w:tc>
          <w:tcPr>
            <w:tcW w:w="2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153,581</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2"/>
        </w:trPr>
        <w:tc>
          <w:tcPr>
            <w:tcW w:w="1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140" w:type="dxa"/>
            <w:vAlign w:val="bottom"/>
            <w:vMerge w:val="restart"/>
          </w:tcPr>
          <w:p>
            <w:pPr>
              <w:spacing w:after="0"/>
              <w:rPr>
                <w:sz w:val="20"/>
                <w:szCs w:val="20"/>
                <w:color w:val="auto"/>
              </w:rPr>
            </w:pPr>
          </w:p>
        </w:tc>
        <w:tc>
          <w:tcPr>
            <w:tcW w:w="2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20" w:type="dxa"/>
            <w:vAlign w:val="bottom"/>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120" w:type="dxa"/>
            <w:vAlign w:val="bottom"/>
          </w:tcPr>
          <w:p>
            <w:pPr>
              <w:spacing w:after="0"/>
              <w:rPr>
                <w:sz w:val="19"/>
                <w:szCs w:val="19"/>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140" w:type="dxa"/>
            <w:vAlign w:val="bottom"/>
            <w:vMerge w:val="continue"/>
          </w:tcPr>
          <w:p>
            <w:pPr>
              <w:spacing w:after="0"/>
              <w:rPr>
                <w:sz w:val="19"/>
                <w:szCs w:val="19"/>
                <w:color w:val="auto"/>
              </w:rPr>
            </w:pPr>
          </w:p>
        </w:tc>
        <w:tc>
          <w:tcPr>
            <w:tcW w:w="22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128,572</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116,074</w:t>
            </w:r>
          </w:p>
        </w:tc>
        <w:tc>
          <w:tcPr>
            <w:tcW w:w="1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5000" w:type="dxa"/>
            <w:vAlign w:val="bottom"/>
          </w:tcPr>
          <w:p>
            <w:pPr>
              <w:spacing w:after="0"/>
              <w:rPr>
                <w:sz w:val="19"/>
                <w:szCs w:val="19"/>
                <w:color w:val="auto"/>
              </w:rPr>
            </w:pPr>
          </w:p>
        </w:tc>
        <w:tc>
          <w:tcPr>
            <w:tcW w:w="140" w:type="dxa"/>
            <w:vAlign w:val="bottom"/>
            <w:vMerge w:val="restart"/>
          </w:tcPr>
          <w:p>
            <w:pPr>
              <w:spacing w:after="0"/>
              <w:rPr>
                <w:sz w:val="19"/>
                <w:szCs w:val="19"/>
                <w:color w:val="auto"/>
              </w:rPr>
            </w:pPr>
          </w:p>
        </w:tc>
        <w:tc>
          <w:tcPr>
            <w:tcW w:w="2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20" w:type="dxa"/>
            <w:vAlign w:val="bottom"/>
          </w:tcPr>
          <w:p>
            <w:pPr>
              <w:spacing w:after="0"/>
              <w:rPr>
                <w:sz w:val="21"/>
                <w:szCs w:val="21"/>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140" w:type="dxa"/>
            <w:vAlign w:val="bottom"/>
            <w:vMerge w:val="continue"/>
          </w:tcPr>
          <w:p>
            <w:pPr>
              <w:spacing w:after="0"/>
              <w:rPr>
                <w:sz w:val="21"/>
                <w:szCs w:val="21"/>
                <w:color w:val="auto"/>
              </w:rPr>
            </w:pPr>
          </w:p>
        </w:tc>
        <w:tc>
          <w:tcPr>
            <w:tcW w:w="220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414"/>
              <w:spacing w:after="0"/>
              <w:rPr>
                <w:sz w:val="20"/>
                <w:szCs w:val="20"/>
                <w:color w:val="auto"/>
              </w:rPr>
            </w:pPr>
            <w:r>
              <w:rPr>
                <w:rFonts w:ascii="Times New Roman" w:cs="Times New Roman" w:eastAsia="Times New Roman" w:hAnsi="Times New Roman"/>
                <w:sz w:val="17"/>
                <w:szCs w:val="17"/>
                <w:color w:val="auto"/>
              </w:rPr>
              <w:t>$ 287,447</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$ 269,655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3"/>
        </w:trPr>
        <w:tc>
          <w:tcPr>
            <w:tcW w:w="120" w:type="dxa"/>
            <w:vAlign w:val="bottom"/>
          </w:tcPr>
          <w:p>
            <w:pPr>
              <w:spacing w:after="0"/>
              <w:rPr>
                <w:sz w:val="24"/>
                <w:szCs w:val="24"/>
                <w:color w:val="auto"/>
              </w:rPr>
            </w:pPr>
          </w:p>
        </w:tc>
        <w:tc>
          <w:tcPr>
            <w:tcW w:w="7340" w:type="dxa"/>
            <w:vAlign w:val="bottom"/>
            <w:gridSpan w:val="3"/>
          </w:tcPr>
          <w:p>
            <w:pPr>
              <w:ind w:left="5560"/>
              <w:spacing w:after="0"/>
              <w:rPr>
                <w:sz w:val="20"/>
                <w:szCs w:val="20"/>
                <w:color w:val="auto"/>
              </w:rPr>
            </w:pPr>
            <w:r>
              <w:rPr>
                <w:rFonts w:ascii="Times New Roman" w:cs="Times New Roman" w:eastAsia="Times New Roman" w:hAnsi="Times New Roman"/>
                <w:sz w:val="14"/>
                <w:szCs w:val="14"/>
                <w:color w:val="auto"/>
              </w:rPr>
              <w:t>5</w:t>
            </w:r>
          </w:p>
        </w:tc>
        <w:tc>
          <w:tcPr>
            <w:tcW w:w="13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6"/>
        </w:trPr>
        <w:tc>
          <w:tcPr>
            <w:tcW w:w="120" w:type="dxa"/>
            <w:vAlign w:val="bottom"/>
            <w:tcBorders>
              <w:bottom w:val="single" w:sz="8" w:color="808080"/>
            </w:tcBorders>
          </w:tcPr>
          <w:p>
            <w:pPr>
              <w:spacing w:after="0"/>
              <w:rPr>
                <w:sz w:val="8"/>
                <w:szCs w:val="8"/>
                <w:color w:val="auto"/>
              </w:rPr>
            </w:pPr>
          </w:p>
        </w:tc>
        <w:tc>
          <w:tcPr>
            <w:tcW w:w="50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200" w:type="dxa"/>
            <w:vAlign w:val="bottom"/>
            <w:tcBorders>
              <w:bottom w:val="single" w:sz="8" w:color="808080"/>
            </w:tcBorders>
          </w:tcPr>
          <w:p>
            <w:pPr>
              <w:spacing w:after="0"/>
              <w:rPr>
                <w:sz w:val="8"/>
                <w:szCs w:val="8"/>
                <w:color w:val="auto"/>
              </w:rPr>
            </w:pPr>
          </w:p>
        </w:tc>
        <w:tc>
          <w:tcPr>
            <w:tcW w:w="1320" w:type="dxa"/>
            <w:vAlign w:val="bottom"/>
            <w:tcBorders>
              <w:bottom w:val="single" w:sz="8" w:color="808080"/>
            </w:tcBorders>
          </w:tcPr>
          <w:p>
            <w:pPr>
              <w:spacing w:after="0"/>
              <w:rPr>
                <w:sz w:val="8"/>
                <w:szCs w:val="8"/>
                <w:color w:val="auto"/>
              </w:rPr>
            </w:pPr>
          </w:p>
        </w:tc>
        <w:tc>
          <w:tcPr>
            <w:tcW w:w="25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351" w:right="239" w:bottom="1440" w:gutter="0" w:footer="0" w:header="0"/>
        </w:sectPr>
      </w:pPr>
    </w:p>
    <w:bookmarkStart w:id="9" w:name="page10"/>
    <w:bookmarkEnd w:id="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2019-12-14T02:41:36Z</dcterms:created>
  <dcterms:modified xsi:type="dcterms:W3CDTF">2019-12-14T02:41:36Z</dcterms:modified>
</cp:coreProperties>
</file>