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4606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60692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BUCHAN JOHN</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ind w:left="360" w:hanging="356"/>
        <w:spacing w:after="0"/>
        <w:tabs>
          <w:tab w:leader="none" w:pos="360" w:val="left"/>
        </w:tabs>
        <w:numPr>
          <w:ilvl w:val="0"/>
          <w:numId w:val="1"/>
        </w:numPr>
        <w:rPr>
          <w:rFonts w:ascii="Arial" w:cs="Arial" w:eastAsia="Arial" w:hAnsi="Arial"/>
          <w:sz w:val="20"/>
          <w:szCs w:val="20"/>
          <w:color w:val="0000EE"/>
        </w:rPr>
      </w:pPr>
      <w:hyperlink r:id="rId13">
        <w:r>
          <w:rPr>
            <w:rFonts w:ascii="Arial" w:cs="Arial" w:eastAsia="Arial" w:hAnsi="Arial"/>
            <w:sz w:val="20"/>
            <w:szCs w:val="20"/>
            <w:u w:val="single" w:color="auto"/>
            <w:color w:val="0000EE"/>
          </w:rPr>
          <w:t>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NNBR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03/23/2021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51"/>
        <w:spacing w:after="0"/>
        <w:rPr>
          <w:sz w:val="20"/>
          <w:szCs w:val="20"/>
          <w:color w:val="auto"/>
        </w:rPr>
      </w:pPr>
      <w:r>
        <w:rPr>
          <w:rFonts w:ascii="Arial" w:cs="Arial" w:eastAsia="Arial" w:hAnsi="Arial"/>
          <w:sz w:val="17"/>
          <w:szCs w:val="17"/>
          <w:color w:val="0000FF"/>
        </w:rPr>
        <w:t>See Remarks</w:t>
      </w:r>
    </w:p>
    <w:p>
      <w:pPr>
        <w:spacing w:after="0" w:line="302"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CHARLOTTE</w:t>
            </w:r>
          </w:p>
        </w:tc>
        <w:tc>
          <w:tcPr>
            <w:tcW w:w="920" w:type="dxa"/>
            <w:vAlign w:val="bottom"/>
          </w:tcPr>
          <w:p>
            <w:pPr>
              <w:ind w:left="120"/>
              <w:spacing w:after="0"/>
              <w:rPr>
                <w:sz w:val="20"/>
                <w:szCs w:val="20"/>
                <w:color w:val="auto"/>
              </w:rPr>
            </w:pPr>
            <w:r>
              <w:rPr>
                <w:rFonts w:ascii="Arial" w:cs="Arial" w:eastAsia="Arial" w:hAnsi="Arial"/>
                <w:sz w:val="17"/>
                <w:szCs w:val="17"/>
                <w:color w:val="0000FF"/>
              </w:rPr>
              <w:t>NC</w:t>
            </w:r>
          </w:p>
        </w:tc>
        <w:tc>
          <w:tcPr>
            <w:tcW w:w="1620" w:type="dxa"/>
            <w:vAlign w:val="bottom"/>
          </w:tcPr>
          <w:p>
            <w:pPr>
              <w:ind w:left="420"/>
              <w:spacing w:after="0"/>
              <w:rPr>
                <w:sz w:val="20"/>
                <w:szCs w:val="20"/>
                <w:color w:val="auto"/>
              </w:rPr>
            </w:pPr>
            <w:r>
              <w:rPr>
                <w:rFonts w:ascii="Arial" w:cs="Arial" w:eastAsia="Arial" w:hAnsi="Arial"/>
                <w:sz w:val="17"/>
                <w:szCs w:val="17"/>
                <w:color w:val="0000FF"/>
              </w:rPr>
              <w:t>28277</w:t>
            </w:r>
          </w:p>
        </w:tc>
      </w:tr>
      <w:tr>
        <w:trPr>
          <w:trHeight w:val="147"/>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4"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line="125"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00"/>
              <w:spacing w:after="0" w:line="125"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6"/>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03/23/2021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20,138</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90,048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360" w:type="dxa"/>
            <w:vAlign w:val="bottom"/>
            <w:gridSpan w:val="10"/>
          </w:tcPr>
          <w:p>
            <w:pPr>
              <w:jc w:val="right"/>
              <w:ind w:right="9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ind w:left="240"/>
              <w:spacing w:after="0"/>
              <w:rPr>
                <w:sz w:val="20"/>
                <w:szCs w:val="20"/>
                <w:color w:val="auto"/>
              </w:rPr>
            </w:pPr>
            <w:r>
              <w:rPr>
                <w:rFonts w:ascii="Arial" w:cs="Arial" w:eastAsia="Arial" w:hAnsi="Arial"/>
                <w:sz w:val="13"/>
                <w:szCs w:val="13"/>
                <w:color w:val="0000FF"/>
              </w:rPr>
              <w:t>03/23/2021</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16,609</w:t>
            </w:r>
          </w:p>
        </w:tc>
        <w:tc>
          <w:tcPr>
            <w:tcW w:w="28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ind w:left="240"/>
              <w:spacing w:after="0"/>
              <w:rPr>
                <w:sz w:val="20"/>
                <w:szCs w:val="20"/>
                <w:color w:val="auto"/>
              </w:rPr>
            </w:pPr>
            <w:r>
              <w:rPr>
                <w:rFonts w:ascii="Arial" w:cs="Arial" w:eastAsia="Arial" w:hAnsi="Arial"/>
                <w:sz w:val="11"/>
                <w:szCs w:val="11"/>
                <w:color w:val="008000"/>
              </w:rPr>
              <w:t>(3)</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ind w:left="20"/>
              <w:spacing w:after="0"/>
              <w:rPr>
                <w:sz w:val="20"/>
                <w:szCs w:val="20"/>
                <w:color w:val="auto"/>
              </w:rPr>
            </w:pPr>
            <w:r>
              <w:rPr>
                <w:rFonts w:ascii="Arial" w:cs="Arial" w:eastAsia="Arial" w:hAnsi="Arial"/>
                <w:sz w:val="17"/>
                <w:szCs w:val="17"/>
                <w:color w:val="0000FF"/>
                <w:w w:val="96"/>
              </w:rPr>
              <w:t>16,609</w:t>
            </w:r>
          </w:p>
        </w:tc>
        <w:tc>
          <w:tcPr>
            <w:tcW w:w="74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40"/>
              <w:spacing w:after="0"/>
              <w:rPr>
                <w:sz w:val="20"/>
                <w:szCs w:val="20"/>
                <w:color w:val="auto"/>
              </w:rPr>
            </w:pPr>
            <w:r>
              <w:rPr>
                <w:rFonts w:ascii="Arial" w:cs="Arial" w:eastAsia="Arial" w:hAnsi="Arial"/>
                <w:sz w:val="13"/>
                <w:szCs w:val="13"/>
                <w:color w:val="0000FF"/>
                <w:w w:val="80"/>
              </w:rPr>
              <w:t>16,609</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23, 2022.</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42" w:lineRule="exact"/>
        <w:rPr>
          <w:rFonts w:ascii="Arial" w:cs="Arial" w:eastAsia="Arial" w:hAnsi="Arial"/>
          <w:sz w:val="13"/>
          <w:szCs w:val="13"/>
          <w:color w:val="008000"/>
        </w:rPr>
      </w:pPr>
    </w:p>
    <w:p>
      <w:pPr>
        <w:jc w:val="both"/>
        <w:ind w:left="40" w:right="220" w:firstLine="1"/>
        <w:spacing w:after="0" w:line="265" w:lineRule="auto"/>
        <w:tabs>
          <w:tab w:leader="none" w:pos="168"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performance rights will vest pursuant to the terms and subject to the conditions set forth in the Issuer's 2019 Omnibus Incentive Plan and the applicable Performance Share Unit Award Agreement based on the relative total shareholder return ("TSR") of the Issuer, as compared to the TSR of the S&amp;P SmallCap 600 Index over the period beginning on January 1, 2021 and ending December 31, 2023. The performance rights granted represent the right to receive the target shares, and actual performance rights earned may be between 50% and 150% of the target shares.</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Executive Vice President, Mobile Solutions and Power Solutions</w:t>
      </w:r>
    </w:p>
    <w:p>
      <w:pPr>
        <w:sectPr>
          <w:pgSz w:w="11900" w:h="16838" w:orient="portrait"/>
          <w:cols w:equalWidth="0" w:num="1">
            <w:col w:w="11080"/>
          </w:cols>
          <w:pgMar w:left="460" w:top="221" w:right="359" w:bottom="1440" w:gutter="0" w:footer="0" w:header="0"/>
          <w:type w:val="continuous"/>
        </w:sectPr>
      </w:pPr>
    </w:p>
    <w:p>
      <w:pPr>
        <w:spacing w:after="0" w:line="68"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1270</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489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41"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1260" w:firstLine="1"/>
        <w:spacing w:after="0" w:line="330"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0000FF"/>
        </w:rPr>
        <w:t>03/25/2021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4" w:lineRule="exact"/>
        <w:rPr>
          <w:sz w:val="24"/>
          <w:szCs w:val="24"/>
          <w:color w:val="auto"/>
        </w:rPr>
      </w:pPr>
    </w:p>
    <w:p>
      <w:pPr>
        <w:sectPr>
          <w:pgSz w:w="11900" w:h="16838" w:orient="portrait"/>
          <w:cols w:equalWidth="0" w:num="2">
            <w:col w:w="8680" w:space="12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9436"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2021-03-26T21:56:48Z</dcterms:created>
  <dcterms:modified xsi:type="dcterms:W3CDTF">2021-03-26T21:56:48Z</dcterms:modified>
</cp:coreProperties>
</file>