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102870</wp:posOffset>
            </wp:positionV>
            <wp:extent cx="2597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74295</wp:posOffset>
            </wp:positionV>
            <wp:extent cx="259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73"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CURRENT REPORT</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86"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Date of Report (Date of earliest event reported): May 25,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99695</wp:posOffset>
            </wp:positionV>
            <wp:extent cx="259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97150" cy="8255"/>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160020</wp:posOffset>
            </wp:positionV>
            <wp:extent cx="3943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43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NN, Inc.</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1628775</wp:posOffset>
            </wp:positionH>
            <wp:positionV relativeFrom="paragraph">
              <wp:posOffset>52070</wp:posOffset>
            </wp:positionV>
            <wp:extent cx="259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97" w:lineRule="exact"/>
        <w:rPr>
          <w:sz w:val="24"/>
          <w:szCs w:val="24"/>
          <w:color w:val="auto"/>
        </w:rPr>
      </w:pPr>
    </w:p>
    <w:tbl>
      <w:tblPr>
        <w:tblLayout w:type="fixed"/>
        <w:tblInd w:w="940" w:type="dxa"/>
        <w:tblCellMar>
          <w:top w:w="0" w:type="dxa"/>
          <w:left w:w="0" w:type="dxa"/>
          <w:bottom w:w="0" w:type="dxa"/>
          <w:right w:w="0" w:type="dxa"/>
        </w:tblCellMar>
      </w:tblPr>
      <w:tr>
        <w:trPr>
          <w:trHeight w:val="251"/>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000-23486</w:t>
            </w:r>
          </w:p>
        </w:tc>
        <w:tc>
          <w:tcPr>
            <w:tcW w:w="140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62-1096725</w:t>
            </w:r>
          </w:p>
        </w:tc>
      </w:tr>
      <w:tr>
        <w:trPr>
          <w:trHeight w:val="172"/>
        </w:trPr>
        <w:tc>
          <w:tcPr>
            <w:tcW w:w="1920" w:type="dxa"/>
            <w:vAlign w:val="bottom"/>
          </w:tcPr>
          <w:p>
            <w:pPr>
              <w:jc w:val="center"/>
              <w:spacing w:after="0" w:line="171" w:lineRule="exact"/>
              <w:rPr>
                <w:sz w:val="20"/>
                <w:szCs w:val="20"/>
                <w:color w:val="auto"/>
              </w:rPr>
            </w:pPr>
            <w:r>
              <w:rPr>
                <w:rFonts w:ascii="Arial" w:cs="Arial" w:eastAsia="Arial" w:hAnsi="Arial"/>
                <w:sz w:val="16"/>
                <w:szCs w:val="16"/>
                <w:i w:val="1"/>
                <w:iCs w:val="1"/>
                <w:color w:val="auto"/>
                <w:w w:val="94"/>
              </w:rPr>
              <w:t>(State or other jurisdiction of</w:t>
            </w:r>
          </w:p>
        </w:tc>
        <w:tc>
          <w:tcPr>
            <w:tcW w:w="3640" w:type="dxa"/>
            <w:vAlign w:val="bottom"/>
          </w:tcPr>
          <w:p>
            <w:pPr>
              <w:jc w:val="center"/>
              <w:ind w:right="99"/>
              <w:spacing w:after="0" w:line="171" w:lineRule="exact"/>
              <w:rPr>
                <w:sz w:val="20"/>
                <w:szCs w:val="20"/>
                <w:color w:val="auto"/>
              </w:rPr>
            </w:pPr>
            <w:r>
              <w:rPr>
                <w:rFonts w:ascii="Arial" w:cs="Arial" w:eastAsia="Arial" w:hAnsi="Arial"/>
                <w:sz w:val="16"/>
                <w:szCs w:val="16"/>
                <w:i w:val="1"/>
                <w:iCs w:val="1"/>
                <w:color w:val="auto"/>
                <w:w w:val="93"/>
              </w:rPr>
              <w:t>(Commission File Number)</w:t>
            </w:r>
          </w:p>
        </w:tc>
        <w:tc>
          <w:tcPr>
            <w:tcW w:w="1400" w:type="dxa"/>
            <w:vAlign w:val="bottom"/>
          </w:tcPr>
          <w:p>
            <w:pPr>
              <w:jc w:val="center"/>
              <w:ind w:left="119"/>
              <w:spacing w:after="0" w:line="171" w:lineRule="exact"/>
              <w:rPr>
                <w:sz w:val="20"/>
                <w:szCs w:val="20"/>
                <w:color w:val="auto"/>
              </w:rPr>
            </w:pPr>
            <w:r>
              <w:rPr>
                <w:rFonts w:ascii="Arial" w:cs="Arial" w:eastAsia="Arial" w:hAnsi="Arial"/>
                <w:sz w:val="16"/>
                <w:szCs w:val="16"/>
                <w:i w:val="1"/>
                <w:iCs w:val="1"/>
                <w:color w:val="auto"/>
                <w:w w:val="91"/>
              </w:rPr>
              <w:t>(I.R.S. Employer</w:t>
            </w:r>
          </w:p>
        </w:tc>
      </w:tr>
      <w:tr>
        <w:trPr>
          <w:trHeight w:val="206"/>
        </w:trPr>
        <w:tc>
          <w:tcPr>
            <w:tcW w:w="1920" w:type="dxa"/>
            <w:vAlign w:val="bottom"/>
          </w:tcPr>
          <w:p>
            <w:pPr>
              <w:jc w:val="center"/>
              <w:spacing w:after="0"/>
              <w:rPr>
                <w:sz w:val="20"/>
                <w:szCs w:val="20"/>
                <w:color w:val="auto"/>
              </w:rPr>
            </w:pPr>
            <w:r>
              <w:rPr>
                <w:rFonts w:ascii="Arial" w:cs="Arial" w:eastAsia="Arial" w:hAnsi="Arial"/>
                <w:sz w:val="16"/>
                <w:szCs w:val="16"/>
                <w:i w:val="1"/>
                <w:iCs w:val="1"/>
                <w:color w:val="auto"/>
                <w:w w:val="98"/>
              </w:rPr>
              <w:t>incorporation)</w:t>
            </w:r>
          </w:p>
        </w:tc>
        <w:tc>
          <w:tcPr>
            <w:tcW w:w="3640" w:type="dxa"/>
            <w:vAlign w:val="bottom"/>
          </w:tcPr>
          <w:p>
            <w:pPr>
              <w:spacing w:after="0"/>
              <w:rPr>
                <w:sz w:val="17"/>
                <w:szCs w:val="17"/>
                <w:color w:val="auto"/>
              </w:rPr>
            </w:pPr>
          </w:p>
        </w:tc>
        <w:tc>
          <w:tcPr>
            <w:tcW w:w="1400" w:type="dxa"/>
            <w:vAlign w:val="bottom"/>
          </w:tcPr>
          <w:p>
            <w:pPr>
              <w:jc w:val="center"/>
              <w:ind w:left="119"/>
              <w:spacing w:after="0"/>
              <w:rPr>
                <w:sz w:val="20"/>
                <w:szCs w:val="20"/>
                <w:color w:val="auto"/>
              </w:rPr>
            </w:pPr>
            <w:r>
              <w:rPr>
                <w:rFonts w:ascii="Arial" w:cs="Arial" w:eastAsia="Arial" w:hAnsi="Arial"/>
                <w:sz w:val="16"/>
                <w:szCs w:val="16"/>
                <w:i w:val="1"/>
                <w:iCs w:val="1"/>
                <w:color w:val="auto"/>
                <w:w w:val="96"/>
              </w:rPr>
              <w:t>Identification No.)</w:t>
            </w:r>
          </w:p>
        </w:tc>
      </w:tr>
      <w:tr>
        <w:trPr>
          <w:trHeight w:val="648"/>
        </w:trPr>
        <w:tc>
          <w:tcPr>
            <w:tcW w:w="5560" w:type="dxa"/>
            <w:vAlign w:val="bottom"/>
            <w:gridSpan w:val="2"/>
          </w:tcPr>
          <w:p>
            <w:pPr>
              <w:jc w:val="center"/>
              <w:ind w:right="1639"/>
              <w:spacing w:after="0"/>
              <w:rPr>
                <w:sz w:val="20"/>
                <w:szCs w:val="20"/>
                <w:color w:val="auto"/>
              </w:rPr>
            </w:pPr>
            <w:r>
              <w:rPr>
                <w:rFonts w:ascii="Arial" w:cs="Arial" w:eastAsia="Arial" w:hAnsi="Arial"/>
                <w:sz w:val="16"/>
                <w:szCs w:val="16"/>
                <w:b w:val="1"/>
                <w:bCs w:val="1"/>
                <w:color w:val="auto"/>
                <w:w w:val="93"/>
              </w:rPr>
              <w:t>6210 Ardrey Kell Road, Suite 600</w:t>
            </w:r>
          </w:p>
        </w:tc>
        <w:tc>
          <w:tcPr>
            <w:tcW w:w="1400" w:type="dxa"/>
            <w:vAlign w:val="bottom"/>
          </w:tcPr>
          <w:p>
            <w:pPr>
              <w:spacing w:after="0"/>
              <w:rPr>
                <w:sz w:val="24"/>
                <w:szCs w:val="24"/>
                <w:color w:val="auto"/>
              </w:rPr>
            </w:pPr>
          </w:p>
        </w:tc>
      </w:tr>
      <w:tr>
        <w:trPr>
          <w:trHeight w:val="257"/>
        </w:trPr>
        <w:tc>
          <w:tcPr>
            <w:tcW w:w="5560" w:type="dxa"/>
            <w:vAlign w:val="bottom"/>
            <w:gridSpan w:val="2"/>
          </w:tcPr>
          <w:p>
            <w:pPr>
              <w:jc w:val="center"/>
              <w:ind w:right="1619"/>
              <w:spacing w:after="0"/>
              <w:rPr>
                <w:sz w:val="20"/>
                <w:szCs w:val="20"/>
                <w:color w:val="auto"/>
              </w:rPr>
            </w:pPr>
            <w:r>
              <w:rPr>
                <w:rFonts w:ascii="Arial" w:cs="Arial" w:eastAsia="Arial" w:hAnsi="Arial"/>
                <w:sz w:val="16"/>
                <w:szCs w:val="16"/>
                <w:b w:val="1"/>
                <w:bCs w:val="1"/>
                <w:color w:val="auto"/>
                <w:w w:val="95"/>
              </w:rPr>
              <w:t>Charlotte, North Carolina</w:t>
            </w:r>
          </w:p>
        </w:tc>
        <w:tc>
          <w:tcPr>
            <w:tcW w:w="1400" w:type="dxa"/>
            <w:vAlign w:val="bottom"/>
          </w:tcPr>
          <w:p>
            <w:pPr>
              <w:jc w:val="right"/>
              <w:ind w:right="379"/>
              <w:spacing w:after="0"/>
              <w:rPr>
                <w:sz w:val="20"/>
                <w:szCs w:val="20"/>
                <w:color w:val="auto"/>
              </w:rPr>
            </w:pPr>
            <w:r>
              <w:rPr>
                <w:rFonts w:ascii="Arial" w:cs="Arial" w:eastAsia="Arial" w:hAnsi="Arial"/>
                <w:sz w:val="16"/>
                <w:szCs w:val="16"/>
                <w:b w:val="1"/>
                <w:bCs w:val="1"/>
                <w:color w:val="auto"/>
              </w:rPr>
              <w:t>28277</w:t>
            </w:r>
          </w:p>
        </w:tc>
      </w:tr>
      <w:tr>
        <w:trPr>
          <w:trHeight w:val="270"/>
        </w:trPr>
        <w:tc>
          <w:tcPr>
            <w:tcW w:w="5560" w:type="dxa"/>
            <w:vAlign w:val="bottom"/>
            <w:gridSpan w:val="2"/>
          </w:tcPr>
          <w:p>
            <w:pPr>
              <w:jc w:val="center"/>
              <w:ind w:right="1619"/>
              <w:spacing w:after="0"/>
              <w:rPr>
                <w:sz w:val="20"/>
                <w:szCs w:val="20"/>
                <w:color w:val="auto"/>
              </w:rPr>
            </w:pPr>
            <w:r>
              <w:rPr>
                <w:rFonts w:ascii="Arial" w:cs="Arial" w:eastAsia="Arial" w:hAnsi="Arial"/>
                <w:sz w:val="16"/>
                <w:szCs w:val="16"/>
                <w:i w:val="1"/>
                <w:iCs w:val="1"/>
                <w:color w:val="auto"/>
                <w:w w:val="92"/>
              </w:rPr>
              <w:t>(Address of principal executive offices)</w:t>
            </w:r>
          </w:p>
        </w:tc>
        <w:tc>
          <w:tcPr>
            <w:tcW w:w="1400" w:type="dxa"/>
            <w:vAlign w:val="bottom"/>
          </w:tcPr>
          <w:p>
            <w:pPr>
              <w:jc w:val="center"/>
              <w:spacing w:after="0"/>
              <w:rPr>
                <w:sz w:val="20"/>
                <w:szCs w:val="20"/>
                <w:color w:val="auto"/>
              </w:rPr>
            </w:pPr>
            <w:r>
              <w:rPr>
                <w:rFonts w:ascii="Arial" w:cs="Arial" w:eastAsia="Arial" w:hAnsi="Arial"/>
                <w:sz w:val="16"/>
                <w:szCs w:val="16"/>
                <w:i w:val="1"/>
                <w:iCs w:val="1"/>
                <w:color w:val="auto"/>
                <w:w w:val="92"/>
              </w:rPr>
              <w:t>(Zip Code)</w:t>
            </w:r>
          </w:p>
        </w:tc>
      </w:tr>
      <w:tr>
        <w:trPr>
          <w:trHeight w:val="577"/>
        </w:trPr>
        <w:tc>
          <w:tcPr>
            <w:tcW w:w="1920" w:type="dxa"/>
            <w:vAlign w:val="bottom"/>
          </w:tcPr>
          <w:p>
            <w:pPr>
              <w:spacing w:after="0"/>
              <w:rPr>
                <w:sz w:val="24"/>
                <w:szCs w:val="24"/>
                <w:color w:val="auto"/>
              </w:rPr>
            </w:pPr>
          </w:p>
        </w:tc>
        <w:tc>
          <w:tcPr>
            <w:tcW w:w="364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(980) 264-4300</w:t>
            </w:r>
          </w:p>
        </w:tc>
        <w:tc>
          <w:tcPr>
            <w:tcW w:w="1400" w:type="dxa"/>
            <w:vAlign w:val="bottom"/>
          </w:tcPr>
          <w:p>
            <w:pPr>
              <w:spacing w:after="0"/>
              <w:rPr>
                <w:sz w:val="24"/>
                <w:szCs w:val="24"/>
                <w:color w:val="auto"/>
              </w:rPr>
            </w:pPr>
          </w:p>
        </w:tc>
      </w:tr>
      <w:tr>
        <w:trPr>
          <w:trHeight w:val="206"/>
        </w:trPr>
        <w:tc>
          <w:tcPr>
            <w:tcW w:w="1920" w:type="dxa"/>
            <w:vAlign w:val="bottom"/>
          </w:tcPr>
          <w:p>
            <w:pPr>
              <w:spacing w:after="0"/>
              <w:rPr>
                <w:sz w:val="17"/>
                <w:szCs w:val="17"/>
                <w:color w:val="auto"/>
              </w:rPr>
            </w:pPr>
          </w:p>
        </w:tc>
        <w:tc>
          <w:tcPr>
            <w:tcW w:w="3640" w:type="dxa"/>
            <w:vAlign w:val="bottom"/>
          </w:tcPr>
          <w:p>
            <w:pPr>
              <w:jc w:val="center"/>
              <w:ind w:right="119"/>
              <w:spacing w:after="0"/>
              <w:rPr>
                <w:sz w:val="20"/>
                <w:szCs w:val="20"/>
                <w:color w:val="auto"/>
              </w:rPr>
            </w:pPr>
            <w:r>
              <w:rPr>
                <w:rFonts w:ascii="Arial" w:cs="Arial" w:eastAsia="Arial" w:hAnsi="Arial"/>
                <w:sz w:val="16"/>
                <w:szCs w:val="16"/>
                <w:i w:val="1"/>
                <w:iCs w:val="1"/>
                <w:color w:val="auto"/>
                <w:w w:val="91"/>
              </w:rPr>
              <w:t>(Registrant’s telephone number, including area code)</w:t>
            </w:r>
          </w:p>
        </w:tc>
        <w:tc>
          <w:tcPr>
            <w:tcW w:w="1400" w:type="dxa"/>
            <w:vAlign w:val="bottom"/>
          </w:tcPr>
          <w:p>
            <w:pPr>
              <w:spacing w:after="0"/>
              <w:rPr>
                <w:sz w:val="17"/>
                <w:szCs w:val="17"/>
                <w:color w:val="auto"/>
              </w:rPr>
            </w:pPr>
          </w:p>
        </w:tc>
      </w:tr>
    </w:tbl>
    <w:p>
      <w:pPr>
        <w:spacing w:after="0" w:line="13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32385</wp:posOffset>
            </wp:positionV>
            <wp:extent cx="2125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5980" cy="8890"/>
                    </a:xfrm>
                    <a:prstGeom prst="rect">
                      <a:avLst/>
                    </a:prstGeom>
                    <a:noFill/>
                  </pic:spPr>
                </pic:pic>
              </a:graphicData>
            </a:graphic>
          </wp:anchor>
        </w:drawing>
      </w:r>
    </w:p>
    <w:p>
      <w:pPr>
        <w:spacing w:after="0" w:line="327" w:lineRule="exact"/>
        <w:rPr>
          <w:sz w:val="24"/>
          <w:szCs w:val="24"/>
          <w:color w:val="auto"/>
        </w:rPr>
      </w:pPr>
    </w:p>
    <w:p>
      <w:pPr>
        <w:ind w:right="280"/>
        <w:spacing w:after="0" w:line="235"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40" w:lineRule="exact"/>
        <w:rPr>
          <w:sz w:val="24"/>
          <w:szCs w:val="24"/>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240.14d- 2(b))</w:t>
      </w:r>
    </w:p>
    <w:p>
      <w:pPr>
        <w:spacing w:after="0" w:line="115" w:lineRule="exact"/>
        <w:rPr>
          <w:rFonts w:ascii="MS PGothic" w:cs="MS PGothic" w:eastAsia="MS PGothic" w:hAnsi="MS PGothic"/>
          <w:sz w:val="17"/>
          <w:szCs w:val="17"/>
          <w:color w:val="auto"/>
        </w:rPr>
      </w:pPr>
    </w:p>
    <w:p>
      <w:pPr>
        <w:ind w:left="340" w:hanging="335"/>
        <w:spacing w:after="0"/>
        <w:tabs>
          <w:tab w:leader="none" w:pos="3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240.13e- 4(c))</w:t>
      </w:r>
    </w:p>
    <w:p>
      <w:pPr>
        <w:spacing w:after="0" w:line="200" w:lineRule="exact"/>
        <w:rPr>
          <w:sz w:val="24"/>
          <w:szCs w:val="24"/>
          <w:color w:val="auto"/>
        </w:rPr>
      </w:pPr>
    </w:p>
    <w:p>
      <w:pPr>
        <w:spacing w:after="0" w:line="24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120"/>
          </w:cols>
          <w:pgMar w:left="1340" w:top="1295" w:right="1439" w:bottom="1440" w:gutter="0" w:footer="0" w:header="0"/>
        </w:sectPr>
      </w:pPr>
    </w:p>
    <w:p>
      <w:pPr>
        <w:spacing w:after="0" w:line="59" w:lineRule="exact"/>
        <w:rPr>
          <w:sz w:val="24"/>
          <w:szCs w:val="24"/>
          <w:color w:val="auto"/>
        </w:rPr>
      </w:pPr>
    </w:p>
    <w:p>
      <w:pPr>
        <w:ind w:left="1200"/>
        <w:spacing w:after="0"/>
        <w:rPr>
          <w:sz w:val="20"/>
          <w:szCs w:val="20"/>
          <w:color w:val="auto"/>
        </w:rPr>
      </w:pPr>
      <w:r>
        <w:rPr>
          <w:rFonts w:ascii="Arial" w:cs="Arial" w:eastAsia="Arial" w:hAnsi="Arial"/>
          <w:sz w:val="12"/>
          <w:szCs w:val="12"/>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74" w:lineRule="exact"/>
        <w:rPr>
          <w:sz w:val="24"/>
          <w:szCs w:val="24"/>
          <w:color w:val="auto"/>
        </w:rPr>
      </w:pPr>
    </w:p>
    <w:p>
      <w:pPr>
        <w:sectPr>
          <w:pgSz w:w="11900" w:h="16838" w:orient="portrait"/>
          <w:cols w:equalWidth="0" w:num="3">
            <w:col w:w="3420" w:space="720"/>
            <w:col w:w="1340" w:space="720"/>
            <w:col w:w="2920"/>
          </w:cols>
          <w:pgMar w:left="1340" w:top="1295" w:right="1439" w:bottom="1440" w:gutter="0" w:footer="0" w:header="0"/>
          <w:type w:val="continuous"/>
        </w:sectPr>
      </w:pPr>
    </w:p>
    <w:p>
      <w:pPr>
        <w:ind w:left="740"/>
        <w:spacing w:after="0"/>
        <w:rPr>
          <w:sz w:val="20"/>
          <w:szCs w:val="20"/>
          <w:color w:val="auto"/>
        </w:rPr>
      </w:pPr>
      <w:r>
        <w:rPr>
          <w:rFonts w:ascii="Arial" w:cs="Arial" w:eastAsia="Arial" w:hAnsi="Arial"/>
          <w:sz w:val="13"/>
          <w:szCs w:val="13"/>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1000"/>
        <w:spacing w:after="0"/>
        <w:rPr>
          <w:sz w:val="20"/>
          <w:szCs w:val="20"/>
          <w:color w:val="auto"/>
        </w:rPr>
      </w:pPr>
      <w:r>
        <w:rPr>
          <w:rFonts w:ascii="Arial" w:cs="Arial" w:eastAsia="Arial" w:hAnsi="Arial"/>
          <w:sz w:val="13"/>
          <w:szCs w:val="13"/>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200" w:lineRule="exact"/>
        <w:rPr>
          <w:sz w:val="24"/>
          <w:szCs w:val="24"/>
          <w:color w:val="auto"/>
        </w:rPr>
      </w:pPr>
    </w:p>
    <w:p>
      <w:pPr>
        <w:sectPr>
          <w:pgSz w:w="11900" w:h="16838" w:orient="portrait"/>
          <w:cols w:equalWidth="0" w:num="3">
            <w:col w:w="3660" w:space="720"/>
            <w:col w:w="1400" w:space="720"/>
            <w:col w:w="2620"/>
          </w:cols>
          <w:pgMar w:left="1340" w:top="1295" w:right="1439" w:bottom="1440" w:gutter="0" w:footer="0" w:header="0"/>
          <w:type w:val="continuous"/>
        </w:sectPr>
      </w:pPr>
    </w:p>
    <w:p>
      <w:pPr>
        <w:spacing w:after="0" w:line="239" w:lineRule="exact"/>
        <w:rPr>
          <w:sz w:val="24"/>
          <w:szCs w:val="24"/>
          <w:color w:val="auto"/>
        </w:rPr>
      </w:pPr>
    </w:p>
    <w:p>
      <w:pPr>
        <w:ind w:right="80"/>
        <w:spacing w:after="0" w:line="269"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68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ind w:right="140"/>
        <w:spacing w:after="0" w:line="20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-654685</wp:posOffset>
            </wp:positionH>
            <wp:positionV relativeFrom="paragraph">
              <wp:posOffset>746760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596900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-641985</wp:posOffset>
            </wp:positionH>
            <wp:positionV relativeFrom="paragraph">
              <wp:posOffset>622300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120"/>
          </w:cols>
          <w:pgMar w:left="1340" w:top="1295" w:right="1439" w:bottom="1440" w:gutter="0" w:footer="0" w:header="0"/>
          <w:type w:val="continuous"/>
        </w:sectPr>
      </w:pPr>
    </w:p>
    <w:bookmarkStart w:id="1" w:name="page2"/>
    <w:bookmarkEnd w:id="1"/>
    <w:p>
      <w:pPr>
        <w:spacing w:after="0"/>
        <w:tabs>
          <w:tab w:leader="none" w:pos="100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6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2022 annual meeting of the stockholders (the “Annual Meeting”) of NN, Inc. (the “Company”) was held on May 25, 2022. As of March 31, 2022, the record date for the Annual Meeting, a total of 43,890,305 shares of the Company’s common stock were outstanding and entitled to vote on all matters presented to the Company’s stockholders at the Annual Meeting. At the Annual Meeting, the Company’s stockholders considered the following proposals:</w:t>
      </w:r>
    </w:p>
    <w:p>
      <w:pPr>
        <w:spacing w:after="0" w:line="79" w:lineRule="exact"/>
        <w:rPr>
          <w:sz w:val="20"/>
          <w:szCs w:val="20"/>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nine directors to serve for a term of one year;</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the 2022 Omnibus Incentive Plan;</w:t>
      </w:r>
    </w:p>
    <w:p>
      <w:pPr>
        <w:spacing w:after="0" w:line="117" w:lineRule="exact"/>
        <w:rPr>
          <w:rFonts w:ascii="Arial" w:cs="Arial" w:eastAsia="Arial" w:hAnsi="Arial"/>
          <w:sz w:val="18"/>
          <w:szCs w:val="18"/>
          <w:color w:val="auto"/>
        </w:rPr>
      </w:pPr>
    </w:p>
    <w:p>
      <w:pPr>
        <w:ind w:left="1140" w:hanging="484"/>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the Company’s named executive officers; and</w:t>
      </w:r>
    </w:p>
    <w:p>
      <w:pPr>
        <w:spacing w:after="0" w:line="117" w:lineRule="exact"/>
        <w:rPr>
          <w:rFonts w:ascii="Arial" w:cs="Arial" w:eastAsia="Arial" w:hAnsi="Arial"/>
          <w:sz w:val="18"/>
          <w:szCs w:val="18"/>
          <w:color w:val="auto"/>
        </w:rPr>
      </w:pPr>
    </w:p>
    <w:p>
      <w:pPr>
        <w:ind w:left="1140" w:right="520" w:hanging="484"/>
        <w:spacing w:after="0" w:line="277" w:lineRule="auto"/>
        <w:tabs>
          <w:tab w:leader="none" w:pos="1134"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ratify the selection of Grant Thornton LLP as the Company’s registered independent public accounting firm for the fiscal year ending December 31, 2022.</w:t>
      </w:r>
    </w:p>
    <w:p>
      <w:pPr>
        <w:spacing w:after="0" w:line="6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Nine directors were elected to serve for a term of one year. The results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ind w:left="2320"/>
              <w:spacing w:after="0"/>
              <w:rPr>
                <w:sz w:val="20"/>
                <w:szCs w:val="20"/>
                <w:color w:val="auto"/>
              </w:rPr>
            </w:pPr>
            <w:r>
              <w:rPr>
                <w:rFonts w:ascii="Arial" w:cs="Arial" w:eastAsia="Arial" w:hAnsi="Arial"/>
                <w:sz w:val="18"/>
                <w:szCs w:val="18"/>
                <w:b w:val="1"/>
                <w:bCs w:val="1"/>
                <w:color w:val="auto"/>
              </w:rPr>
              <w:t>Name</w:t>
            </w: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060" w:type="dxa"/>
            <w:vAlign w:val="bottom"/>
            <w:gridSpan w:val="2"/>
          </w:tcPr>
          <w:p>
            <w:pPr>
              <w:ind w:left="580"/>
              <w:spacing w:after="0"/>
              <w:rPr>
                <w:sz w:val="20"/>
                <w:szCs w:val="20"/>
                <w:color w:val="auto"/>
              </w:rPr>
            </w:pPr>
            <w:r>
              <w:rPr>
                <w:rFonts w:ascii="Arial" w:cs="Arial" w:eastAsia="Arial" w:hAnsi="Arial"/>
                <w:sz w:val="18"/>
                <w:szCs w:val="18"/>
                <w:b w:val="1"/>
                <w:bCs w:val="1"/>
                <w:color w:val="auto"/>
              </w:rPr>
              <w:t>Withheld</w:t>
            </w: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Raynard D. Benvenuti</w:t>
            </w:r>
          </w:p>
        </w:tc>
        <w:tc>
          <w:tcPr>
            <w:tcW w:w="20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27,638,529</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656,739</w:t>
            </w:r>
          </w:p>
        </w:tc>
        <w:tc>
          <w:tcPr>
            <w:tcW w:w="2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4,627,361</w:t>
            </w: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Robert E. Brunner</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27,172,490</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1,122,778</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4,627,361</w:t>
            </w:r>
          </w:p>
        </w:tc>
      </w:tr>
      <w:tr>
        <w:trPr>
          <w:trHeight w:val="229"/>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Christina E. Carroll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27,060,687</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1,234,581</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4,627,361</w:t>
            </w: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João Faria</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27,209,622</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1,085,646</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4,627,361</w:t>
            </w: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 Rajeev Gautam</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27,607,824</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687,444</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4,627,361</w:t>
            </w:r>
          </w:p>
        </w:tc>
      </w:tr>
      <w:tr>
        <w:trPr>
          <w:trHeight w:val="229"/>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Jeri J. Harman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27,202,791</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1,092,477</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4,627,361</w:t>
            </w: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Dr. Shihab Kuran</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27,193,260</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1,102,008</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4,627,361</w:t>
            </w:r>
          </w:p>
        </w:tc>
      </w:tr>
      <w:tr>
        <w:trPr>
          <w:trHeight w:val="230"/>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Warren A. Veltman</w:t>
            </w:r>
          </w:p>
        </w:tc>
        <w:tc>
          <w:tcPr>
            <w:tcW w:w="1840" w:type="dxa"/>
            <w:vAlign w:val="bottom"/>
          </w:tcPr>
          <w:p>
            <w:pPr>
              <w:jc w:val="center"/>
              <w:spacing w:after="0"/>
              <w:rPr>
                <w:sz w:val="20"/>
                <w:szCs w:val="20"/>
                <w:color w:val="auto"/>
              </w:rPr>
            </w:pPr>
            <w:r>
              <w:rPr>
                <w:rFonts w:ascii="Arial" w:cs="Arial" w:eastAsia="Arial" w:hAnsi="Arial"/>
                <w:sz w:val="18"/>
                <w:szCs w:val="18"/>
                <w:color w:val="auto"/>
                <w:w w:val="88"/>
              </w:rPr>
              <w:t>27,630,041</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665,227</w:t>
            </w:r>
          </w:p>
        </w:tc>
        <w:tc>
          <w:tcPr>
            <w:tcW w:w="2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4,627,361</w:t>
            </w:r>
          </w:p>
        </w:tc>
      </w:tr>
      <w:tr>
        <w:trPr>
          <w:trHeight w:val="230"/>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Thomas H. Wilson, Jr.</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27,199,552</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1,095,716</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4,627,361</w:t>
            </w: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adoption of the NN, Inc. 2022 Omnibus Incentive Plan was ratified. The results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Against</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27,305,955</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949,298</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40,015</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4,627,361</w:t>
            </w: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right="940" w:firstLine="648"/>
        <w:spacing w:after="0" w:line="271" w:lineRule="auto"/>
        <w:rPr>
          <w:sz w:val="20"/>
          <w:szCs w:val="20"/>
          <w:color w:val="auto"/>
        </w:rPr>
      </w:pPr>
      <w:r>
        <w:rPr>
          <w:rFonts w:ascii="Arial" w:cs="Arial" w:eastAsia="Arial" w:hAnsi="Arial"/>
          <w:sz w:val="18"/>
          <w:szCs w:val="18"/>
          <w:color w:val="auto"/>
        </w:rPr>
        <w:t>The advisory (non-binding) vote on the executive compensation of the Company’s named executive officers was in favor of executive compensation.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Against</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22,100,297</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5,655,860</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539,111</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4,627,361</w:t>
            </w: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p>
    <w:p>
      <w:pPr>
        <w:spacing w:after="0" w:line="117" w:lineRule="exact"/>
        <w:rPr>
          <w:sz w:val="20"/>
          <w:szCs w:val="20"/>
          <w:color w:val="auto"/>
        </w:rPr>
      </w:pPr>
    </w:p>
    <w:p>
      <w:pPr>
        <w:ind w:right="480" w:firstLine="648"/>
        <w:spacing w:after="0" w:line="271" w:lineRule="auto"/>
        <w:rPr>
          <w:sz w:val="20"/>
          <w:szCs w:val="20"/>
          <w:color w:val="auto"/>
        </w:rPr>
      </w:pPr>
      <w:r>
        <w:rPr>
          <w:rFonts w:ascii="Arial" w:cs="Arial" w:eastAsia="Arial" w:hAnsi="Arial"/>
          <w:sz w:val="18"/>
          <w:szCs w:val="18"/>
          <w:color w:val="auto"/>
        </w:rPr>
        <w:t>The Audit Committee’s selection of Grant Thornton LLP as the Company’s registered independent public accounting firm for the fiscal year ending December 31, 2022 was ratified. The results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860" w:type="dxa"/>
            <w:vAlign w:val="bottom"/>
            <w:gridSpan w:val="2"/>
          </w:tcPr>
          <w:p>
            <w:pPr>
              <w:ind w:left="1040"/>
              <w:spacing w:after="0"/>
              <w:rPr>
                <w:sz w:val="20"/>
                <w:szCs w:val="20"/>
                <w:color w:val="auto"/>
              </w:rPr>
            </w:pPr>
            <w:r>
              <w:rPr>
                <w:rFonts w:ascii="Arial" w:cs="Arial" w:eastAsia="Arial" w:hAnsi="Arial"/>
                <w:sz w:val="18"/>
                <w:szCs w:val="18"/>
                <w:b w:val="1"/>
                <w:bCs w:val="1"/>
                <w:color w:val="auto"/>
              </w:rPr>
              <w:t>Against</w:t>
            </w:r>
          </w:p>
        </w:tc>
        <w:tc>
          <w:tcPr>
            <w:tcW w:w="2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Abstentions</w:t>
            </w:r>
          </w:p>
        </w:tc>
        <w:tc>
          <w:tcPr>
            <w:tcW w:w="270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23"/>
        </w:trPr>
        <w:tc>
          <w:tcPr>
            <w:tcW w:w="26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rPr>
              <w:t>32,483,574</w:t>
            </w:r>
          </w:p>
        </w:tc>
        <w:tc>
          <w:tcPr>
            <w:tcW w:w="20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253,395</w:t>
            </w:r>
          </w:p>
        </w:tc>
        <w:tc>
          <w:tcPr>
            <w:tcW w:w="2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rPr>
              <w:t>185,660</w:t>
            </w:r>
          </w:p>
        </w:tc>
        <w:tc>
          <w:tcPr>
            <w:tcW w:w="200" w:type="dxa"/>
            <w:vAlign w:val="bottom"/>
            <w:tcBorders>
              <w:top w:val="single" w:sz="8" w:color="CCEEFF"/>
            </w:tcBorders>
            <w:shd w:val="clear" w:color="auto" w:fill="CCEEFF"/>
          </w:tcPr>
          <w:p>
            <w:pPr>
              <w:spacing w:after="0"/>
              <w:rPr>
                <w:sz w:val="19"/>
                <w:szCs w:val="19"/>
                <w:color w:val="auto"/>
              </w:rPr>
            </w:pPr>
          </w:p>
        </w:tc>
        <w:tc>
          <w:tcPr>
            <w:tcW w:w="2700" w:type="dxa"/>
            <w:vAlign w:val="bottom"/>
            <w:tcBorders>
              <w:top w:val="single" w:sz="8" w:color="auto"/>
            </w:tcBorders>
            <w:shd w:val="clear" w:color="auto" w:fill="CCEEFF"/>
          </w:tcPr>
          <w:p>
            <w:pPr>
              <w:jc w:val="right"/>
              <w:ind w:right="1210"/>
              <w:spacing w:after="0"/>
              <w:rPr>
                <w:sz w:val="20"/>
                <w:szCs w:val="20"/>
                <w:color w:val="auto"/>
              </w:rPr>
            </w:pPr>
            <w:r>
              <w:rPr>
                <w:rFonts w:ascii="Arial" w:cs="Arial" w:eastAsia="Arial" w:hAnsi="Arial"/>
                <w:sz w:val="18"/>
                <w:szCs w:val="18"/>
                <w:color w:val="auto"/>
              </w:rPr>
              <w:t>0</w:t>
            </w:r>
          </w:p>
        </w:tc>
      </w:tr>
      <w:tr>
        <w:trPr>
          <w:trHeight w:val="1222"/>
        </w:trPr>
        <w:tc>
          <w:tcPr>
            <w:tcW w:w="2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spacing w:after="0"/>
        <w:tabs>
          <w:tab w:leader="none" w:pos="1000" w:val="left"/>
        </w:tabs>
        <w:rPr>
          <w:sz w:val="20"/>
          <w:szCs w:val="20"/>
          <w:color w:val="auto"/>
        </w:rPr>
      </w:pPr>
      <w:r>
        <w:rPr>
          <w:rFonts w:ascii="Arial" w:cs="Arial" w:eastAsia="Arial" w:hAnsi="Arial"/>
          <w:sz w:val="18"/>
          <w:szCs w:val="18"/>
          <w:b w:val="1"/>
          <w:bCs w:val="1"/>
          <w:color w:val="auto"/>
        </w:rPr>
        <w:t>ITEM 9.01</w:t>
        <w:tab/>
        <w:t>FINANCIAL STATEMENTS AND EXHIBITS</w:t>
      </w:r>
    </w:p>
    <w:p>
      <w:pPr>
        <w:spacing w:after="0" w:line="67" w:lineRule="exact"/>
        <w:rPr>
          <w:sz w:val="20"/>
          <w:szCs w:val="20"/>
          <w:color w:val="auto"/>
        </w:rPr>
      </w:pPr>
    </w:p>
    <w:p>
      <w:pPr>
        <w:ind w:left="440" w:hanging="387"/>
        <w:spacing w:after="0"/>
        <w:tabs>
          <w:tab w:leader="none" w:pos="4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4"/>
              </w:rPr>
              <w:t>Exhibit</w:t>
            </w:r>
          </w:p>
        </w:tc>
        <w:tc>
          <w:tcPr>
            <w:tcW w:w="10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15"/>
        </w:trPr>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95"/>
              </w:rPr>
              <w:t>No.</w:t>
            </w:r>
          </w:p>
        </w:tc>
        <w:tc>
          <w:tcPr>
            <w:tcW w:w="360" w:type="dxa"/>
            <w:vAlign w:val="bottom"/>
          </w:tcPr>
          <w:p>
            <w:pPr>
              <w:spacing w:after="0"/>
              <w:rPr>
                <w:sz w:val="10"/>
                <w:szCs w:val="10"/>
                <w:color w:val="auto"/>
              </w:rPr>
            </w:pPr>
          </w:p>
        </w:tc>
        <w:tc>
          <w:tcPr>
            <w:tcW w:w="103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gridSpan w:val="4"/>
          </w:tcPr>
          <w:p>
            <w:pPr>
              <w:jc w:val="right"/>
              <w:ind w:right="6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0300" w:type="dxa"/>
            <w:vAlign w:val="bottom"/>
            <w:gridSpan w:val="3"/>
          </w:tcPr>
          <w:p>
            <w:pPr>
              <w:spacing w:after="0"/>
              <w:rPr>
                <w:rFonts w:ascii="Arial" w:cs="Arial" w:eastAsia="Arial" w:hAnsi="Arial"/>
                <w:sz w:val="18"/>
                <w:szCs w:val="18"/>
                <w:color w:val="0000FF"/>
                <w:w w:val="92"/>
              </w:rPr>
            </w:pPr>
            <w:hyperlink r:id="rId21">
              <w:r>
                <w:rPr>
                  <w:rFonts w:ascii="Arial" w:cs="Arial" w:eastAsia="Arial" w:hAnsi="Arial"/>
                  <w:sz w:val="18"/>
                  <w:szCs w:val="18"/>
                  <w:color w:val="0000FF"/>
                  <w:w w:val="92"/>
                </w:rPr>
                <w:t xml:space="preserve">NN, Inc. 2022 Omnibus Incentive Plan </w:t>
              </w:r>
            </w:hyperlink>
            <w:r>
              <w:rPr>
                <w:rFonts w:ascii="Arial" w:cs="Arial" w:eastAsia="Arial" w:hAnsi="Arial"/>
                <w:sz w:val="18"/>
                <w:szCs w:val="18"/>
                <w:color w:val="000000"/>
                <w:w w:val="92"/>
              </w:rPr>
              <w:t>(incorporated</w:t>
            </w:r>
            <w:r>
              <w:rPr>
                <w:rFonts w:ascii="Arial" w:cs="Arial" w:eastAsia="Arial" w:hAnsi="Arial"/>
                <w:sz w:val="18"/>
                <w:szCs w:val="18"/>
                <w:color w:val="0000FF"/>
                <w:w w:val="92"/>
              </w:rPr>
              <w:t xml:space="preserve"> </w:t>
            </w:r>
            <w:r>
              <w:rPr>
                <w:rFonts w:ascii="Arial" w:cs="Arial" w:eastAsia="Arial" w:hAnsi="Arial"/>
                <w:sz w:val="18"/>
                <w:szCs w:val="18"/>
                <w:color w:val="000000"/>
                <w:w w:val="92"/>
              </w:rPr>
              <w:t>by reference to Appendix A to the Company’s Definitive Proxy Statement on Schedule</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0" w:type="dxa"/>
            <w:vAlign w:val="bottom"/>
            <w:gridSpan w:val="2"/>
            <w:shd w:val="clear" w:color="auto" w:fill="0000FF"/>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00" w:type="dxa"/>
            <w:vAlign w:val="bottom"/>
            <w:gridSpan w:val="3"/>
          </w:tcPr>
          <w:p>
            <w:pPr>
              <w:spacing w:after="0"/>
              <w:rPr>
                <w:sz w:val="20"/>
                <w:szCs w:val="20"/>
                <w:color w:val="auto"/>
              </w:rPr>
            </w:pPr>
            <w:r>
              <w:rPr>
                <w:rFonts w:ascii="Arial" w:cs="Arial" w:eastAsia="Arial" w:hAnsi="Arial"/>
                <w:sz w:val="18"/>
                <w:szCs w:val="18"/>
                <w:color w:val="auto"/>
              </w:rPr>
              <w:t>14A filed with the Securities and Exchange Commission on April 15, 2022).</w:t>
            </w:r>
          </w:p>
        </w:tc>
        <w:tc>
          <w:tcPr>
            <w:tcW w:w="0" w:type="dxa"/>
            <w:vAlign w:val="bottom"/>
          </w:tcPr>
          <w:p>
            <w:pPr>
              <w:spacing w:after="0"/>
              <w:rPr>
                <w:sz w:val="1"/>
                <w:szCs w:val="1"/>
                <w:color w:val="auto"/>
              </w:rPr>
            </w:pPr>
          </w:p>
        </w:tc>
      </w:tr>
      <w:tr>
        <w:trPr>
          <w:trHeight w:val="230"/>
        </w:trPr>
        <w:tc>
          <w:tcPr>
            <w:tcW w:w="580" w:type="dxa"/>
            <w:vAlign w:val="bottom"/>
            <w:gridSpan w:val="4"/>
          </w:tcPr>
          <w:p>
            <w:pPr>
              <w:jc w:val="right"/>
              <w:ind w:right="80"/>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20"/>
                <w:szCs w:val="20"/>
                <w:color w:val="auto"/>
              </w:rPr>
            </w:pPr>
          </w:p>
        </w:tc>
        <w:tc>
          <w:tcPr>
            <w:tcW w:w="1030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694"/>
        </w:trPr>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13" w:lineRule="exact"/>
        <w:rPr>
          <w:sz w:val="20"/>
          <w:szCs w:val="20"/>
          <w:color w:val="auto"/>
        </w:rPr>
      </w:pPr>
    </w:p>
    <w:p>
      <w:pPr>
        <w:ind w:right="440" w:firstLine="445"/>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Date:</w:t>
        <w:tab/>
        <w:t>May 26, 2022</w:t>
      </w:r>
    </w:p>
    <w:p>
      <w:pPr>
        <w:spacing w:after="0" w:line="200" w:lineRule="exact"/>
        <w:rPr>
          <w:sz w:val="20"/>
          <w:szCs w:val="20"/>
          <w:color w:val="auto"/>
        </w:rPr>
      </w:pPr>
    </w:p>
    <w:p>
      <w:pPr>
        <w:spacing w:after="0" w:line="264" w:lineRule="exact"/>
        <w:rPr>
          <w:sz w:val="20"/>
          <w:szCs w:val="20"/>
          <w:color w:val="auto"/>
        </w:rPr>
      </w:pPr>
    </w:p>
    <w:tbl>
      <w:tblPr>
        <w:tblLayout w:type="fixed"/>
        <w:tblInd w:w="440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Arial" w:cs="Arial" w:eastAsia="Arial" w:hAnsi="Arial"/>
                <w:sz w:val="18"/>
                <w:szCs w:val="18"/>
                <w:b w:val="1"/>
                <w:bCs w:val="1"/>
                <w:color w:val="auto"/>
              </w:rPr>
              <w:t>NN, INC.</w:t>
            </w:r>
          </w:p>
        </w:tc>
        <w:tc>
          <w:tcPr>
            <w:tcW w:w="3920" w:type="dxa"/>
            <w:vAlign w:val="bottom"/>
          </w:tcPr>
          <w:p>
            <w:pPr>
              <w:spacing w:after="0"/>
              <w:rPr>
                <w:sz w:val="20"/>
                <w:szCs w:val="20"/>
                <w:color w:val="auto"/>
              </w:rPr>
            </w:pPr>
          </w:p>
        </w:tc>
      </w:tr>
      <w:tr>
        <w:trPr>
          <w:trHeight w:val="527"/>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S. Heiter</w:t>
            </w:r>
          </w:p>
        </w:tc>
      </w:tr>
      <w:tr>
        <w:trPr>
          <w:trHeight w:val="236"/>
        </w:trPr>
        <w:tc>
          <w:tcPr>
            <w:tcW w:w="90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ind w:left="20"/>
              <w:spacing w:after="0"/>
              <w:rPr>
                <w:sz w:val="20"/>
                <w:szCs w:val="20"/>
                <w:color w:val="auto"/>
              </w:rPr>
            </w:pPr>
            <w:r>
              <w:rPr>
                <w:rFonts w:ascii="Arial" w:cs="Arial" w:eastAsia="Arial" w:hAnsi="Arial"/>
                <w:sz w:val="18"/>
                <w:szCs w:val="18"/>
                <w:color w:val="auto"/>
              </w:rPr>
              <w:t>Matthew S. Heiter</w:t>
            </w:r>
          </w:p>
        </w:tc>
      </w:tr>
      <w:tr>
        <w:trPr>
          <w:trHeight w:val="257"/>
        </w:trPr>
        <w:tc>
          <w:tcPr>
            <w:tcW w:w="90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ind w:left="20"/>
              <w:spacing w:after="0"/>
              <w:rPr>
                <w:sz w:val="20"/>
                <w:szCs w:val="20"/>
                <w:color w:val="auto"/>
              </w:rPr>
            </w:pPr>
            <w:r>
              <w:rPr>
                <w:rFonts w:ascii="Arial" w:cs="Arial" w:eastAsia="Arial" w:hAnsi="Arial"/>
                <w:sz w:val="18"/>
                <w:szCs w:val="18"/>
                <w:color w:val="auto"/>
              </w:rPr>
              <w:t>Senior Vice President, General Counsel</w:t>
            </w:r>
          </w:p>
        </w:tc>
      </w:tr>
    </w:tbl>
    <w:p>
      <w:pPr>
        <w:spacing w:after="0" w:line="1" w:lineRule="exact"/>
        <w:rPr>
          <w:sz w:val="20"/>
          <w:szCs w:val="20"/>
          <w:color w:val="auto"/>
        </w:rPr>
      </w:pPr>
    </w:p>
    <w:sectPr>
      <w:pgSz w:w="11900" w:h="16838" w:orient="portrait"/>
      <w:cols w:equalWidth="0" w:num="1">
        <w:col w:w="9220"/>
      </w:cols>
      <w:pgMar w:left="1340" w:top="891" w:right="1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1" Type="http://schemas.openxmlformats.org/officeDocument/2006/relationships/hyperlink" Target="http://www.sec.gov/Archives/edgar/data/918541/000091854122000072/proxystatement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2022-05-26T16:47:36Z</dcterms:created>
  <dcterms:modified xsi:type="dcterms:W3CDTF">2022-05-26T16:47:36Z</dcterms:modified>
</cp:coreProperties>
</file>