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CURRENT REPORT</w:t>
      </w:r>
    </w:p>
    <w:p>
      <w:pPr>
        <w:spacing w:after="0" w:line="396"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PURSUANT TO SECTION 13 OR 15(d) OF THE SECURITIES EXCHANGE ACT OF 1934</w:t>
      </w:r>
    </w:p>
    <w:p>
      <w:pPr>
        <w:spacing w:after="0" w:line="396"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Date of Report (Date of earliest event reported): July 28, 2005</w:t>
      </w:r>
    </w:p>
    <w:p>
      <w:pPr>
        <w:spacing w:after="0" w:line="4" w:lineRule="exact"/>
        <w:rPr>
          <w:sz w:val="24"/>
          <w:szCs w:val="24"/>
          <w:color w:val="auto"/>
        </w:rPr>
      </w:pPr>
    </w:p>
    <w:p>
      <w:pPr>
        <w:ind w:left="582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NN, INC.</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Charter)</w:t>
      </w:r>
    </w:p>
    <w:p>
      <w:pPr>
        <w:spacing w:after="0" w:line="396" w:lineRule="exact"/>
        <w:rPr>
          <w:sz w:val="24"/>
          <w:szCs w:val="24"/>
          <w:color w:val="auto"/>
        </w:rPr>
      </w:pPr>
    </w:p>
    <w:tbl>
      <w:tblPr>
        <w:tblLayout w:type="fixed"/>
        <w:tblInd w:w="620" w:type="dxa"/>
        <w:tblCellMar>
          <w:top w:w="0" w:type="dxa"/>
          <w:left w:w="0" w:type="dxa"/>
          <w:bottom w:w="0" w:type="dxa"/>
          <w:right w:w="0" w:type="dxa"/>
        </w:tblCellMar>
      </w:tblPr>
      <w:tr>
        <w:trPr>
          <w:trHeight w:val="193"/>
        </w:trPr>
        <w:tc>
          <w:tcPr>
            <w:tcW w:w="220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94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0-23486</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62-1096725</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9" w:lineRule="exact"/>
        <w:rPr>
          <w:sz w:val="24"/>
          <w:szCs w:val="24"/>
          <w:color w:val="auto"/>
        </w:rPr>
      </w:pPr>
    </w:p>
    <w:p>
      <w:pPr>
        <w:ind w:left="320" w:right="2059" w:hanging="305"/>
        <w:spacing w:after="0" w:line="243" w:lineRule="auto"/>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 xml:space="preserve"> </w:t>
      </w:r>
      <w:r>
        <w:rPr>
          <w:rFonts w:ascii="Courier New" w:cs="Courier New" w:eastAsia="Courier New" w:hAnsi="Courier New"/>
          <w:sz w:val="17"/>
          <w:szCs w:val="17"/>
          <w:color w:val="auto"/>
        </w:rPr>
        <w:t>(Commission (I.R.S. Employer Incorporation or Organization) File Number) Identification Number)</w:t>
      </w:r>
    </w:p>
    <w:p>
      <w:pPr>
        <w:spacing w:after="0" w:line="198"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2000 Waters Edge Drive, Johnson City, Tennessee 37604</w:t>
      </w:r>
    </w:p>
    <w:p>
      <w:pPr>
        <w:spacing w:after="0" w:line="4"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Executive Offices) (Zip Code)</w:t>
      </w:r>
    </w:p>
    <w:p>
      <w:pPr>
        <w:sectPr>
          <w:pgSz w:w="11900" w:h="16838" w:orient="portrait"/>
          <w:cols w:equalWidth="0" w:num="1">
            <w:col w:w="10219"/>
          </w:cols>
          <w:pgMar w:left="240" w:top="245" w:right="1440" w:bottom="558"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(423) 743-9151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00" w:space="420"/>
            <w:col w:w="4599"/>
          </w:cols>
          <w:pgMar w:left="240" w:top="245" w:right="1440" w:bottom="558" w:gutter="0" w:footer="0" w:header="0"/>
          <w:type w:val="continuous"/>
        </w:sectPr>
      </w:pPr>
    </w:p>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Not Applicable</w:t>
      </w:r>
    </w:p>
    <w:p>
      <w:pPr>
        <w:spacing w:after="0" w:line="4" w:lineRule="exact"/>
        <w:rPr>
          <w:sz w:val="24"/>
          <w:szCs w:val="24"/>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(Former Name or Former Address, if Changed Since Last Report)</w:t>
      </w:r>
    </w:p>
    <w:p>
      <w:pPr>
        <w:spacing w:after="0" w:line="200" w:lineRule="exact"/>
        <w:rPr>
          <w:sz w:val="24"/>
          <w:szCs w:val="24"/>
          <w:color w:val="auto"/>
        </w:rPr>
      </w:pPr>
    </w:p>
    <w:p>
      <w:pPr>
        <w:spacing w:after="0" w:line="393" w:lineRule="exact"/>
        <w:rPr>
          <w:sz w:val="24"/>
          <w:szCs w:val="24"/>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520" w:right="2059" w:hanging="515"/>
        <w:spacing w:after="0" w:line="243" w:lineRule="auto"/>
        <w:tabs>
          <w:tab w:leader="none" w:pos="2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Written communications pursuant to Rule 425 under the Securities Act (17 CFR 230.425)</w:t>
      </w:r>
    </w:p>
    <w:p>
      <w:pPr>
        <w:spacing w:after="0" w:line="199" w:lineRule="exact"/>
        <w:rPr>
          <w:sz w:val="24"/>
          <w:szCs w:val="24"/>
          <w:color w:val="auto"/>
        </w:rPr>
      </w:pPr>
    </w:p>
    <w:p>
      <w:pPr>
        <w:ind w:left="520" w:right="2059" w:hanging="509"/>
        <w:spacing w:after="0" w:line="243" w:lineRule="auto"/>
        <w:tabs>
          <w:tab w:leader="none" w:pos="500" w:val="left"/>
        </w:tabs>
        <w:rPr>
          <w:sz w:val="20"/>
          <w:szCs w:val="20"/>
          <w:color w:val="auto"/>
        </w:rPr>
      </w:pPr>
      <w:r>
        <w:rPr>
          <w:rFonts w:ascii="Courier New" w:cs="Courier New" w:eastAsia="Courier New" w:hAnsi="Courier New"/>
          <w:sz w:val="17"/>
          <w:szCs w:val="17"/>
          <w:color w:val="auto"/>
        </w:rPr>
        <w:t>[ ]</w:t>
        <w:tab/>
        <w:t>Soliciting material pursuant to Rule 14a-12 under the Exchange Act (17 CFR 240.14a-12)</w:t>
      </w:r>
    </w:p>
    <w:p>
      <w:pPr>
        <w:spacing w:after="0" w:line="199" w:lineRule="exact"/>
        <w:rPr>
          <w:sz w:val="24"/>
          <w:szCs w:val="24"/>
          <w:color w:val="auto"/>
        </w:rPr>
      </w:pPr>
    </w:p>
    <w:p>
      <w:pPr>
        <w:ind w:left="520" w:right="2059" w:hanging="515"/>
        <w:spacing w:after="0" w:line="243" w:lineRule="auto"/>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14d-2(b) under the Exchange Act (17 CFR 240.14d-2(b))</w:t>
      </w:r>
    </w:p>
    <w:p>
      <w:pPr>
        <w:spacing w:after="0" w:line="199" w:lineRule="exact"/>
        <w:rPr>
          <w:sz w:val="24"/>
          <w:szCs w:val="24"/>
          <w:color w:val="auto"/>
        </w:rPr>
      </w:pPr>
    </w:p>
    <w:p>
      <w:pPr>
        <w:ind w:left="520" w:right="2059" w:hanging="515"/>
        <w:spacing w:after="0" w:line="243" w:lineRule="auto"/>
        <w:tabs>
          <w:tab w:leader="none" w:pos="2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2.02. Results of Operations and Financial Condition</w:t>
      </w:r>
    </w:p>
    <w:p>
      <w:pPr>
        <w:spacing w:after="0" w:line="201" w:lineRule="exact"/>
        <w:rPr>
          <w:sz w:val="24"/>
          <w:szCs w:val="24"/>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Furnished as Exhibit 99.1 is a copy of the earnings release of NN, Inc. reporting results for the second quarter of 2005, which was issued on July 28, 2005.</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9.01. Financial Statements and Exhibits</w:t>
      </w:r>
    </w:p>
    <w:p>
      <w:pPr>
        <w:spacing w:after="0" w:line="20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(c) Exhibits.</w:t>
      </w:r>
    </w:p>
    <w:p>
      <w:pPr>
        <w:spacing w:after="0" w:line="201" w:lineRule="exact"/>
        <w:rPr>
          <w:sz w:val="24"/>
          <w:szCs w:val="24"/>
          <w:color w:val="auto"/>
        </w:rPr>
      </w:pPr>
    </w:p>
    <w:p>
      <w:pPr>
        <w:jc w:val="both"/>
        <w:ind w:right="2059" w:firstLine="510"/>
        <w:spacing w:after="0" w:line="264" w:lineRule="auto"/>
        <w:rPr>
          <w:sz w:val="20"/>
          <w:szCs w:val="20"/>
          <w:color w:val="auto"/>
        </w:rPr>
      </w:pPr>
      <w:r>
        <w:rPr>
          <w:rFonts w:ascii="Courier New" w:cs="Courier New" w:eastAsia="Courier New" w:hAnsi="Courier New"/>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245" w:right="1440" w:bottom="558" w:gutter="0" w:footer="0" w:header="0"/>
          <w:type w:val="continuous"/>
        </w:sectPr>
      </w:pPr>
    </w:p>
    <w:p>
      <w:pPr>
        <w:spacing w:after="0" w:line="20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Number</w:t>
      </w:r>
    </w:p>
    <w:p>
      <w:pPr>
        <w:spacing w:after="0" w:line="4"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Press Release of NN, Inc. dated July 28, 2005</w:t>
      </w:r>
    </w:p>
    <w:p>
      <w:pPr>
        <w:sectPr>
          <w:pgSz w:w="11900" w:h="16838" w:orient="portrait"/>
          <w:cols w:equalWidth="0" w:num="2">
            <w:col w:w="1540" w:space="300"/>
            <w:col w:w="8379"/>
          </w:cols>
          <w:pgMar w:left="240" w:top="245" w:right="1440" w:bottom="558"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NN, Inc.</w:t>
      </w:r>
    </w:p>
    <w:p>
      <w:pPr>
        <w:sectPr>
          <w:pgSz w:w="11900" w:h="16838" w:orient="portrait"/>
          <w:cols w:equalWidth="0" w:num="1">
            <w:col w:w="10219"/>
          </w:cols>
          <w:pgMar w:left="240" w:top="899"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28, 2005</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059" w:firstLine="102"/>
        <w:spacing w:after="0" w:line="244" w:lineRule="auto"/>
        <w:rPr>
          <w:sz w:val="20"/>
          <w:szCs w:val="20"/>
          <w:color w:val="auto"/>
        </w:rPr>
      </w:pPr>
      <w:r>
        <w:rPr>
          <w:rFonts w:ascii="Courier New" w:cs="Courier New" w:eastAsia="Courier New" w:hAnsi="Courier New"/>
          <w:sz w:val="17"/>
          <w:szCs w:val="17"/>
          <w:color w:val="auto"/>
        </w:rPr>
        <w:t>/s/ William C. Kelly, Jr. ------------------------------------------ William C. Kelly, Jr. Secretary, Treasurer and Chief Administrative Officer</w:t>
      </w:r>
    </w:p>
    <w:p>
      <w:pPr>
        <w:sectPr>
          <w:pgSz w:w="11900" w:h="16838" w:orient="portrait"/>
          <w:cols w:equalWidth="0" w:num="4">
            <w:col w:w="620" w:space="300"/>
            <w:col w:w="1840" w:space="720"/>
            <w:col w:w="300" w:space="100"/>
            <w:col w:w="6339"/>
          </w:cols>
          <w:pgMar w:left="240" w:top="899" w:right="1440" w:bottom="1440" w:gutter="0" w:footer="0" w:header="0"/>
          <w:type w:val="continuous"/>
        </w:sectPr>
      </w:pPr>
    </w:p>
    <w:bookmarkStart w:id="2" w:name="page3"/>
    <w:bookmarkEnd w:id="2"/>
    <w:p>
      <w:pPr>
        <w:ind w:left="6940"/>
        <w:spacing w:after="0"/>
        <w:rPr>
          <w:sz w:val="20"/>
          <w:szCs w:val="20"/>
          <w:color w:val="auto"/>
        </w:rPr>
      </w:pPr>
      <w:r>
        <w:rPr>
          <w:rFonts w:ascii="Courier New" w:cs="Courier New" w:eastAsia="Courier New" w:hAnsi="Courier New"/>
          <w:sz w:val="16"/>
          <w:szCs w:val="16"/>
          <w:color w:val="auto"/>
        </w:rPr>
        <w:t>EXHIBIT 99.1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 BOARD</w:t>
      </w:r>
    </w:p>
    <w:p>
      <w:pPr>
        <w:spacing w:after="0" w:line="200" w:lineRule="exact"/>
        <w:rPr>
          <w:sz w:val="20"/>
          <w:szCs w:val="20"/>
          <w:color w:val="auto"/>
        </w:rPr>
      </w:pPr>
    </w:p>
    <w:p>
      <w:pPr>
        <w:ind w:left="5820"/>
        <w:spacing w:after="0"/>
        <w:rPr>
          <w:sz w:val="20"/>
          <w:szCs w:val="20"/>
          <w:color w:val="auto"/>
        </w:rPr>
      </w:pPr>
      <w:r>
        <w:rPr>
          <w:rFonts w:ascii="Courier New" w:cs="Courier New" w:eastAsia="Courier New" w:hAnsi="Courier New"/>
          <w:sz w:val="17"/>
          <w:szCs w:val="17"/>
          <w:color w:val="auto"/>
        </w:rPr>
        <w:t>RE: NN, Inc.</w:t>
      </w:r>
    </w:p>
    <w:p>
      <w:pPr>
        <w:spacing w:after="0" w:line="4" w:lineRule="exact"/>
        <w:rPr>
          <w:sz w:val="20"/>
          <w:szCs w:val="20"/>
          <w:color w:val="auto"/>
        </w:rPr>
      </w:pPr>
    </w:p>
    <w:p>
      <w:pPr>
        <w:ind w:left="5820"/>
        <w:spacing w:after="0"/>
        <w:rPr>
          <w:sz w:val="20"/>
          <w:szCs w:val="20"/>
          <w:color w:val="auto"/>
        </w:rPr>
      </w:pPr>
      <w:r>
        <w:rPr>
          <w:rFonts w:ascii="Courier New" w:cs="Courier New" w:eastAsia="Courier New" w:hAnsi="Courier New"/>
          <w:sz w:val="17"/>
          <w:szCs w:val="17"/>
          <w:color w:val="auto"/>
        </w:rPr>
        <w:t>2000 Waters Edge Drive</w:t>
      </w:r>
    </w:p>
    <w:p>
      <w:pPr>
        <w:spacing w:after="0" w:line="4" w:lineRule="exact"/>
        <w:rPr>
          <w:sz w:val="20"/>
          <w:szCs w:val="20"/>
          <w:color w:val="auto"/>
        </w:rPr>
      </w:pPr>
    </w:p>
    <w:p>
      <w:pPr>
        <w:ind w:left="5820"/>
        <w:spacing w:after="0"/>
        <w:tabs>
          <w:tab w:leader="none" w:pos="7640" w:val="left"/>
        </w:tabs>
        <w:rPr>
          <w:sz w:val="20"/>
          <w:szCs w:val="20"/>
          <w:color w:val="auto"/>
        </w:rPr>
      </w:pPr>
      <w:r>
        <w:rPr>
          <w:rFonts w:ascii="Courier New" w:cs="Courier New" w:eastAsia="Courier New" w:hAnsi="Courier New"/>
          <w:sz w:val="17"/>
          <w:szCs w:val="17"/>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FURTHER INFORMATION: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Kelly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and Chief Administrative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839" w:firstLine="204"/>
        <w:spacing w:after="0" w:line="244" w:lineRule="auto"/>
        <w:rPr>
          <w:sz w:val="20"/>
          <w:szCs w:val="20"/>
          <w:color w:val="auto"/>
        </w:rPr>
      </w:pPr>
      <w:r>
        <w:rPr>
          <w:rFonts w:ascii="Courier New" w:cs="Courier New" w:eastAsia="Courier New" w:hAnsi="Courier New"/>
          <w:sz w:val="17"/>
          <w:szCs w:val="17"/>
          <w:color w:val="auto"/>
        </w:rPr>
        <w:t>AT FINANCIAL RELATIONS BOARD ---------------------------- Marilynn Meek Susan Garland (General info) (Analyst info) 212-827-3773 212-827-3775</w:t>
      </w:r>
    </w:p>
    <w:p>
      <w:pPr>
        <w:spacing w:after="0" w:line="197" w:lineRule="exact"/>
        <w:rPr>
          <w:sz w:val="20"/>
          <w:szCs w:val="20"/>
          <w:color w:val="auto"/>
        </w:rPr>
      </w:pPr>
    </w:p>
    <w:p>
      <w:pPr>
        <w:sectPr>
          <w:pgSz w:w="11900" w:h="16838" w:orient="portrait"/>
          <w:cols w:equalWidth="0" w:num="2">
            <w:col w:w="4800" w:space="300"/>
            <w:col w:w="51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July 28, 2005</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NN, INC. REPORTS SECOND QUARTER 2005 RESULTS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Revenues Up 12%, Earnings Per Share Up 75%</w:t>
      </w:r>
    </w:p>
    <w:p>
      <w:pPr>
        <w:spacing w:after="0" w:line="201"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Johnson City, Tenn, July 28, 2005 - NN, Inc. (Nasdaq: NNBR) today reported its financial results for the second quarter ended June 30, 2005. Net sales for the second quarter of 2005 rose 11.8% to $84.2 million from $75.3 million for the same period of 2004. Net income for the second quarter of 2005 totaled $3.6 million, or $0.21 per diluted share, compared to $2.0 million, or $0.12 per diluted share for the second quarter of 2004, an increase of 80.0% and 75.0% respectively.</w:t>
      </w:r>
    </w:p>
    <w:p>
      <w:pPr>
        <w:spacing w:after="0" w:line="199"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Net sales for the first half of 2005 were $170.9 million, up 11.8%, compared to $152.9 million for the same period of 2004. Net income for the first half of 2005 totaled $7.6 million, or $0.44 per diluted share, compared to $5.2 million, or $0.30 per diluted share for the same period of 2004, an increase of 46.2% and 46.7% respectively.</w:t>
      </w:r>
    </w:p>
    <w:p>
      <w:pPr>
        <w:spacing w:after="0" w:line="198"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James H. Dorton, Vice President and Chief Financial Officer, commented, "Of the total revenue increase of $18.0 million in the first half of 2005 as compared to the same period in 2004, volume improvements and new program share gains accounted for $7.8 million, the impact of currency translation accounted for $5.1 million and price increases associated with raw material pass through accounted for the remaining $5.1 million. Our 2005 second quarter revenues reflect slightly improving demand in both the North American and European automotive sectors and continuing year-to-date strong industrial demand in both markets.</w:t>
      </w:r>
    </w:p>
    <w:p>
      <w:pPr>
        <w:spacing w:after="0" w:line="200"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"As a percentage of net sales, 2005 second quarter cost of products sold was 78.4%. These margins, though essentially flat with the second quarter of 2004 level of 78.3%, were negatively impacted by increased resin prices at our Industrial Molding facility. Year-to-date cost of products sold was 78.2% which continued to show improvement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over 2004 full year margins of 79.1%. This improvement was a direct result of the cost reduction efforts generated by our Level 3 initiative.</w:t>
      </w:r>
    </w:p>
    <w:p>
      <w:pPr>
        <w:spacing w:after="0" w:line="199"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"Selling, general and administrative expenses of $7.3 million, or 8.7% of net sales for the second quarter of 2005 decreased $744,000 from $8.0 million, or 10.6% of net sales for the second quarter of 2004. The decrease was primarily due to lower Sarbanes-Oxley compliance costs as compared to the prior year. Selling, general and administrative expenses for the first half of 2005 remained on plan at 8.7% of net sales as compared to 9.9% of net sales for the same period in 2004.</w:t>
      </w:r>
    </w:p>
    <w:p>
      <w:pPr>
        <w:spacing w:after="0" w:line="199"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Mr. Dorton concluded, "Debt minus cash remained relatively unchanged from the beginning of the year. Although traditionally our working capital needs are higher for the first half of the year, we are currently running behind our previously announced debt reduction goal of $12.0 million to $13.0 million for the full year of 2005. We remain committed to this goal and will take measures in the second half of the year to aggressively manage our working capital needs and reassess our capital expenditure plans."</w:t>
      </w:r>
    </w:p>
    <w:p>
      <w:pPr>
        <w:spacing w:after="0" w:line="199"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Roderick R. Baty, Chairman and Chief Executive Officer, commented, "We continue to be pleased with the start-up investments we have made in Slovakia and China, as well as certain strategic initiatives which have positioned the Company well for improving financial performance for the remainder of 2005 and beyond.</w:t>
      </w:r>
    </w:p>
    <w:p>
      <w:pPr>
        <w:spacing w:after="0" w:line="198"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Mr. Baty concluded, "In total, our operations are performing at levels established in our original business plan. We anticipate the strong overall levels of demand we experienced during the first half of the year to continue into the third and fourth quarters. As a result, our capacity utilization rates</w:t>
      </w:r>
    </w:p>
    <w:p>
      <w:pPr>
        <w:sectPr>
          <w:pgSz w:w="11900" w:h="16838" w:orient="portrait"/>
          <w:cols w:equalWidth="0" w:num="1">
            <w:col w:w="10219"/>
          </w:cols>
          <w:pgMar w:left="240" w:top="142" w:right="1440" w:bottom="0" w:gutter="0" w:footer="0" w:header="0"/>
          <w:type w:val="continuous"/>
        </w:sectPr>
      </w:pPr>
    </w:p>
    <w:bookmarkStart w:id="3" w:name="page4"/>
    <w:bookmarkEnd w:id="3"/>
    <w:p>
      <w:pPr>
        <w:jc w:val="both"/>
        <w:ind w:right="2059"/>
        <w:spacing w:after="0" w:line="244" w:lineRule="auto"/>
        <w:rPr>
          <w:sz w:val="20"/>
          <w:szCs w:val="20"/>
          <w:color w:val="auto"/>
        </w:rPr>
      </w:pPr>
      <w:r>
        <w:rPr>
          <w:rFonts w:ascii="Courier New" w:cs="Courier New" w:eastAsia="Courier New" w:hAnsi="Courier New"/>
          <w:sz w:val="17"/>
          <w:szCs w:val="17"/>
          <w:color w:val="auto"/>
        </w:rPr>
        <w:t>should remain high for the remainder of the year. We still face concerns regarding the volatility of steel inflation in the U.S. We will continue to experience significant steel raw material inflation in the domestic market during the last six months of the year. In Europe, there is a downward trend for scrap surcharge pricing levels and we expect this trend to continue through the remainder of 2005. In addition to the steel inflation, we have experienced higher resin costs at our Industrial Molding operation due to historically high oil prices. Our 2005 earnings projections include provisions for a continuing pass through of both steel and plastic resin inflation in the form of higher selling prices to our customers.</w:t>
      </w:r>
    </w:p>
    <w:p>
      <w:pPr>
        <w:spacing w:after="0" w:line="200" w:lineRule="exact"/>
        <w:rPr>
          <w:sz w:val="20"/>
          <w:szCs w:val="20"/>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"Finally, currency remains an open issue with respect to our previously provided guidance for both revenue and earnings in 2005. If the U.S. Dollar-Euro exchange rate for the remainder of the year remains at the level in place at the end of the second quarter, we would anticipate currency translation to negatively affect both revenue and earnings. Our revenue estimate for the full year would be adjusted downward by approximately $9.0 million to $328.0 million. Our anticipated full year earnings would be impacted by approximately $0.04 per diluted share and result in revised full year guidance of $0.86 to $0.90 per diluted share."</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jc w:val="both"/>
        <w:ind w:right="2059"/>
        <w:spacing w:after="0" w:line="264"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pacing w:after="0" w:line="183" w:lineRule="exact"/>
        <w:rPr>
          <w:sz w:val="20"/>
          <w:szCs w:val="20"/>
          <w:color w:val="auto"/>
        </w:rPr>
      </w:pPr>
    </w:p>
    <w:p>
      <w:pPr>
        <w:jc w:val="both"/>
        <w:ind w:right="2059"/>
        <w:spacing w:after="0" w:line="260" w:lineRule="auto"/>
        <w:rPr>
          <w:sz w:val="20"/>
          <w:szCs w:val="20"/>
          <w:color w:val="auto"/>
        </w:rPr>
      </w:pPr>
      <w:r>
        <w:rPr>
          <w:rFonts w:ascii="Courier New" w:cs="Courier New" w:eastAsia="Courier New" w:hAnsi="Courier New"/>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p>
      <w:pPr>
        <w:spacing w:after="0" w:line="388"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Financial Tables Follow</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4" w:right="1440" w:bottom="1440" w:gutter="0" w:footer="0" w:header="0"/>
        </w:sectPr>
      </w:pPr>
    </w:p>
    <w:bookmarkStart w:id="5" w:name="page6"/>
    <w:bookmarkEnd w:id="5"/>
    <w:p>
      <w:pPr>
        <w:jc w:val="center"/>
        <w:ind w:right="3340"/>
        <w:spacing w:after="0"/>
        <w:rPr>
          <w:sz w:val="20"/>
          <w:szCs w:val="20"/>
          <w:color w:val="auto"/>
        </w:rPr>
      </w:pPr>
      <w:r>
        <w:rPr>
          <w:rFonts w:ascii="Courier New" w:cs="Courier New" w:eastAsia="Courier New" w:hAnsi="Courier New"/>
          <w:sz w:val="17"/>
          <w:szCs w:val="17"/>
          <w:color w:val="auto"/>
        </w:rPr>
        <w:t>NN, Inc.</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1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785"/>
        </w:trPr>
        <w:tc>
          <w:tcPr>
            <w:tcW w:w="4960" w:type="dxa"/>
            <w:vAlign w:val="bottom"/>
          </w:tcPr>
          <w:p>
            <w:pPr>
              <w:spacing w:after="0"/>
              <w:rPr>
                <w:sz w:val="24"/>
                <w:szCs w:val="24"/>
                <w:color w:val="auto"/>
              </w:rPr>
            </w:pPr>
          </w:p>
        </w:tc>
        <w:tc>
          <w:tcPr>
            <w:tcW w:w="3300" w:type="dxa"/>
            <w:vAlign w:val="bottom"/>
            <w:gridSpan w:val="2"/>
          </w:tcPr>
          <w:p>
            <w:pPr>
              <w:jc w:val="right"/>
              <w:ind w:right="715"/>
              <w:spacing w:after="0"/>
              <w:rPr>
                <w:sz w:val="20"/>
                <w:szCs w:val="20"/>
                <w:color w:val="auto"/>
              </w:rPr>
            </w:pPr>
            <w:r>
              <w:rPr>
                <w:rFonts w:ascii="Courier New" w:cs="Courier New" w:eastAsia="Courier New" w:hAnsi="Courier New"/>
                <w:sz w:val="17"/>
                <w:szCs w:val="17"/>
                <w:color w:val="auto"/>
              </w:rPr>
              <w:t>Three Months Ended</w:t>
            </w:r>
          </w:p>
        </w:tc>
        <w:tc>
          <w:tcPr>
            <w:tcW w:w="620" w:type="dxa"/>
            <w:vAlign w:val="bottom"/>
          </w:tcPr>
          <w:p>
            <w:pPr>
              <w:spacing w:after="0"/>
              <w:rPr>
                <w:sz w:val="24"/>
                <w:szCs w:val="24"/>
                <w:color w:val="auto"/>
              </w:rPr>
            </w:pPr>
          </w:p>
        </w:tc>
        <w:tc>
          <w:tcPr>
            <w:tcW w:w="1940" w:type="dxa"/>
            <w:vAlign w:val="bottom"/>
            <w:gridSpan w:val="2"/>
          </w:tcPr>
          <w:p>
            <w:pPr>
              <w:jc w:val="center"/>
              <w:ind w:left="215"/>
              <w:spacing w:after="0"/>
              <w:rPr>
                <w:sz w:val="20"/>
                <w:szCs w:val="20"/>
                <w:color w:val="auto"/>
              </w:rPr>
            </w:pPr>
            <w:r>
              <w:rPr>
                <w:rFonts w:ascii="Courier New" w:cs="Courier New" w:eastAsia="Courier New" w:hAnsi="Courier New"/>
                <w:sz w:val="17"/>
                <w:szCs w:val="17"/>
                <w:color w:val="auto"/>
              </w:rPr>
              <w:t>Six Months Ended</w:t>
            </w:r>
          </w:p>
        </w:tc>
        <w:tc>
          <w:tcPr>
            <w:tcW w:w="700" w:type="dxa"/>
            <w:vAlign w:val="bottom"/>
          </w:tcPr>
          <w:p>
            <w:pPr>
              <w:spacing w:after="0"/>
              <w:rPr>
                <w:sz w:val="24"/>
                <w:szCs w:val="24"/>
                <w:color w:val="auto"/>
              </w:rPr>
            </w:pPr>
          </w:p>
        </w:tc>
      </w:tr>
      <w:tr>
        <w:trPr>
          <w:trHeight w:val="196"/>
        </w:trPr>
        <w:tc>
          <w:tcPr>
            <w:tcW w:w="4960" w:type="dxa"/>
            <w:vAlign w:val="bottom"/>
          </w:tcPr>
          <w:p>
            <w:pPr>
              <w:spacing w:after="0"/>
              <w:rPr>
                <w:sz w:val="17"/>
                <w:szCs w:val="17"/>
                <w:color w:val="auto"/>
              </w:rPr>
            </w:pPr>
          </w:p>
        </w:tc>
        <w:tc>
          <w:tcPr>
            <w:tcW w:w="3300" w:type="dxa"/>
            <w:vAlign w:val="bottom"/>
            <w:gridSpan w:val="2"/>
          </w:tcPr>
          <w:p>
            <w:pPr>
              <w:jc w:val="right"/>
              <w:ind w:right="1235"/>
              <w:spacing w:after="0"/>
              <w:rPr>
                <w:sz w:val="20"/>
                <w:szCs w:val="20"/>
                <w:color w:val="auto"/>
              </w:rPr>
            </w:pPr>
            <w:r>
              <w:rPr>
                <w:rFonts w:ascii="Courier New" w:cs="Courier New" w:eastAsia="Courier New" w:hAnsi="Courier New"/>
                <w:sz w:val="17"/>
                <w:szCs w:val="17"/>
                <w:color w:val="auto"/>
              </w:rPr>
              <w:t>June 30,</w:t>
            </w:r>
          </w:p>
        </w:tc>
        <w:tc>
          <w:tcPr>
            <w:tcW w:w="620" w:type="dxa"/>
            <w:vAlign w:val="bottom"/>
          </w:tcPr>
          <w:p>
            <w:pPr>
              <w:spacing w:after="0"/>
              <w:rPr>
                <w:sz w:val="17"/>
                <w:szCs w:val="17"/>
                <w:color w:val="auto"/>
              </w:rPr>
            </w:pPr>
          </w:p>
        </w:tc>
        <w:tc>
          <w:tcPr>
            <w:tcW w:w="1940" w:type="dxa"/>
            <w:vAlign w:val="bottom"/>
            <w:gridSpan w:val="2"/>
          </w:tcPr>
          <w:p>
            <w:pPr>
              <w:jc w:val="center"/>
              <w:ind w:left="235"/>
              <w:spacing w:after="0"/>
              <w:rPr>
                <w:sz w:val="20"/>
                <w:szCs w:val="20"/>
                <w:color w:val="auto"/>
              </w:rPr>
            </w:pPr>
            <w:r>
              <w:rPr>
                <w:rFonts w:ascii="Courier New" w:cs="Courier New" w:eastAsia="Courier New" w:hAnsi="Courier New"/>
                <w:sz w:val="17"/>
                <w:szCs w:val="17"/>
                <w:color w:val="auto"/>
              </w:rPr>
              <w:t>June 30,</w:t>
            </w:r>
          </w:p>
        </w:tc>
        <w:tc>
          <w:tcPr>
            <w:tcW w:w="70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68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2005</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2004</w:t>
            </w:r>
          </w:p>
        </w:tc>
        <w:tc>
          <w:tcPr>
            <w:tcW w:w="620" w:type="dxa"/>
            <w:vAlign w:val="bottom"/>
          </w:tcPr>
          <w:p>
            <w:pPr>
              <w:spacing w:after="0"/>
              <w:rPr>
                <w:sz w:val="17"/>
                <w:szCs w:val="17"/>
                <w:color w:val="auto"/>
              </w:rPr>
            </w:pPr>
          </w:p>
        </w:tc>
        <w:tc>
          <w:tcPr>
            <w:tcW w:w="1120" w:type="dxa"/>
            <w:vAlign w:val="bottom"/>
          </w:tcPr>
          <w:p>
            <w:pPr>
              <w:jc w:val="right"/>
              <w:ind w:right="635"/>
              <w:spacing w:after="0"/>
              <w:rPr>
                <w:sz w:val="20"/>
                <w:szCs w:val="20"/>
                <w:color w:val="auto"/>
              </w:rPr>
            </w:pPr>
            <w:r>
              <w:rPr>
                <w:rFonts w:ascii="Courier New" w:cs="Courier New" w:eastAsia="Courier New" w:hAnsi="Courier New"/>
                <w:sz w:val="17"/>
                <w:szCs w:val="17"/>
                <w:color w:val="auto"/>
                <w:w w:val="93"/>
              </w:rPr>
              <w:t>2005</w:t>
            </w:r>
          </w:p>
        </w:tc>
        <w:tc>
          <w:tcPr>
            <w:tcW w:w="15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2004</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$84,166</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$75,265</w:t>
            </w:r>
          </w:p>
        </w:tc>
        <w:tc>
          <w:tcPr>
            <w:tcW w:w="174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$ 170,881</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$ 152,897</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Cost of products sold (exclusive of</w:t>
            </w: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4960" w:type="dxa"/>
            <w:vAlign w:val="bottom"/>
          </w:tcPr>
          <w:p>
            <w:pPr>
              <w:ind w:left="320"/>
              <w:spacing w:after="0"/>
              <w:rPr>
                <w:sz w:val="20"/>
                <w:szCs w:val="20"/>
                <w:color w:val="auto"/>
              </w:rPr>
            </w:pPr>
            <w:r>
              <w:rPr>
                <w:rFonts w:ascii="Courier New" w:cs="Courier New" w:eastAsia="Courier New" w:hAnsi="Courier New"/>
                <w:sz w:val="17"/>
                <w:szCs w:val="17"/>
                <w:color w:val="auto"/>
              </w:rPr>
              <w:t>depreciation shown separately below)</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66,005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58,937</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133,670</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119,326</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7,297</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8,041</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14,782</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15,184</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4,130</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3,969</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8,303</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7,918</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Loss on disposal of assets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Income from operations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6,732</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4,318</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14,120</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10,469</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1,025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932</w:t>
            </w:r>
          </w:p>
        </w:tc>
        <w:tc>
          <w:tcPr>
            <w:tcW w:w="620" w:type="dxa"/>
            <w:vAlign w:val="bottom"/>
          </w:tcPr>
          <w:p>
            <w:pPr>
              <w:spacing w:after="0"/>
              <w:rPr>
                <w:sz w:val="24"/>
                <w:szCs w:val="24"/>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2,008</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1,824</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(168)</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(340)</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5,875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3,361</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12,452</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8,676</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2,320</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1,375</w:t>
            </w:r>
          </w:p>
        </w:tc>
        <w:tc>
          <w:tcPr>
            <w:tcW w:w="62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4,872</w:t>
            </w: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3,472</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$ 3,555</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$ 1,986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7,580</w:t>
            </w:r>
          </w:p>
        </w:tc>
        <w:tc>
          <w:tcPr>
            <w:tcW w:w="82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5,204</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Diluted income per common share</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0.21</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0.12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0.44</w:t>
            </w:r>
          </w:p>
        </w:tc>
        <w:tc>
          <w:tcPr>
            <w:tcW w:w="82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Weighted average diluted shares</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17,328</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17,177</w:t>
            </w:r>
          </w:p>
        </w:tc>
        <w:tc>
          <w:tcPr>
            <w:tcW w:w="620" w:type="dxa"/>
            <w:vAlign w:val="bottom"/>
          </w:tcPr>
          <w:p>
            <w:pPr>
              <w:spacing w:after="0"/>
              <w:rPr>
                <w:sz w:val="24"/>
                <w:szCs w:val="24"/>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17,252</w:t>
            </w: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17,176</w:t>
            </w:r>
          </w:p>
        </w:tc>
      </w:tr>
      <w:tr>
        <w:trPr>
          <w:trHeight w:val="196"/>
        </w:trPr>
        <w:tc>
          <w:tcPr>
            <w:tcW w:w="4960" w:type="dxa"/>
            <w:vAlign w:val="bottom"/>
          </w:tcPr>
          <w:p>
            <w:pPr>
              <w:spacing w:after="0"/>
              <w:rPr>
                <w:sz w:val="17"/>
                <w:szCs w:val="17"/>
                <w:color w:val="auto"/>
              </w:rPr>
            </w:pPr>
          </w:p>
        </w:tc>
        <w:tc>
          <w:tcPr>
            <w:tcW w:w="16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899" w:right="139" w:bottom="1440" w:gutter="0" w:footer="0" w:header="0"/>
        </w:sectPr>
      </w:pPr>
    </w:p>
    <w:bookmarkStart w:id="6" w:name="page7"/>
    <w:bookmarkEnd w:id="6"/>
    <w:p>
      <w:pPr>
        <w:jc w:val="center"/>
        <w:ind w:right="2039"/>
        <w:spacing w:after="0"/>
        <w:rPr>
          <w:sz w:val="20"/>
          <w:szCs w:val="20"/>
          <w:color w:val="auto"/>
        </w:rPr>
      </w:pPr>
      <w:r>
        <w:rPr>
          <w:rFonts w:ascii="Courier New" w:cs="Courier New" w:eastAsia="Courier New" w:hAnsi="Courier New"/>
          <w:sz w:val="17"/>
          <w:szCs w:val="17"/>
          <w:color w:val="auto"/>
        </w:rPr>
        <w:t>NN, Inc.</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Condensed Balance Sheets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ind w:left="3580"/>
              <w:spacing w:after="0"/>
              <w:rPr>
                <w:sz w:val="20"/>
                <w:szCs w:val="20"/>
                <w:color w:val="auto"/>
              </w:rPr>
            </w:pPr>
            <w:r>
              <w:rPr>
                <w:rFonts w:ascii="Courier New" w:cs="Courier New" w:eastAsia="Courier New" w:hAnsi="Courier New"/>
                <w:sz w:val="17"/>
                <w:szCs w:val="17"/>
                <w:color w:val="auto"/>
              </w:rPr>
              <w:t>(Unaudited)</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89"/>
        </w:trPr>
        <w:tc>
          <w:tcPr>
            <w:tcW w:w="4800" w:type="dxa"/>
            <w:vAlign w:val="bottom"/>
          </w:tcPr>
          <w:p>
            <w:pPr>
              <w:spacing w:after="0"/>
              <w:rPr>
                <w:sz w:val="24"/>
                <w:szCs w:val="24"/>
                <w:color w:val="auto"/>
              </w:rPr>
            </w:pPr>
          </w:p>
        </w:tc>
        <w:tc>
          <w:tcPr>
            <w:tcW w:w="24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June 30,</w:t>
            </w:r>
          </w:p>
        </w:tc>
        <w:tc>
          <w:tcPr>
            <w:tcW w:w="220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895"/>
              <w:spacing w:after="0"/>
              <w:rPr>
                <w:sz w:val="20"/>
                <w:szCs w:val="20"/>
                <w:color w:val="auto"/>
              </w:rPr>
            </w:pPr>
            <w:r>
              <w:rPr>
                <w:rFonts w:ascii="Courier New" w:cs="Courier New" w:eastAsia="Courier New" w:hAnsi="Courier New"/>
                <w:sz w:val="17"/>
                <w:szCs w:val="17"/>
                <w:color w:val="auto"/>
              </w:rPr>
              <w:t>2005</w:t>
            </w:r>
          </w:p>
        </w:tc>
        <w:tc>
          <w:tcPr>
            <w:tcW w:w="2200" w:type="dxa"/>
            <w:vAlign w:val="bottom"/>
            <w:gridSpan w:val="2"/>
          </w:tcPr>
          <w:p>
            <w:pPr>
              <w:jc w:val="right"/>
              <w:ind w:right="635"/>
              <w:spacing w:after="0"/>
              <w:rPr>
                <w:sz w:val="20"/>
                <w:szCs w:val="20"/>
                <w:color w:val="auto"/>
              </w:rPr>
            </w:pPr>
            <w:r>
              <w:rPr>
                <w:rFonts w:ascii="Courier New" w:cs="Courier New" w:eastAsia="Courier New" w:hAnsi="Courier New"/>
                <w:sz w:val="17"/>
                <w:szCs w:val="17"/>
                <w:color w:val="auto"/>
              </w:rPr>
              <w:t>2004</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center"/>
              <w:ind w:left="175"/>
              <w:spacing w:after="0"/>
              <w:rPr>
                <w:sz w:val="20"/>
                <w:szCs w:val="20"/>
                <w:color w:val="auto"/>
              </w:rPr>
            </w:pPr>
            <w:r>
              <w:rPr>
                <w:rFonts w:ascii="Courier New" w:cs="Courier New" w:eastAsia="Courier New" w:hAnsi="Courier New"/>
                <w:sz w:val="17"/>
                <w:szCs w:val="17"/>
                <w:color w:val="auto"/>
              </w:rPr>
              <w:t>-------------------</w:t>
            </w:r>
          </w:p>
        </w:tc>
      </w:tr>
      <w:tr>
        <w:trPr>
          <w:trHeight w:val="589"/>
        </w:trPr>
        <w:tc>
          <w:tcPr>
            <w:tcW w:w="48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8,038</w:t>
            </w:r>
          </w:p>
        </w:tc>
        <w:tc>
          <w:tcPr>
            <w:tcW w:w="1320" w:type="dxa"/>
            <w:vAlign w:val="bottom"/>
          </w:tcPr>
          <w:p>
            <w:pPr>
              <w:jc w:val="center"/>
              <w:ind w:left="1055"/>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10,772</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56,933</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51,597</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Inventories, net</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33,161</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35,629</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 current assets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12,020</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10,340</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Total current assets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110,152</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108,338</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28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115,214</w:t>
            </w:r>
          </w:p>
        </w:tc>
        <w:tc>
          <w:tcPr>
            <w:tcW w:w="132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131,169</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Goodwill, net</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42,044</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44,457</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5,840</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5,905</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800" w:type="dxa"/>
            <w:vAlign w:val="bottom"/>
          </w:tcPr>
          <w:p>
            <w:pPr>
              <w:ind w:left="200"/>
              <w:spacing w:after="0"/>
              <w:rPr>
                <w:sz w:val="20"/>
                <w:szCs w:val="20"/>
                <w:color w:val="auto"/>
              </w:rPr>
            </w:pPr>
            <w:r>
              <w:rPr>
                <w:rFonts w:ascii="Courier New" w:cs="Courier New" w:eastAsia="Courier New" w:hAnsi="Courier New"/>
                <w:sz w:val="17"/>
                <w:szCs w:val="17"/>
                <w:color w:val="auto"/>
              </w:rPr>
              <w:t>Total assets</w:t>
            </w:r>
          </w:p>
        </w:tc>
        <w:tc>
          <w:tcPr>
            <w:tcW w:w="240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$ 273,250</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$ 289,869</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38,869</w:t>
            </w:r>
          </w:p>
        </w:tc>
        <w:tc>
          <w:tcPr>
            <w:tcW w:w="1320" w:type="dxa"/>
            <w:vAlign w:val="bottom"/>
          </w:tcPr>
          <w:p>
            <w:pPr>
              <w:jc w:val="center"/>
              <w:ind w:left="1055"/>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45,217</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Accrued salaries and wages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13,944</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16,332</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7,255</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7,160</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6,656</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5,722</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Total current liabilities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66,724</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74,431</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28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16,760</w:t>
            </w:r>
          </w:p>
        </w:tc>
        <w:tc>
          <w:tcPr>
            <w:tcW w:w="132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17,857</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Long-term notes payable</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64,669</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67,510</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13,009</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14,931</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80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128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161,162</w:t>
            </w:r>
          </w:p>
        </w:tc>
        <w:tc>
          <w:tcPr>
            <w:tcW w:w="132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174,729</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128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112,088</w:t>
            </w:r>
          </w:p>
        </w:tc>
        <w:tc>
          <w:tcPr>
            <w:tcW w:w="1320" w:type="dxa"/>
            <w:vAlign w:val="bottom"/>
          </w:tcPr>
          <w:p>
            <w:pPr>
              <w:spacing w:after="0"/>
              <w:rPr>
                <w:sz w:val="24"/>
                <w:szCs w:val="24"/>
                <w:color w:val="auto"/>
              </w:rPr>
            </w:pPr>
          </w:p>
        </w:tc>
        <w:tc>
          <w:tcPr>
            <w:tcW w:w="8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115,140</w:t>
            </w:r>
          </w:p>
        </w:tc>
      </w:tr>
      <w:tr>
        <w:trPr>
          <w:trHeight w:val="392"/>
        </w:trPr>
        <w:tc>
          <w:tcPr>
            <w:tcW w:w="480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40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$ 273,250</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$ 289,869</w:t>
            </w:r>
          </w:p>
        </w:tc>
      </w:tr>
      <w:tr>
        <w:trPr>
          <w:trHeight w:val="196"/>
        </w:trPr>
        <w:tc>
          <w:tcPr>
            <w:tcW w:w="4800" w:type="dxa"/>
            <w:vAlign w:val="bottom"/>
          </w:tcPr>
          <w:p>
            <w:pPr>
              <w:spacing w:after="0"/>
              <w:rPr>
                <w:sz w:val="17"/>
                <w:szCs w:val="17"/>
                <w:color w:val="auto"/>
              </w:rPr>
            </w:pPr>
          </w:p>
        </w:tc>
        <w:tc>
          <w:tcPr>
            <w:tcW w:w="240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785"/>
        </w:trPr>
        <w:tc>
          <w:tcPr>
            <w:tcW w:w="4800" w:type="dxa"/>
            <w:vAlign w:val="bottom"/>
          </w:tcPr>
          <w:p>
            <w:pPr>
              <w:ind w:left="3980"/>
              <w:spacing w:after="0"/>
              <w:rPr>
                <w:sz w:val="20"/>
                <w:szCs w:val="20"/>
                <w:color w:val="auto"/>
              </w:rPr>
            </w:pPr>
            <w:r>
              <w:rPr>
                <w:rFonts w:ascii="Courier New" w:cs="Courier New" w:eastAsia="Courier New" w:hAnsi="Courier New"/>
                <w:sz w:val="17"/>
                <w:szCs w:val="17"/>
                <w:color w:val="auto"/>
              </w:rPr>
              <w:t>5</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8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2019-12-14T02:42:55Z</dcterms:created>
  <dcterms:modified xsi:type="dcterms:W3CDTF">2019-12-14T02:42:55Z</dcterms:modified>
</cp:coreProperties>
</file>