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Heiter Matthew S.</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ind w:left="360" w:hanging="354"/>
        <w:spacing w:after="0"/>
        <w:tabs>
          <w:tab w:leader="none" w:pos="360"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03/14/2018</w:t>
      </w:r>
    </w:p>
    <w:p>
      <w:pPr>
        <w:spacing w:after="0" w:line="20" w:lineRule="exact"/>
        <w:rPr>
          <w:sz w:val="24"/>
          <w:szCs w:val="24"/>
          <w:color w:val="auto"/>
        </w:rPr>
      </w:pPr>
      <w:r>
        <w:rPr>
          <w:sz w:val="24"/>
          <w:szCs w:val="24"/>
          <w:color w:val="auto"/>
        </w:rPr>
        <w:br w:type="column"/>
      </w:r>
    </w:p>
    <w:p>
      <w:pPr>
        <w:ind w:left="-5" w:right="660" w:firstLine="5"/>
        <w:spacing w:after="0" w:line="268"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35"/>
        <w:spacing w:after="0"/>
        <w:rPr>
          <w:sz w:val="20"/>
          <w:szCs w:val="20"/>
          <w:color w:val="auto"/>
        </w:rPr>
      </w:pPr>
      <w:r>
        <w:rPr>
          <w:rFonts w:ascii="Times New Roman" w:cs="Times New Roman" w:eastAsia="Times New Roman" w:hAnsi="Times New Roman"/>
          <w:sz w:val="17"/>
          <w:szCs w:val="17"/>
          <w:color w:val="0000FF"/>
        </w:rPr>
        <w:t>Senior VP and General Counsel</w:t>
      </w:r>
    </w:p>
    <w:p>
      <w:pPr>
        <w:spacing w:after="0" w:line="333" w:lineRule="exact"/>
        <w:rPr>
          <w:sz w:val="24"/>
          <w:szCs w:val="24"/>
          <w:color w:val="auto"/>
        </w:rPr>
      </w:pPr>
    </w:p>
    <w:p>
      <w:pPr>
        <w:sectPr>
          <w:pgSz w:w="11900" w:h="16838" w:orient="portrait"/>
          <w:cols w:equalWidth="0" w:num="3">
            <w:col w:w="3340" w:space="720"/>
            <w:col w:w="3265" w:space="720"/>
            <w:col w:w="3475"/>
          </w:cols>
          <w:pgMar w:left="240" w:top="219" w:right="139" w:bottom="1440" w:gutter="0" w:footer="0" w:header="0"/>
          <w:type w:val="continuous"/>
        </w:sectPr>
      </w:pP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60" w:type="dxa"/>
            <w:vAlign w:val="bottom"/>
            <w:gridSpan w:val="8"/>
          </w:tcPr>
          <w:p>
            <w:pPr>
              <w:jc w:val="center"/>
              <w:ind w:right="7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JOHNSON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900" w:type="dxa"/>
            <w:vAlign w:val="bottom"/>
          </w:tcPr>
          <w:p>
            <w:pPr>
              <w:spacing w:after="0"/>
              <w:rPr>
                <w:sz w:val="9"/>
                <w:szCs w:val="9"/>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37604</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960" w:type="dxa"/>
            <w:vAlign w:val="bottom"/>
            <w:tcBorders>
              <w:bottom w:val="single" w:sz="8" w:color="2C2C2C"/>
            </w:tcBorders>
            <w:gridSpan w:val="7"/>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4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60" w:type="dxa"/>
            <w:vAlign w:val="bottom"/>
            <w:tcBorders>
              <w:bottom w:val="single" w:sz="8" w:color="2C2C2C"/>
            </w:tcBorders>
            <w:gridSpan w:val="5"/>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17"/>
                <w:szCs w:val="17"/>
                <w:color w:val="0000FF"/>
              </w:rPr>
              <w:t>03/14/2018</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3,908</w:t>
            </w:r>
          </w:p>
        </w:tc>
        <w:tc>
          <w:tcPr>
            <w:tcW w:w="6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17,086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8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6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03/14/2018</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3,908</w:t>
            </w:r>
          </w:p>
        </w:tc>
        <w:tc>
          <w:tcPr>
            <w:tcW w:w="34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3,908</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3,908</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March 14, 2019.</w:t>
      </w:r>
    </w:p>
    <w:p>
      <w:pPr>
        <w:spacing w:after="0" w:line="5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51" w:lineRule="exact"/>
        <w:rPr>
          <w:rFonts w:ascii="Times New Roman" w:cs="Times New Roman" w:eastAsia="Times New Roman" w:hAnsi="Times New Roman"/>
          <w:sz w:val="13"/>
          <w:szCs w:val="13"/>
          <w:color w:val="008000"/>
        </w:rPr>
      </w:pPr>
    </w:p>
    <w:p>
      <w:pPr>
        <w:ind w:left="40" w:right="320" w:firstLine="7"/>
        <w:spacing w:after="0" w:line="249"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vesting of the performance rights is based on the relative total shareholder return ("TSR") of the Issuer, as compared to the TSR of the S&amp;P SmallCap 600 Index over the period beginning on January 1, 2018 and ending December 31, 2020. The performance rights will vest on December 31, 2020 subject to the reporting person's continuous employment through December 31, 2020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2020 expire automatically.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0000FF"/>
              </w:rPr>
              <w:t>/s/ Matthew S. Heiter</w:t>
            </w:r>
          </w:p>
        </w:tc>
        <w:tc>
          <w:tcPr>
            <w:tcW w:w="6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03/16/2018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2019-12-23T15:55:09Z</dcterms:created>
  <dcterms:modified xsi:type="dcterms:W3CDTF">2019-12-23T15:55:09Z</dcterms:modified>
</cp:coreProperties>
</file>