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7"/>
          <w:szCs w:val="17"/>
          <w:color w:val="auto"/>
        </w:rPr>
        <w:t>As filed with the Securities and Exchange Commission on November 22, 2002</w:t>
      </w:r>
    </w:p>
    <w:p>
      <w:pPr>
        <w:spacing w:after="0" w:line="200" w:lineRule="exact"/>
        <w:rPr>
          <w:sz w:val="24"/>
          <w:szCs w:val="24"/>
          <w:color w:val="auto"/>
        </w:rPr>
      </w:pPr>
    </w:p>
    <w:p>
      <w:pPr>
        <w:spacing w:after="0" w:line="212"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Registration No. 333-100119</w:t>
      </w:r>
    </w:p>
    <w:p>
      <w:pPr>
        <w:spacing w:after="0" w:line="200" w:lineRule="exact"/>
        <w:rPr>
          <w:sz w:val="24"/>
          <w:szCs w:val="24"/>
          <w:color w:val="auto"/>
        </w:rPr>
      </w:pPr>
    </w:p>
    <w:p>
      <w:pPr>
        <w:spacing w:after="0" w:line="212"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b w:val="1"/>
          <w:bCs w:val="1"/>
          <w:color w:val="auto"/>
        </w:rPr>
        <w:t>UNITED STATES</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WASHINGTON, D.C. 20549</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b w:val="1"/>
          <w:bCs w:val="1"/>
          <w:color w:val="auto"/>
        </w:rPr>
        <w:t>Amendment No. 1</w:t>
      </w:r>
    </w:p>
    <w:p>
      <w:pPr>
        <w:spacing w:after="0" w:line="9" w:lineRule="exact"/>
        <w:rPr>
          <w:sz w:val="24"/>
          <w:szCs w:val="24"/>
          <w:color w:val="auto"/>
        </w:rPr>
      </w:pPr>
    </w:p>
    <w:p>
      <w:pPr>
        <w:ind w:left="4100"/>
        <w:spacing w:after="0"/>
        <w:rPr>
          <w:sz w:val="20"/>
          <w:szCs w:val="20"/>
          <w:color w:val="auto"/>
        </w:rPr>
      </w:pPr>
      <w:r>
        <w:rPr>
          <w:rFonts w:ascii="Courier New" w:cs="Courier New" w:eastAsia="Courier New" w:hAnsi="Courier New"/>
          <w:sz w:val="17"/>
          <w:szCs w:val="17"/>
          <w:b w:val="1"/>
          <w:bCs w:val="1"/>
          <w:color w:val="auto"/>
        </w:rPr>
        <w:t>to</w:t>
      </w:r>
    </w:p>
    <w:p>
      <w:pPr>
        <w:spacing w:after="0" w:line="9"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b w:val="1"/>
          <w:bCs w:val="1"/>
          <w:color w:val="auto"/>
        </w:rPr>
        <w:t>FORM S-3</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REGISTRATION STATEMENT</w:t>
      </w:r>
    </w:p>
    <w:p>
      <w:pPr>
        <w:spacing w:after="0" w:line="9"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b w:val="1"/>
          <w:bCs w:val="1"/>
          <w:color w:val="auto"/>
        </w:rPr>
        <w:t>UNDER</w:t>
      </w:r>
    </w:p>
    <w:p>
      <w:pPr>
        <w:spacing w:after="0" w:line="9"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b w:val="1"/>
          <w:bCs w:val="1"/>
          <w:color w:val="auto"/>
        </w:rPr>
        <w:t>THE SECURITIES ACT OF 1933</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w:t>
      </w:r>
    </w:p>
    <w:p>
      <w:pPr>
        <w:spacing w:after="0" w:line="200" w:lineRule="exact"/>
        <w:rPr>
          <w:sz w:val="24"/>
          <w:szCs w:val="24"/>
          <w:color w:val="auto"/>
        </w:rPr>
      </w:pPr>
    </w:p>
    <w:p>
      <w:pPr>
        <w:spacing w:after="0" w:line="212"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b w:val="1"/>
          <w:bCs w:val="1"/>
          <w:color w:val="auto"/>
        </w:rPr>
        <w:t>NN, Inc.</w:t>
      </w:r>
    </w:p>
    <w:p>
      <w:pPr>
        <w:spacing w:after="0" w:line="9"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(Exact name of registrant as</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specified in its charter)</w:t>
      </w:r>
    </w:p>
    <w:p>
      <w:pPr>
        <w:sectPr>
          <w:pgSz w:w="11900" w:h="16838" w:orient="portrait"/>
          <w:cols w:equalWidth="0" w:num="1">
            <w:col w:w="10219"/>
          </w:cols>
          <w:pgMar w:left="240" w:top="853" w:right="1440" w:bottom="0" w:gutter="0" w:footer="0" w:header="0"/>
        </w:sectPr>
      </w:pPr>
    </w:p>
    <w:p>
      <w:pPr>
        <w:spacing w:after="0" w:line="210"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b w:val="1"/>
          <w:bCs w:val="1"/>
          <w:color w:val="auto"/>
        </w:rPr>
        <w:t>Delaware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of incorporation or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b w:val="1"/>
          <w:bCs w:val="1"/>
          <w:color w:val="auto"/>
        </w:rPr>
        <w:t>62-1096725</w:t>
      </w:r>
    </w:p>
    <w:p>
      <w:pPr>
        <w:spacing w:after="0" w:line="9"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Identification Number)</w:t>
      </w:r>
    </w:p>
    <w:p>
      <w:pPr>
        <w:spacing w:after="0" w:line="9" w:lineRule="exact"/>
        <w:rPr>
          <w:sz w:val="24"/>
          <w:szCs w:val="24"/>
          <w:color w:val="auto"/>
        </w:rPr>
      </w:pPr>
    </w:p>
    <w:p>
      <w:pPr>
        <w:sectPr>
          <w:pgSz w:w="11900" w:h="16838" w:orient="portrait"/>
          <w:cols w:equalWidth="0" w:num="2">
            <w:col w:w="5260" w:space="720"/>
            <w:col w:w="4239"/>
          </w:cols>
          <w:pgMar w:left="240" w:top="853" w:right="1440" w:bottom="0" w:gutter="0" w:footer="0" w:header="0"/>
          <w:type w:val="continuous"/>
        </w:sectPr>
      </w:pPr>
    </w:p>
    <w:p>
      <w:pPr>
        <w:ind w:left="840"/>
        <w:spacing w:after="0"/>
        <w:rPr>
          <w:sz w:val="20"/>
          <w:szCs w:val="20"/>
          <w:color w:val="auto"/>
        </w:rPr>
      </w:pPr>
      <w:r>
        <w:rPr>
          <w:rFonts w:ascii="Courier New" w:cs="Courier New" w:eastAsia="Courier New" w:hAnsi="Courier New"/>
          <w:sz w:val="17"/>
          <w:szCs w:val="17"/>
          <w:color w:val="auto"/>
        </w:rPr>
        <w:t>organization)</w:t>
      </w:r>
    </w:p>
    <w:p>
      <w:pPr>
        <w:spacing w:after="0" w:line="210"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2000 Waters Edge Drive</w:t>
      </w:r>
    </w:p>
    <w:p>
      <w:pPr>
        <w:spacing w:after="0" w:line="9"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b w:val="1"/>
          <w:bCs w:val="1"/>
          <w:color w:val="auto"/>
        </w:rPr>
        <w:t>Johnson City, Tennessee 37604</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b w:val="1"/>
          <w:bCs w:val="1"/>
          <w:color w:val="auto"/>
        </w:rPr>
        <w:t>(423) 743-9151</w:t>
      </w:r>
    </w:p>
    <w:p>
      <w:pPr>
        <w:spacing w:after="0" w:line="9" w:lineRule="exact"/>
        <w:rPr>
          <w:sz w:val="24"/>
          <w:szCs w:val="24"/>
          <w:color w:val="auto"/>
        </w:rPr>
      </w:pPr>
    </w:p>
    <w:p>
      <w:pPr>
        <w:jc w:val="center"/>
        <w:ind w:left="360" w:right="1460"/>
        <w:spacing w:after="0" w:line="254"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194" w:lineRule="exact"/>
        <w:rPr>
          <w:sz w:val="24"/>
          <w:szCs w:val="24"/>
          <w:color w:val="auto"/>
        </w:rPr>
      </w:pPr>
    </w:p>
    <w:p>
      <w:pPr>
        <w:ind w:left="3360"/>
        <w:spacing w:after="0"/>
        <w:rPr>
          <w:sz w:val="20"/>
          <w:szCs w:val="20"/>
          <w:color w:val="auto"/>
        </w:rPr>
      </w:pPr>
      <w:r>
        <w:rPr>
          <w:rFonts w:ascii="Courier New" w:cs="Courier New" w:eastAsia="Courier New" w:hAnsi="Courier New"/>
          <w:sz w:val="17"/>
          <w:szCs w:val="17"/>
          <w:b w:val="1"/>
          <w:bCs w:val="1"/>
          <w:color w:val="auto"/>
        </w:rPr>
        <w:t>Roderick R. Baty</w:t>
      </w:r>
    </w:p>
    <w:p>
      <w:pPr>
        <w:spacing w:after="0" w:line="9"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b w:val="1"/>
          <w:bCs w:val="1"/>
          <w:color w:val="auto"/>
        </w:rPr>
        <w:t>President and Chief Executive Officer</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2000 Waters Edge Drive</w:t>
      </w:r>
    </w:p>
    <w:p>
      <w:pPr>
        <w:spacing w:after="0" w:line="9"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b w:val="1"/>
          <w:bCs w:val="1"/>
          <w:color w:val="auto"/>
        </w:rPr>
        <w:t>Johnson City, Tennessee 37604</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b w:val="1"/>
          <w:bCs w:val="1"/>
          <w:color w:val="auto"/>
        </w:rPr>
        <w:t>(423) 743-9151</w:t>
      </w:r>
    </w:p>
    <w:p>
      <w:pPr>
        <w:spacing w:after="0" w:line="9" w:lineRule="exact"/>
        <w:rPr>
          <w:sz w:val="24"/>
          <w:szCs w:val="24"/>
          <w:color w:val="auto"/>
        </w:rPr>
      </w:pPr>
    </w:p>
    <w:p>
      <w:pPr>
        <w:ind w:left="2000" w:right="2979" w:hanging="739"/>
        <w:spacing w:after="0" w:line="257" w:lineRule="auto"/>
        <w:tabs>
          <w:tab w:leader="none" w:pos="1980" w:val="left"/>
        </w:tabs>
        <w:rPr>
          <w:sz w:val="20"/>
          <w:szCs w:val="20"/>
          <w:color w:val="auto"/>
        </w:rPr>
      </w:pPr>
      <w:r>
        <w:rPr>
          <w:rFonts w:ascii="Courier New" w:cs="Courier New" w:eastAsia="Courier New" w:hAnsi="Courier New"/>
          <w:sz w:val="17"/>
          <w:szCs w:val="17"/>
          <w:color w:val="auto"/>
        </w:rPr>
        <w:t>(Name,</w:t>
        <w:tab/>
        <w:t>address, including zip code, and telephone number, including area code, of agent for service)</w:t>
      </w:r>
    </w:p>
    <w:p>
      <w:pPr>
        <w:spacing w:after="0" w:line="192"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b w:val="1"/>
          <w:bCs w:val="1"/>
          <w:color w:val="auto"/>
        </w:rPr>
        <w:t>With Copies to:</w:t>
      </w:r>
    </w:p>
    <w:p>
      <w:pPr>
        <w:spacing w:after="0" w:line="9"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b w:val="1"/>
          <w:bCs w:val="1"/>
          <w:color w:val="auto"/>
        </w:rPr>
        <w:t>James M. Ash</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Blackwell Sanders Peper Martin LLP</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2300 Main Street, Suite 1000</w:t>
      </w:r>
    </w:p>
    <w:p>
      <w:pPr>
        <w:spacing w:after="0" w:line="9"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b w:val="1"/>
          <w:bCs w:val="1"/>
          <w:color w:val="auto"/>
        </w:rPr>
        <w:t>Kansas City, Missouri 64108</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b w:val="1"/>
          <w:bCs w:val="1"/>
          <w:color w:val="auto"/>
        </w:rPr>
        <w:t>(816) 983-8000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230505</wp:posOffset>
            </wp:positionV>
            <wp:extent cx="7272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2139"/>
        <w:spacing w:after="0" w:line="254" w:lineRule="auto"/>
        <w:rPr>
          <w:sz w:val="20"/>
          <w:szCs w:val="20"/>
          <w:color w:val="auto"/>
        </w:rPr>
      </w:pPr>
      <w:r>
        <w:rPr>
          <w:rFonts w:ascii="Courier New" w:cs="Courier New" w:eastAsia="Courier New" w:hAnsi="Courier New"/>
          <w:sz w:val="17"/>
          <w:szCs w:val="17"/>
          <w:b w:val="1"/>
          <w:bCs w:val="1"/>
          <w:color w:val="auto"/>
        </w:rPr>
        <w:t xml:space="preserve">Approximate date of commencement of proposed sale to the public: </w:t>
      </w:r>
      <w:r>
        <w:rPr>
          <w:rFonts w:ascii="Courier New" w:cs="Courier New" w:eastAsia="Courier New" w:hAnsi="Courier New"/>
          <w:sz w:val="17"/>
          <w:szCs w:val="17"/>
          <w:color w:val="auto"/>
        </w:rPr>
        <w:t>From time to</w:t>
      </w:r>
      <w:r>
        <w:rPr>
          <w:rFonts w:ascii="Courier New" w:cs="Courier New" w:eastAsia="Courier New" w:hAnsi="Courier New"/>
          <w:sz w:val="17"/>
          <w:szCs w:val="17"/>
          <w:b w:val="1"/>
          <w:bCs w:val="1"/>
          <w:color w:val="auto"/>
        </w:rPr>
        <w:t xml:space="preserve"> </w:t>
      </w:r>
      <w:r>
        <w:rPr>
          <w:rFonts w:ascii="Courier New" w:cs="Courier New" w:eastAsia="Courier New" w:hAnsi="Courier New"/>
          <w:sz w:val="17"/>
          <w:szCs w:val="17"/>
          <w:color w:val="auto"/>
        </w:rPr>
        <w:t>time after this Registration Statement becomes effective, as determined by market conditions and other factors.</w:t>
      </w:r>
    </w:p>
    <w:p>
      <w:pPr>
        <w:spacing w:after="0" w:line="194" w:lineRule="exact"/>
        <w:rPr>
          <w:sz w:val="24"/>
          <w:szCs w:val="24"/>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w:t>
      </w:r>
    </w:p>
    <w:p>
      <w:pPr>
        <w:spacing w:after="0" w:line="192" w:lineRule="exact"/>
        <w:rPr>
          <w:sz w:val="24"/>
          <w:szCs w:val="24"/>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investment plans, check the following box. |X|</w:t>
      </w:r>
    </w:p>
    <w:p>
      <w:pPr>
        <w:spacing w:after="0" w:line="195" w:lineRule="exact"/>
        <w:rPr>
          <w:sz w:val="24"/>
          <w:szCs w:val="24"/>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earlier effective registration statement for the same offering. | |</w:t>
      </w:r>
    </w:p>
    <w:p>
      <w:pPr>
        <w:spacing w:after="0" w:line="195" w:lineRule="exact"/>
        <w:rPr>
          <w:sz w:val="24"/>
          <w:szCs w:val="24"/>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5" w:lineRule="exact"/>
        <w:rPr>
          <w:sz w:val="24"/>
          <w:szCs w:val="24"/>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ectPr>
          <w:pgSz w:w="11900" w:h="16838" w:orient="portrait"/>
          <w:cols w:equalWidth="0" w:num="1">
            <w:col w:w="10219"/>
          </w:cols>
          <w:pgMar w:left="240" w:top="853" w:right="1440" w:bottom="0" w:gutter="0" w:footer="0" w:header="0"/>
          <w:type w:val="continuous"/>
        </w:sectPr>
      </w:pPr>
    </w:p>
    <w:bookmarkStart w:id="1" w:name="page2"/>
    <w:bookmarkEnd w:id="1"/>
    <w:p>
      <w:pPr>
        <w:ind w:left="29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349250</wp:posOffset>
            </wp:positionV>
            <wp:extent cx="7272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39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SUBJECT TO COMPLETION, DATED NOVEMBER 22,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[LOGO]</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NN, INC.</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COMMON STOCK</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b w:val="1"/>
          <w:bCs w:val="1"/>
          <w:color w:val="auto"/>
        </w:rPr>
        <w:t>--------------------</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b w:val="1"/>
          <w:bCs w:val="1"/>
          <w:color w:val="auto"/>
        </w:rPr>
        <w:t>$36,000,000 of Company Shares</w:t>
      </w:r>
    </w:p>
    <w:p>
      <w:pPr>
        <w:spacing w:after="0" w:line="200" w:lineRule="exact"/>
        <w:rPr>
          <w:sz w:val="20"/>
          <w:szCs w:val="20"/>
          <w:color w:val="auto"/>
        </w:rPr>
      </w:pPr>
    </w:p>
    <w:p>
      <w:pPr>
        <w:spacing w:after="0" w:line="212"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b w:val="1"/>
          <w:bCs w:val="1"/>
          <w:color w:val="auto"/>
        </w:rPr>
        <w:t>4,033,749 of Selling Stockholders Shares</w:t>
      </w:r>
    </w:p>
    <w:p>
      <w:pPr>
        <w:spacing w:after="0" w:line="200" w:lineRule="exact"/>
        <w:rPr>
          <w:sz w:val="20"/>
          <w:szCs w:val="20"/>
          <w:color w:val="auto"/>
        </w:rPr>
      </w:pPr>
    </w:p>
    <w:p>
      <w:pPr>
        <w:spacing w:after="0" w:line="212" w:lineRule="exact"/>
        <w:rPr>
          <w:sz w:val="20"/>
          <w:szCs w:val="20"/>
          <w:color w:val="auto"/>
        </w:rPr>
      </w:pPr>
    </w:p>
    <w:p>
      <w:pPr>
        <w:jc w:val="both"/>
        <w:ind w:right="2039" w:firstLine="943"/>
        <w:spacing w:after="0" w:line="254" w:lineRule="auto"/>
        <w:rPr>
          <w:sz w:val="20"/>
          <w:szCs w:val="20"/>
          <w:color w:val="auto"/>
        </w:rPr>
      </w:pPr>
      <w:r>
        <w:rPr>
          <w:rFonts w:ascii="Courier New" w:cs="Courier New" w:eastAsia="Courier New" w:hAnsi="Courier New"/>
          <w:sz w:val="17"/>
          <w:szCs w:val="17"/>
          <w:color w:val="auto"/>
        </w:rPr>
        <w:t>By this prospectus from time to time, we may offer and sell shares of our common stock, par value $.01 per share, having an aggregate offering price of up to $36,000,000.</w:t>
      </w:r>
    </w:p>
    <w:p>
      <w:pPr>
        <w:spacing w:after="0" w:line="194" w:lineRule="exact"/>
        <w:rPr>
          <w:sz w:val="20"/>
          <w:szCs w:val="20"/>
          <w:color w:val="auto"/>
        </w:rPr>
      </w:pPr>
    </w:p>
    <w:p>
      <w:pPr>
        <w:jc w:val="both"/>
        <w:ind w:right="1839" w:firstLine="943"/>
        <w:spacing w:after="0" w:line="253" w:lineRule="auto"/>
        <w:rPr>
          <w:sz w:val="20"/>
          <w:szCs w:val="20"/>
          <w:color w:val="auto"/>
        </w:rPr>
      </w:pPr>
      <w:r>
        <w:rPr>
          <w:rFonts w:ascii="Courier New" w:cs="Courier New" w:eastAsia="Courier New" w:hAnsi="Courier New"/>
          <w:sz w:val="17"/>
          <w:szCs w:val="17"/>
          <w:color w:val="auto"/>
        </w:rPr>
        <w:t>Up to 4,033,749 shares of common stock may be sold from time to time in one or more offerings by the selling stockholders identified on page 12. We will not receive any proceeds from sales of shares of our common stock by the selling stockholders.</w:t>
      </w:r>
    </w:p>
    <w:p>
      <w:pPr>
        <w:spacing w:after="0" w:line="195"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We will provide you with a prospectus supplement before we or any of the selling stockholders sell any common stock under this prospectus. Any prospectus supplement will inform you about the specific terms of an offering by us or any selling stockholder, will list the names of any underwriters or agents, and may also add, update or change information contained in this prospectus. You should read this prospectus, the documents that are incorporated by reference in this prospectus and any prospectus supplement carefully before investing. This prospectus may not be used to sell any common stock unless it is accompanied by a prospectus supplement.</w:t>
      </w:r>
    </w:p>
    <w:p>
      <w:pPr>
        <w:spacing w:after="0" w:line="201"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We may offer these securities directly to investors, or through agents, underwriters or dealers. See "Plan of Distribution" on page 13. Each prospectus supplement will provide the terms of the plan of distribution relating to each offering of common stock.</w:t>
      </w:r>
    </w:p>
    <w:p>
      <w:pPr>
        <w:spacing w:after="0" w:line="195" w:lineRule="exact"/>
        <w:rPr>
          <w:sz w:val="20"/>
          <w:szCs w:val="20"/>
          <w:color w:val="auto"/>
        </w:rPr>
      </w:pPr>
    </w:p>
    <w:p>
      <w:pPr>
        <w:ind w:right="2359" w:firstLine="943"/>
        <w:spacing w:after="0" w:line="257" w:lineRule="auto"/>
        <w:rPr>
          <w:sz w:val="20"/>
          <w:szCs w:val="20"/>
          <w:color w:val="auto"/>
        </w:rPr>
      </w:pPr>
      <w:r>
        <w:rPr>
          <w:rFonts w:ascii="Courier New" w:cs="Courier New" w:eastAsia="Courier New" w:hAnsi="Courier New"/>
          <w:sz w:val="17"/>
          <w:szCs w:val="17"/>
          <w:color w:val="auto"/>
        </w:rPr>
        <w:t>Our common stock is quoted on the Nasdaq National Market under the symbol "NNBR."</w:t>
      </w:r>
    </w:p>
    <w:p>
      <w:pPr>
        <w:spacing w:after="0" w:line="192"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b w:val="1"/>
          <w:bCs w:val="1"/>
          <w:color w:val="auto"/>
        </w:rPr>
        <w:t>Investing in our common stock involves risks. See "Risk Factors" beginning on page 4 to read about the risks you should consider before buying our common stock.</w:t>
      </w:r>
    </w:p>
    <w:p>
      <w:pPr>
        <w:spacing w:after="0" w:line="194"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both"/>
        <w:ind w:right="1839" w:firstLine="943"/>
        <w:spacing w:after="0" w:line="254" w:lineRule="auto"/>
        <w:rPr>
          <w:sz w:val="20"/>
          <w:szCs w:val="20"/>
          <w:color w:val="auto"/>
        </w:rPr>
      </w:pPr>
      <w:r>
        <w:rPr>
          <w:rFonts w:ascii="Courier New" w:cs="Courier New" w:eastAsia="Courier New" w:hAnsi="Courier New"/>
          <w:sz w:val="17"/>
          <w:szCs w:val="17"/>
          <w:b w:val="1"/>
          <w:bCs w:val="1"/>
          <w:color w:val="auto"/>
        </w:rPr>
        <w:t>Neither the Securities and Exchange Commission nor any state securities commission has approved or disapproved of these securities or determined if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219710</wp:posOffset>
            </wp:positionV>
            <wp:extent cx="7272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0219"/>
          </w:cols>
          <w:pgMar w:left="240" w:top="947" w:right="1440" w:bottom="441" w:gutter="0" w:footer="0" w:header="0"/>
        </w:sectPr>
      </w:pPr>
    </w:p>
    <w:bookmarkStart w:id="2" w:name="page3"/>
    <w:bookmarkEnd w:id="2"/>
    <w:p>
      <w:pPr>
        <w:ind w:right="3760"/>
        <w:spacing w:after="0" w:line="257" w:lineRule="auto"/>
        <w:rPr>
          <w:sz w:val="20"/>
          <w:szCs w:val="20"/>
          <w:color w:val="auto"/>
        </w:rPr>
      </w:pPr>
      <w:r>
        <w:rPr>
          <w:rFonts w:ascii="Courier New" w:cs="Courier New" w:eastAsia="Courier New" w:hAnsi="Courier New"/>
          <w:sz w:val="17"/>
          <w:szCs w:val="17"/>
          <w:b w:val="1"/>
          <w:bCs w:val="1"/>
          <w:color w:val="auto"/>
        </w:rPr>
        <w:t>is truthful or complete. Any representation to the contrary is a criminal offense.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ind w:left="2740"/>
              <w:spacing w:after="0"/>
              <w:rPr>
                <w:sz w:val="20"/>
                <w:szCs w:val="20"/>
                <w:color w:val="auto"/>
              </w:rPr>
            </w:pPr>
            <w:r>
              <w:rPr>
                <w:rFonts w:ascii="Courier New" w:cs="Courier New" w:eastAsia="Courier New" w:hAnsi="Courier New"/>
                <w:sz w:val="17"/>
                <w:szCs w:val="17"/>
                <w:color w:val="auto"/>
              </w:rPr>
              <w:t>----------------------------</w:t>
            </w:r>
          </w:p>
        </w:tc>
        <w:tc>
          <w:tcPr>
            <w:tcW w:w="3880" w:type="dxa"/>
            <w:vAlign w:val="bottom"/>
          </w:tcPr>
          <w:p>
            <w:pPr>
              <w:spacing w:after="0"/>
              <w:rPr>
                <w:sz w:val="17"/>
                <w:szCs w:val="17"/>
                <w:color w:val="auto"/>
              </w:rPr>
            </w:pPr>
          </w:p>
        </w:tc>
      </w:tr>
      <w:tr>
        <w:trPr>
          <w:trHeight w:val="604"/>
        </w:trPr>
        <w:tc>
          <w:tcPr>
            <w:tcW w:w="7540" w:type="dxa"/>
            <w:vAlign w:val="bottom"/>
          </w:tcPr>
          <w:p>
            <w:pPr>
              <w:ind w:left="1680"/>
              <w:spacing w:after="0"/>
              <w:rPr>
                <w:sz w:val="20"/>
                <w:szCs w:val="20"/>
                <w:color w:val="auto"/>
              </w:rPr>
            </w:pPr>
            <w:r>
              <w:rPr>
                <w:rFonts w:ascii="Courier New" w:cs="Courier New" w:eastAsia="Courier New" w:hAnsi="Courier New"/>
                <w:sz w:val="17"/>
                <w:szCs w:val="17"/>
                <w:color w:val="auto"/>
              </w:rPr>
              <w:t>The date of this Prospectus is ____________, 2002</w:t>
            </w:r>
          </w:p>
        </w:tc>
        <w:tc>
          <w:tcPr>
            <w:tcW w:w="3880" w:type="dxa"/>
            <w:vAlign w:val="bottom"/>
          </w:tcPr>
          <w:p>
            <w:pPr>
              <w:spacing w:after="0"/>
              <w:rPr>
                <w:sz w:val="24"/>
                <w:szCs w:val="24"/>
                <w:color w:val="auto"/>
              </w:rPr>
            </w:pPr>
          </w:p>
        </w:tc>
      </w:tr>
      <w:tr>
        <w:trPr>
          <w:trHeight w:val="385"/>
        </w:trPr>
        <w:tc>
          <w:tcPr>
            <w:tcW w:w="75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r>
      <w:tr>
        <w:trPr>
          <w:trHeight w:val="374"/>
        </w:trPr>
        <w:tc>
          <w:tcPr>
            <w:tcW w:w="7540" w:type="dxa"/>
            <w:vAlign w:val="bottom"/>
          </w:tcPr>
          <w:p>
            <w:pPr>
              <w:ind w:left="2840"/>
              <w:spacing w:after="0"/>
              <w:rPr>
                <w:sz w:val="20"/>
                <w:szCs w:val="20"/>
                <w:color w:val="auto"/>
              </w:rPr>
            </w:pPr>
            <w:r>
              <w:rPr>
                <w:rFonts w:ascii="Courier New" w:cs="Courier New" w:eastAsia="Courier New" w:hAnsi="Courier New"/>
                <w:sz w:val="17"/>
                <w:szCs w:val="17"/>
                <w:color w:val="auto"/>
              </w:rPr>
              <w:t>TABLE OF CONTENTS</w:t>
            </w:r>
          </w:p>
        </w:tc>
        <w:tc>
          <w:tcPr>
            <w:tcW w:w="3880" w:type="dxa"/>
            <w:vAlign w:val="bottom"/>
          </w:tcPr>
          <w:p>
            <w:pPr>
              <w:spacing w:after="0"/>
              <w:rPr>
                <w:sz w:val="24"/>
                <w:szCs w:val="24"/>
                <w:color w:val="auto"/>
              </w:rPr>
            </w:pPr>
          </w:p>
        </w:tc>
      </w:tr>
      <w:tr>
        <w:trPr>
          <w:trHeight w:val="806"/>
        </w:trPr>
        <w:tc>
          <w:tcPr>
            <w:tcW w:w="7540" w:type="dxa"/>
            <w:vAlign w:val="bottom"/>
          </w:tcPr>
          <w:p>
            <w:pPr>
              <w:spacing w:after="0"/>
              <w:rPr>
                <w:sz w:val="20"/>
                <w:szCs w:val="20"/>
                <w:color w:val="auto"/>
              </w:rPr>
            </w:pPr>
            <w:r>
              <w:rPr>
                <w:rFonts w:ascii="Courier New" w:cs="Courier New" w:eastAsia="Courier New" w:hAnsi="Courier New"/>
                <w:sz w:val="17"/>
                <w:szCs w:val="17"/>
                <w:color w:val="auto"/>
              </w:rPr>
              <w:t>ABOUT THIS PROSPECTUS....................................................</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rPr>
              <w:t>1</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rPr>
              <w:t>2</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NN, INC..................................................................</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rPr>
              <w:t>7</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rPr>
              <w:t>9</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SELLING STOCKHOLDERS....................................................</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w w:val="97"/>
              </w:rPr>
              <w:t>10</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w w:val="97"/>
              </w:rPr>
              <w:t>11</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LEGAL MATTERS...........................................................</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w w:val="97"/>
              </w:rPr>
              <w:t>15</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w w:val="97"/>
              </w:rPr>
              <w:t>15</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WHERE YOU CAN FIND MORE INFORMATION.....................................</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w w:val="97"/>
              </w:rPr>
              <w:t>15</w:t>
            </w:r>
          </w:p>
        </w:tc>
      </w:tr>
      <w:tr>
        <w:trPr>
          <w:trHeight w:val="201"/>
        </w:trPr>
        <w:tc>
          <w:tcPr>
            <w:tcW w:w="754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 BY REFERENCE.........................</w:t>
            </w:r>
          </w:p>
        </w:tc>
        <w:tc>
          <w:tcPr>
            <w:tcW w:w="3880" w:type="dxa"/>
            <w:vAlign w:val="bottom"/>
          </w:tcPr>
          <w:p>
            <w:pPr>
              <w:jc w:val="right"/>
              <w:ind w:right="3573"/>
              <w:spacing w:after="0"/>
              <w:rPr>
                <w:sz w:val="20"/>
                <w:szCs w:val="20"/>
                <w:color w:val="auto"/>
              </w:rPr>
            </w:pPr>
            <w:r>
              <w:rPr>
                <w:rFonts w:ascii="Courier New" w:cs="Courier New" w:eastAsia="Courier New" w:hAnsi="Courier New"/>
                <w:sz w:val="17"/>
                <w:szCs w:val="17"/>
                <w:color w:val="auto"/>
                <w:w w:val="97"/>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-1929130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-1929130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354965</wp:posOffset>
            </wp:positionV>
            <wp:extent cx="7272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b w:val="1"/>
          <w:bCs w:val="1"/>
          <w:color w:val="auto"/>
        </w:rPr>
        <w:t>ABOUT THIS PROSPECTUS</w:t>
      </w:r>
    </w:p>
    <w:p>
      <w:pPr>
        <w:spacing w:after="0" w:line="210" w:lineRule="exact"/>
        <w:rPr>
          <w:sz w:val="20"/>
          <w:szCs w:val="20"/>
          <w:color w:val="auto"/>
        </w:rPr>
      </w:pPr>
    </w:p>
    <w:p>
      <w:pPr>
        <w:ind w:right="3040" w:firstLine="943"/>
        <w:spacing w:after="0" w:line="251" w:lineRule="auto"/>
        <w:rPr>
          <w:sz w:val="20"/>
          <w:szCs w:val="20"/>
          <w:color w:val="auto"/>
        </w:rPr>
      </w:pPr>
      <w:r>
        <w:rPr>
          <w:rFonts w:ascii="Courier New" w:cs="Courier New" w:eastAsia="Courier New" w:hAnsi="Courier New"/>
          <w:sz w:val="17"/>
          <w:szCs w:val="17"/>
          <w:color w:val="auto"/>
        </w:rPr>
        <w:t>This prospectus is part of a registration statement on Form S-3 that we filed with the Securities and Exchange Commission using a "shelf" registration process. Under the shelf registration process, we may, from time to time, offer and sell shares of our common stock described in this prospectus in one or more offerings up to a total dollar amount of $36,000,000. In addition, up to 4,033,749 shares of our common stock may be sold from time to time in one or more offerings by several of our stockholders. We will not receive any proceeds from any sale of the shares by the selling stockholders.</w:t>
      </w:r>
    </w:p>
    <w:p>
      <w:pPr>
        <w:spacing w:after="0" w:line="200" w:lineRule="exact"/>
        <w:rPr>
          <w:sz w:val="20"/>
          <w:szCs w:val="20"/>
          <w:color w:val="auto"/>
        </w:rPr>
      </w:pPr>
    </w:p>
    <w:p>
      <w:pPr>
        <w:spacing w:after="0" w:line="203" w:lineRule="exact"/>
        <w:rPr>
          <w:sz w:val="20"/>
          <w:szCs w:val="20"/>
          <w:color w:val="auto"/>
        </w:rPr>
      </w:pPr>
    </w:p>
    <w:p>
      <w:pPr>
        <w:ind w:right="3140" w:firstLine="943"/>
        <w:spacing w:after="0" w:line="251" w:lineRule="auto"/>
        <w:rPr>
          <w:sz w:val="20"/>
          <w:szCs w:val="20"/>
          <w:color w:val="auto"/>
        </w:rPr>
      </w:pPr>
      <w:r>
        <w:rPr>
          <w:rFonts w:ascii="Courier New" w:cs="Courier New" w:eastAsia="Courier New" w:hAnsi="Courier New"/>
          <w:sz w:val="17"/>
          <w:szCs w:val="17"/>
          <w:color w:val="auto"/>
        </w:rPr>
        <w:t>This prospectus provides you with a general description of the securities we may offer. Each time we or the selling stockholders sell common stock, we will provide a prospectus supplement that will contain specific information about the method and terms of that offering.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any applicable prospectus supplement together with additional information described below under the heading "Where You Can Find More Information."</w:t>
      </w:r>
    </w:p>
    <w:p>
      <w:pPr>
        <w:spacing w:after="0" w:line="201" w:lineRule="exact"/>
        <w:rPr>
          <w:sz w:val="20"/>
          <w:szCs w:val="20"/>
          <w:color w:val="auto"/>
        </w:rPr>
      </w:pPr>
    </w:p>
    <w:p>
      <w:pPr>
        <w:ind w:right="3040" w:firstLine="943"/>
        <w:spacing w:after="0" w:line="252" w:lineRule="auto"/>
        <w:rPr>
          <w:sz w:val="20"/>
          <w:szCs w:val="20"/>
          <w:color w:val="auto"/>
        </w:rPr>
      </w:pPr>
      <w:r>
        <w:rPr>
          <w:rFonts w:ascii="Courier New" w:cs="Courier New" w:eastAsia="Courier New" w:hAnsi="Courier New"/>
          <w:sz w:val="17"/>
          <w:szCs w:val="17"/>
          <w:color w:val="auto"/>
        </w:rPr>
        <w:t>When acquiring any securities discussed in this prospectus, you should rely upon the information contained in this prospectus and the prospectus supplement, including the information incorporated by reference.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397" w:lineRule="exact"/>
        <w:rPr>
          <w:sz w:val="20"/>
          <w:szCs w:val="20"/>
          <w:color w:val="auto"/>
        </w:rPr>
      </w:pPr>
    </w:p>
    <w:p>
      <w:pPr>
        <w:ind w:right="3040" w:firstLine="943"/>
        <w:spacing w:after="0" w:line="252" w:lineRule="auto"/>
        <w:rPr>
          <w:sz w:val="20"/>
          <w:szCs w:val="20"/>
          <w:color w:val="auto"/>
        </w:rPr>
      </w:pPr>
      <w:r>
        <w:rPr>
          <w:rFonts w:ascii="Courier New" w:cs="Courier New" w:eastAsia="Courier New" w:hAnsi="Courier New"/>
          <w:sz w:val="17"/>
          <w:szCs w:val="17"/>
          <w:color w:val="auto"/>
        </w:rPr>
        <w:t>We and the selling stockholders may sell the common stock to or through underwriters, dealers or agents or directly to purchasers. The applicable prospectus supplement will provide the names of any underwriters, dealers or agents involved in the sale of the common stock, and any applicable fee, commission or discount arrangements with them. For a more detailed description of the various means by which we may distribute the common stock, you should read the information under the heading "Plan of Distribution."</w:t>
      </w:r>
    </w:p>
    <w:p>
      <w:pPr>
        <w:spacing w:after="0" w:line="196" w:lineRule="exact"/>
        <w:rPr>
          <w:sz w:val="20"/>
          <w:szCs w:val="20"/>
          <w:color w:val="auto"/>
        </w:rPr>
      </w:pPr>
    </w:p>
    <w:p>
      <w:pPr>
        <w:ind w:right="3040" w:firstLine="943"/>
        <w:spacing w:after="0" w:line="254" w:lineRule="auto"/>
        <w:rPr>
          <w:sz w:val="20"/>
          <w:szCs w:val="20"/>
          <w:color w:val="auto"/>
        </w:rPr>
      </w:pPr>
      <w:r>
        <w:rPr>
          <w:rFonts w:ascii="Courier New" w:cs="Courier New" w:eastAsia="Courier New" w:hAnsi="Courier New"/>
          <w:sz w:val="17"/>
          <w:szCs w:val="17"/>
          <w:color w:val="auto"/>
        </w:rPr>
        <w:t>As used in this prospectus and any prospectus supplement, the terms "we," "us," "our," "NN" or the "Company," refer collectively to NN,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347980</wp:posOffset>
            </wp:positionV>
            <wp:extent cx="7272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b w:val="1"/>
          <w:bCs w:val="1"/>
          <w:color w:val="auto"/>
        </w:rPr>
        <w:t>RISK FACTORS</w:t>
      </w:r>
    </w:p>
    <w:p>
      <w:pPr>
        <w:sectPr>
          <w:pgSz w:w="11900" w:h="16838" w:orient="portrait"/>
          <w:cols w:equalWidth="0" w:num="1">
            <w:col w:w="11420"/>
          </w:cols>
          <w:pgMar w:left="240" w:top="343" w:right="239" w:bottom="0" w:gutter="0" w:footer="0" w:header="0"/>
        </w:sectPr>
      </w:pPr>
    </w:p>
    <w:bookmarkStart w:id="3" w:name="page4"/>
    <w:bookmarkEnd w:id="3"/>
    <w:p>
      <w:pPr>
        <w:ind w:right="1839" w:firstLine="943"/>
        <w:spacing w:after="0" w:line="251" w:lineRule="auto"/>
        <w:rPr>
          <w:sz w:val="20"/>
          <w:szCs w:val="20"/>
          <w:color w:val="auto"/>
        </w:rPr>
      </w:pPr>
      <w:r>
        <w:rPr>
          <w:rFonts w:ascii="Courier New" w:cs="Courier New" w:eastAsia="Courier New" w:hAnsi="Courier New"/>
          <w:sz w:val="17"/>
          <w:szCs w:val="17"/>
          <w:color w:val="auto"/>
        </w:rPr>
        <w:t>You should carefully consider the following risks and uncertainties and any risks and uncertainties contained in the accompanying prospectus supplement, and all other information contained in or incorporated by reference in this prospectus and the prospectus supplement, before making an investment in our common stock. Any of the following risks, and other risks not presently known to us or that we currently believe to be immaterial could have a material adverse effect on our business, financial condition or operating results. In such case, the trading price of our common stock could decline and you may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right="1939"/>
        <w:spacing w:after="0" w:line="257" w:lineRule="auto"/>
        <w:rPr>
          <w:sz w:val="20"/>
          <w:szCs w:val="20"/>
          <w:color w:val="auto"/>
        </w:rPr>
      </w:pPr>
      <w:r>
        <w:rPr>
          <w:rFonts w:ascii="Courier New" w:cs="Courier New" w:eastAsia="Courier New" w:hAnsi="Courier New"/>
          <w:sz w:val="17"/>
          <w:szCs w:val="17"/>
          <w:b w:val="1"/>
          <w:bCs w:val="1"/>
          <w:i w:val="1"/>
          <w:iCs w:val="1"/>
          <w:color w:val="auto"/>
        </w:rPr>
        <w:t>The demand for our products is cyclical, which could adversely impact our revenues.</w:t>
      </w:r>
    </w:p>
    <w:p>
      <w:pPr>
        <w:spacing w:after="0" w:line="192" w:lineRule="exact"/>
        <w:rPr>
          <w:sz w:val="20"/>
          <w:szCs w:val="20"/>
          <w:color w:val="auto"/>
        </w:rPr>
      </w:pPr>
    </w:p>
    <w:p>
      <w:pPr>
        <w:ind w:right="1939" w:firstLine="1047"/>
        <w:spacing w:after="0" w:line="252" w:lineRule="auto"/>
        <w:rPr>
          <w:sz w:val="20"/>
          <w:szCs w:val="20"/>
          <w:color w:val="auto"/>
        </w:rPr>
      </w:pPr>
      <w:r>
        <w:rPr>
          <w:rFonts w:ascii="Courier New" w:cs="Courier New" w:eastAsia="Courier New" w:hAnsi="Courier New"/>
          <w:sz w:val="17"/>
          <w:szCs w:val="17"/>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200" w:lineRule="exact"/>
        <w:rPr>
          <w:sz w:val="20"/>
          <w:szCs w:val="20"/>
          <w:color w:val="auto"/>
        </w:rPr>
      </w:pPr>
    </w:p>
    <w:p>
      <w:pPr>
        <w:spacing w:after="0" w:line="399" w:lineRule="exact"/>
        <w:rPr>
          <w:sz w:val="20"/>
          <w:szCs w:val="20"/>
          <w:color w:val="auto"/>
        </w:rPr>
      </w:pPr>
    </w:p>
    <w:p>
      <w:pPr>
        <w:ind w:left="1060" w:right="1939"/>
        <w:spacing w:after="0" w:line="254" w:lineRule="auto"/>
        <w:rPr>
          <w:sz w:val="20"/>
          <w:szCs w:val="20"/>
          <w:color w:val="auto"/>
        </w:rPr>
      </w:pPr>
      <w:r>
        <w:rPr>
          <w:rFonts w:ascii="Courier New" w:cs="Courier New" w:eastAsia="Courier New" w:hAnsi="Courier New"/>
          <w:sz w:val="17"/>
          <w:szCs w:val="17"/>
          <w:b w:val="1"/>
          <w:bCs w:val="1"/>
          <w:i w:val="1"/>
          <w:iCs w:val="1"/>
          <w:color w:val="auto"/>
        </w:rPr>
        <w:t>We depend on a very limited number of foreign sources for our primary raw material and are subject to risks of shortages and price fluctuation.</w:t>
      </w:r>
    </w:p>
    <w:p>
      <w:pPr>
        <w:spacing w:after="0" w:line="396"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201" w:lineRule="exact"/>
        <w:rPr>
          <w:sz w:val="20"/>
          <w:szCs w:val="20"/>
          <w:color w:val="auto"/>
        </w:rPr>
      </w:pPr>
    </w:p>
    <w:p>
      <w:pPr>
        <w:ind w:left="1060" w:right="1939"/>
        <w:spacing w:after="0" w:line="257" w:lineRule="auto"/>
        <w:rPr>
          <w:sz w:val="20"/>
          <w:szCs w:val="20"/>
          <w:color w:val="auto"/>
        </w:rPr>
      </w:pPr>
      <w:r>
        <w:rPr>
          <w:rFonts w:ascii="Courier New" w:cs="Courier New" w:eastAsia="Courier New" w:hAnsi="Courier New"/>
          <w:sz w:val="17"/>
          <w:szCs w:val="17"/>
          <w:b w:val="1"/>
          <w:bCs w:val="1"/>
          <w:i w:val="1"/>
          <w:iCs w:val="1"/>
          <w:color w:val="auto"/>
        </w:rPr>
        <w:t>We operate in and sell products to customers outside the U.S. and are subject to several related risks.</w:t>
      </w:r>
    </w:p>
    <w:p>
      <w:pPr>
        <w:spacing w:after="0" w:line="393" w:lineRule="exact"/>
        <w:rPr>
          <w:sz w:val="20"/>
          <w:szCs w:val="20"/>
          <w:color w:val="auto"/>
        </w:rPr>
      </w:pPr>
    </w:p>
    <w:p>
      <w:pPr>
        <w:ind w:right="1839" w:firstLine="1047"/>
        <w:spacing w:after="0" w:line="253" w:lineRule="auto"/>
        <w:rPr>
          <w:sz w:val="20"/>
          <w:szCs w:val="20"/>
          <w:color w:val="auto"/>
        </w:rPr>
      </w:pPr>
      <w:r>
        <w:rPr>
          <w:rFonts w:ascii="Courier New" w:cs="Courier New" w:eastAsia="Courier New" w:hAnsi="Courier New"/>
          <w:sz w:val="17"/>
          <w:szCs w:val="17"/>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95" w:lineRule="exact"/>
        <w:rPr>
          <w:sz w:val="20"/>
          <w:szCs w:val="20"/>
          <w:color w:val="auto"/>
        </w:rPr>
      </w:pPr>
    </w:p>
    <w:p>
      <w:pPr>
        <w:ind w:left="1580" w:hanging="525"/>
        <w:spacing w:after="0"/>
        <w:tabs>
          <w:tab w:leader="none" w:pos="158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 foreign currency fluctuations;</w:t>
      </w:r>
    </w:p>
    <w:p>
      <w:pPr>
        <w:spacing w:after="0" w:line="210" w:lineRule="exact"/>
        <w:rPr>
          <w:rFonts w:ascii="Courier New" w:cs="Courier New" w:eastAsia="Courier New" w:hAnsi="Courier New"/>
          <w:sz w:val="17"/>
          <w:szCs w:val="17"/>
          <w:color w:val="auto"/>
        </w:rPr>
      </w:pPr>
    </w:p>
    <w:p>
      <w:pPr>
        <w:ind w:left="1580" w:right="2139" w:hanging="525"/>
        <w:spacing w:after="0" w:line="254" w:lineRule="auto"/>
        <w:tabs>
          <w:tab w:leader="none" w:pos="158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trade, monetary and fiscal policies, laws and regulations, and other activities of governments, agencies and similar organizations;</w:t>
      </w:r>
    </w:p>
    <w:p>
      <w:pPr>
        <w:spacing w:after="0" w:line="194"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trade restrictions or prohibitions;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230505</wp:posOffset>
            </wp:positionV>
            <wp:extent cx="7272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80" w:right="2039" w:hanging="525"/>
        <w:spacing w:after="0" w:line="257" w:lineRule="auto"/>
        <w:tabs>
          <w:tab w:leader="none" w:pos="15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high tax rates that discourage the repatriation of funds to the U.S.;</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import or other duties or taxes; and</w:t>
      </w:r>
    </w:p>
    <w:p>
      <w:pPr>
        <w:spacing w:after="0" w:line="210" w:lineRule="exact"/>
        <w:rPr>
          <w:rFonts w:ascii="Courier New" w:cs="Courier New" w:eastAsia="Courier New" w:hAnsi="Courier New"/>
          <w:sz w:val="17"/>
          <w:szCs w:val="17"/>
          <w:color w:val="auto"/>
        </w:rPr>
      </w:pPr>
    </w:p>
    <w:p>
      <w:pPr>
        <w:jc w:val="both"/>
        <w:ind w:left="1580" w:right="2039" w:hanging="525"/>
        <w:spacing w:after="0" w:line="257" w:lineRule="auto"/>
        <w:tabs>
          <w:tab w:leader="none" w:pos="15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unstable governments or legal systems in countries in which our suppliers, manufacturing operations, and customers are located.</w:t>
      </w:r>
    </w:p>
    <w:p>
      <w:pPr>
        <w:spacing w:after="0" w:line="192" w:lineRule="exact"/>
        <w:rPr>
          <w:sz w:val="20"/>
          <w:szCs w:val="20"/>
          <w:color w:val="auto"/>
        </w:rPr>
      </w:pPr>
    </w:p>
    <w:p>
      <w:pPr>
        <w:jc w:val="both"/>
        <w:ind w:right="1839"/>
        <w:spacing w:after="0" w:line="254" w:lineRule="auto"/>
        <w:rPr>
          <w:sz w:val="20"/>
          <w:szCs w:val="20"/>
          <w:color w:val="auto"/>
        </w:rPr>
      </w:pPr>
      <w:r>
        <w:rPr>
          <w:rFonts w:ascii="Courier New" w:cs="Courier New" w:eastAsia="Courier New" w:hAnsi="Courier New"/>
          <w:sz w:val="17"/>
          <w:szCs w:val="17"/>
          <w:color w:val="auto"/>
        </w:rPr>
        <w:t>We do not have a hedging program in place to help limit the risk associated with consolidating the operating results of our foreign businesses into U.S. dollars. An increase in the value of the U.S. dollar and/or the Euro relative to other</w:t>
      </w:r>
    </w:p>
    <w:p>
      <w:pPr>
        <w:sectPr>
          <w:pgSz w:w="11900" w:h="16838" w:orient="portrait"/>
          <w:cols w:equalWidth="0" w:num="1">
            <w:col w:w="10219"/>
          </w:cols>
          <w:pgMar w:left="240" w:top="746" w:right="1440" w:bottom="0" w:gutter="0" w:footer="0" w:header="0"/>
        </w:sectPr>
      </w:pPr>
    </w:p>
    <w:bookmarkStart w:id="4" w:name="page5"/>
    <w:bookmarkEnd w:id="4"/>
    <w:p>
      <w:pPr>
        <w:ind w:right="2139"/>
        <w:spacing w:after="0" w:line="253" w:lineRule="auto"/>
        <w:rPr>
          <w:sz w:val="20"/>
          <w:szCs w:val="20"/>
          <w:color w:val="auto"/>
        </w:rPr>
      </w:pPr>
      <w:r>
        <w:rPr>
          <w:rFonts w:ascii="Courier New" w:cs="Courier New" w:eastAsia="Courier New" w:hAnsi="Courier New"/>
          <w:sz w:val="17"/>
          <w:szCs w:val="17"/>
          <w:color w:val="auto"/>
        </w:rPr>
        <w:t>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396" w:lineRule="exact"/>
        <w:rPr>
          <w:sz w:val="20"/>
          <w:szCs w:val="20"/>
          <w:color w:val="auto"/>
        </w:rPr>
      </w:pPr>
    </w:p>
    <w:p>
      <w:pPr>
        <w:jc w:val="both"/>
        <w:ind w:right="1939" w:firstLine="1047"/>
        <w:spacing w:after="0" w:line="253" w:lineRule="auto"/>
        <w:rPr>
          <w:sz w:val="20"/>
          <w:szCs w:val="20"/>
          <w:color w:val="auto"/>
        </w:rPr>
      </w:pPr>
      <w:r>
        <w:rPr>
          <w:rFonts w:ascii="Courier New" w:cs="Courier New" w:eastAsia="Courier New" w:hAnsi="Courier New"/>
          <w:sz w:val="17"/>
          <w:szCs w:val="17"/>
          <w:color w:val="auto"/>
        </w:rPr>
        <w:t>In addition, due to the typical slower summer manufacturing season in Europe, we expect that revenues in the third fiscal quarter will reflect lower sales, as our sales to foreign customers have increased as a percentage of net sales.</w:t>
      </w:r>
    </w:p>
    <w:p>
      <w:pPr>
        <w:spacing w:after="0" w:line="195" w:lineRule="exact"/>
        <w:rPr>
          <w:sz w:val="20"/>
          <w:szCs w:val="20"/>
          <w:color w:val="auto"/>
        </w:rPr>
      </w:pPr>
    </w:p>
    <w:p>
      <w:pPr>
        <w:jc w:val="both"/>
        <w:ind w:left="1060" w:right="1839"/>
        <w:spacing w:after="0" w:line="254" w:lineRule="auto"/>
        <w:rPr>
          <w:sz w:val="20"/>
          <w:szCs w:val="20"/>
          <w:color w:val="auto"/>
        </w:rPr>
      </w:pPr>
      <w:r>
        <w:rPr>
          <w:rFonts w:ascii="Courier New" w:cs="Courier New" w:eastAsia="Courier New" w:hAnsi="Courier New"/>
          <w:sz w:val="17"/>
          <w:szCs w:val="17"/>
          <w:b w:val="1"/>
          <w:bCs w:val="1"/>
          <w:i w:val="1"/>
          <w:iCs w:val="1"/>
          <w:color w:val="auto"/>
        </w:rPr>
        <w:t>We depend heavily on a relatively limited number of customers, and the loss of any major customer would have a material adverse effect on our business.</w:t>
      </w:r>
    </w:p>
    <w:p>
      <w:pPr>
        <w:spacing w:after="0" w:line="194"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Sales to various U.S. and foreign divisions of SKF, which is one of the largest bearing manufacturers in the world, accounted for approximately 35% of consolidated net sales in 2001, and sales to INA/FAG accounted for approximately 19% of consolidated net sales in 2001. During 2001, our ten largest customers accounted for approximately 73% of our consolidated net sales. None of our other customers individually accounted for more than 5% of our consolidated net sales for 2001. The loss of all or a substantial portion of sales to these customers would have a material adverse effect on our financial position, results of operations and cash flows.</w:t>
      </w:r>
    </w:p>
    <w:p>
      <w:pPr>
        <w:spacing w:after="0" w:line="201" w:lineRule="exact"/>
        <w:rPr>
          <w:sz w:val="20"/>
          <w:szCs w:val="20"/>
          <w:color w:val="auto"/>
        </w:rPr>
      </w:pPr>
    </w:p>
    <w:p>
      <w:pPr>
        <w:ind w:left="1060" w:right="2359"/>
        <w:spacing w:after="0" w:line="257" w:lineRule="auto"/>
        <w:rPr>
          <w:sz w:val="20"/>
          <w:szCs w:val="20"/>
          <w:color w:val="auto"/>
        </w:rPr>
      </w:pPr>
      <w:r>
        <w:rPr>
          <w:rFonts w:ascii="Courier New" w:cs="Courier New" w:eastAsia="Courier New" w:hAnsi="Courier New"/>
          <w:sz w:val="17"/>
          <w:szCs w:val="17"/>
          <w:b w:val="1"/>
          <w:bCs w:val="1"/>
          <w:i w:val="1"/>
          <w:iCs w:val="1"/>
          <w:color w:val="auto"/>
        </w:rPr>
        <w:t>The costs and difficulties of integrating acquired business could impede our future growth.</w:t>
      </w:r>
    </w:p>
    <w:p>
      <w:pPr>
        <w:spacing w:after="0" w:line="192"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If we are not able to integrate the operations of acquired companies successfully into our business, our future earnings and profitability could be materially and adversely affected.</w:t>
      </w:r>
    </w:p>
    <w:p>
      <w:pPr>
        <w:spacing w:after="0" w:line="201" w:lineRule="exact"/>
        <w:rPr>
          <w:sz w:val="20"/>
          <w:szCs w:val="20"/>
          <w:color w:val="auto"/>
        </w:rPr>
      </w:pPr>
    </w:p>
    <w:p>
      <w:pPr>
        <w:ind w:left="1060" w:right="1939"/>
        <w:spacing w:after="0" w:line="257" w:lineRule="auto"/>
        <w:rPr>
          <w:sz w:val="20"/>
          <w:szCs w:val="20"/>
          <w:color w:val="auto"/>
        </w:rPr>
      </w:pPr>
      <w:r>
        <w:rPr>
          <w:rFonts w:ascii="Courier New" w:cs="Courier New" w:eastAsia="Courier New" w:hAnsi="Courier New"/>
          <w:sz w:val="17"/>
          <w:szCs w:val="17"/>
          <w:b w:val="1"/>
          <w:bCs w:val="1"/>
          <w:i w:val="1"/>
          <w:iCs w:val="1"/>
          <w:color w:val="auto"/>
        </w:rPr>
        <w:t>We may not be able to continue to make the acquisitions necessary for us to realize our growth strategy.</w:t>
      </w:r>
    </w:p>
    <w:p>
      <w:pPr>
        <w:spacing w:after="0" w:line="192"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NN Euroball, ApS ("Euroball") with our two largest bearing customers, SKF and INA/FAG, in 2000 and acquired our bearing seal operations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230505</wp:posOffset>
            </wp:positionV>
            <wp:extent cx="7272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96" w:lineRule="exact"/>
        <w:rPr>
          <w:sz w:val="20"/>
          <w:szCs w:val="20"/>
          <w:color w:val="auto"/>
        </w:rPr>
      </w:pPr>
    </w:p>
    <w:p>
      <w:pPr>
        <w:ind w:right="1939" w:firstLine="1047"/>
        <w:spacing w:after="0" w:line="252" w:lineRule="auto"/>
        <w:rPr>
          <w:sz w:val="20"/>
          <w:szCs w:val="20"/>
          <w:color w:val="auto"/>
        </w:rPr>
      </w:pPr>
      <w:r>
        <w:rPr>
          <w:rFonts w:ascii="Courier New" w:cs="Courier New" w:eastAsia="Courier New" w:hAnsi="Courier New"/>
          <w:sz w:val="17"/>
          <w:szCs w:val="17"/>
          <w:color w:val="auto"/>
        </w:rPr>
        <w:t>Additionally, SKF and INA/FAG, the minority shareholders in Euroball, each have the right to require us to purchase their interest beginning in January 2003. The Company may need to borrow funds to pay for all or a portion of the purchase of an interest or may be required to make a purchase at a time that is less favorable to the Company.</w:t>
      </w:r>
    </w:p>
    <w:p>
      <w:pPr>
        <w:spacing w:after="0" w:line="399" w:lineRule="exact"/>
        <w:rPr>
          <w:sz w:val="20"/>
          <w:szCs w:val="20"/>
          <w:color w:val="auto"/>
        </w:rPr>
      </w:pPr>
    </w:p>
    <w:p>
      <w:pPr>
        <w:jc w:val="both"/>
        <w:ind w:left="1060" w:right="1939"/>
        <w:spacing w:after="0" w:line="254" w:lineRule="auto"/>
        <w:rPr>
          <w:sz w:val="20"/>
          <w:szCs w:val="20"/>
          <w:color w:val="auto"/>
        </w:rPr>
      </w:pPr>
      <w:r>
        <w:rPr>
          <w:rFonts w:ascii="Courier New" w:cs="Courier New" w:eastAsia="Courier New" w:hAnsi="Courier New"/>
          <w:sz w:val="17"/>
          <w:szCs w:val="17"/>
          <w:b w:val="1"/>
          <w:bCs w:val="1"/>
          <w:i w:val="1"/>
          <w:iCs w:val="1"/>
          <w:color w:val="auto"/>
        </w:rPr>
        <w:t>Our growth strategy depends on outsourcing, and if the industry trend toward outsourcing does not continue, our business could be adversely affected.</w:t>
      </w:r>
    </w:p>
    <w:p>
      <w:pPr>
        <w:spacing w:after="0" w:line="396"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ectPr>
          <w:pgSz w:w="11900" w:h="16838" w:orient="portrait"/>
          <w:cols w:equalWidth="0" w:num="1">
            <w:col w:w="10219"/>
          </w:cols>
          <w:pgMar w:left="240" w:top="142" w:right="1440" w:bottom="40" w:gutter="0" w:footer="0" w:header="0"/>
        </w:sectPr>
      </w:pPr>
    </w:p>
    <w:bookmarkStart w:id="5" w:name="page6"/>
    <w:bookmarkEnd w:id="5"/>
    <w:p>
      <w:pPr>
        <w:ind w:left="1060" w:right="2359"/>
        <w:spacing w:after="0" w:line="257" w:lineRule="auto"/>
        <w:rPr>
          <w:sz w:val="20"/>
          <w:szCs w:val="20"/>
          <w:color w:val="auto"/>
        </w:rPr>
      </w:pPr>
      <w:r>
        <w:rPr>
          <w:rFonts w:ascii="Courier New" w:cs="Courier New" w:eastAsia="Courier New" w:hAnsi="Courier New"/>
          <w:sz w:val="17"/>
          <w:szCs w:val="17"/>
          <w:b w:val="1"/>
          <w:bCs w:val="1"/>
          <w:i w:val="1"/>
          <w:iCs w:val="1"/>
          <w:color w:val="auto"/>
        </w:rPr>
        <w:t>Our market is highly competitive and many of our competitors have significant advantages that could adversely affect our business.</w:t>
      </w:r>
    </w:p>
    <w:p>
      <w:pPr>
        <w:spacing w:after="0" w:line="192"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01" w:lineRule="exact"/>
        <w:rPr>
          <w:sz w:val="20"/>
          <w:szCs w:val="20"/>
          <w:color w:val="auto"/>
        </w:rPr>
      </w:pPr>
    </w:p>
    <w:p>
      <w:pPr>
        <w:ind w:left="1060" w:right="1939"/>
        <w:spacing w:after="0" w:line="254" w:lineRule="auto"/>
        <w:rPr>
          <w:sz w:val="20"/>
          <w:szCs w:val="20"/>
          <w:color w:val="auto"/>
        </w:rPr>
      </w:pPr>
      <w:r>
        <w:rPr>
          <w:rFonts w:ascii="Courier New" w:cs="Courier New" w:eastAsia="Courier New" w:hAnsi="Courier New"/>
          <w:sz w:val="17"/>
          <w:szCs w:val="17"/>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94"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We have significantly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and the first and second quarters of 2002 were adversely affected by the under-utilization of our production facilities, and we face risks of further under-utilization or inefficient utilization of our production facilities in future years.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b w:val="1"/>
          <w:bCs w:val="1"/>
          <w:i w:val="1"/>
          <w:iCs w:val="1"/>
          <w:color w:val="auto"/>
        </w:rPr>
        <w:t>The price of our common stock may be volatile.</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The market price of our common stock could be subject to significant fluctuations after this offering, and may decline below the public offering price. Among the factors that could affect our stock price are:</w:t>
      </w:r>
    </w:p>
    <w:p>
      <w:pPr>
        <w:spacing w:after="0" w:line="194" w:lineRule="exact"/>
        <w:rPr>
          <w:sz w:val="20"/>
          <w:szCs w:val="20"/>
          <w:color w:val="auto"/>
        </w:rPr>
      </w:pPr>
    </w:p>
    <w:p>
      <w:pPr>
        <w:ind w:left="1580" w:hanging="525"/>
        <w:spacing w:after="0"/>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operating and financial performance and prospects;</w:t>
      </w:r>
    </w:p>
    <w:p>
      <w:pPr>
        <w:spacing w:after="0" w:line="210" w:lineRule="exact"/>
        <w:rPr>
          <w:rFonts w:ascii="Courier New" w:cs="Courier New" w:eastAsia="Courier New" w:hAnsi="Courier New"/>
          <w:sz w:val="17"/>
          <w:szCs w:val="17"/>
          <w:color w:val="auto"/>
        </w:rPr>
      </w:pPr>
    </w:p>
    <w:p>
      <w:pPr>
        <w:ind w:left="1580" w:right="1939" w:hanging="525"/>
        <w:spacing w:after="0" w:line="257" w:lineRule="auto"/>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variations in the rate of growth of our financial indicators, such as earnings per share, net income and revenues;</w:t>
      </w:r>
    </w:p>
    <w:p>
      <w:pPr>
        <w:spacing w:after="0" w:line="191" w:lineRule="exact"/>
        <w:rPr>
          <w:rFonts w:ascii="Courier New" w:cs="Courier New" w:eastAsia="Courier New" w:hAnsi="Courier New"/>
          <w:sz w:val="17"/>
          <w:szCs w:val="17"/>
          <w:color w:val="auto"/>
        </w:rPr>
      </w:pPr>
    </w:p>
    <w:p>
      <w:pPr>
        <w:ind w:left="1580" w:right="2559" w:hanging="525"/>
        <w:spacing w:after="0" w:line="257" w:lineRule="auto"/>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revenue or earnings estimates or publication of research reports by analysts;</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of any member of our senior management team;</w:t>
      </w:r>
    </w:p>
    <w:p>
      <w:pPr>
        <w:spacing w:after="0" w:line="210"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speculation in the press or investment community;</w:t>
      </w:r>
    </w:p>
    <w:p>
      <w:pPr>
        <w:spacing w:after="0" w:line="210" w:lineRule="exact"/>
        <w:rPr>
          <w:rFonts w:ascii="Courier New" w:cs="Courier New" w:eastAsia="Courier New" w:hAnsi="Courier New"/>
          <w:sz w:val="17"/>
          <w:szCs w:val="17"/>
          <w:color w:val="auto"/>
        </w:rPr>
      </w:pPr>
    </w:p>
    <w:p>
      <w:pPr>
        <w:ind w:left="1580" w:right="1939" w:hanging="525"/>
        <w:spacing w:after="0" w:line="257" w:lineRule="auto"/>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strategic actions by us or our competitors, such as acquisitions or restructurings;</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our common stock by stockholders;</w:t>
      </w:r>
    </w:p>
    <w:p>
      <w:pPr>
        <w:spacing w:after="0" w:line="210"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 conditions; and</w:t>
      </w:r>
    </w:p>
    <w:p>
      <w:pPr>
        <w:spacing w:after="0" w:line="210" w:lineRule="exact"/>
        <w:rPr>
          <w:rFonts w:ascii="Courier New" w:cs="Courier New" w:eastAsia="Courier New" w:hAnsi="Courier New"/>
          <w:sz w:val="17"/>
          <w:szCs w:val="17"/>
          <w:color w:val="auto"/>
        </w:rPr>
      </w:pPr>
    </w:p>
    <w:p>
      <w:pPr>
        <w:ind w:left="1580" w:right="1839" w:hanging="525"/>
        <w:spacing w:after="0" w:line="257" w:lineRule="auto"/>
        <w:tabs>
          <w:tab w:leader="none" w:pos="1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domestic and international economic, legal and regulatory factors unrelated to our performance.</w:t>
      </w:r>
    </w:p>
    <w:p>
      <w:pPr>
        <w:spacing w:after="0" w:line="192" w:lineRule="exact"/>
        <w:rPr>
          <w:sz w:val="20"/>
          <w:szCs w:val="20"/>
          <w:color w:val="auto"/>
        </w:rPr>
      </w:pPr>
    </w:p>
    <w:p>
      <w:pPr>
        <w:ind w:right="1939" w:firstLine="1047"/>
        <w:spacing w:after="0" w:line="253" w:lineRule="auto"/>
        <w:rPr>
          <w:sz w:val="20"/>
          <w:szCs w:val="20"/>
          <w:color w:val="auto"/>
        </w:rPr>
      </w:pPr>
      <w:r>
        <w:rPr>
          <w:rFonts w:ascii="Courier New" w:cs="Courier New" w:eastAsia="Courier New" w:hAnsi="Courier New"/>
          <w:sz w:val="17"/>
          <w:szCs w:val="17"/>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95" w:lineRule="exact"/>
        <w:rPr>
          <w:sz w:val="20"/>
          <w:szCs w:val="20"/>
          <w:color w:val="auto"/>
        </w:rPr>
      </w:pPr>
    </w:p>
    <w:p>
      <w:pPr>
        <w:ind w:left="1060" w:right="1939"/>
        <w:spacing w:after="0" w:line="257" w:lineRule="auto"/>
        <w:rPr>
          <w:sz w:val="20"/>
          <w:szCs w:val="20"/>
          <w:color w:val="auto"/>
        </w:rPr>
      </w:pPr>
      <w:r>
        <w:rPr>
          <w:rFonts w:ascii="Courier New" w:cs="Courier New" w:eastAsia="Courier New" w:hAnsi="Courier New"/>
          <w:sz w:val="17"/>
          <w:szCs w:val="17"/>
          <w:b w:val="1"/>
          <w:bCs w:val="1"/>
          <w:i w:val="1"/>
          <w:iCs w:val="1"/>
          <w:color w:val="auto"/>
        </w:rPr>
        <w:t>Provisions in our charter documents and Delaware law may inhibit a takeover, which could adversely affect the value of our common stock.</w:t>
      </w:r>
    </w:p>
    <w:p>
      <w:pPr>
        <w:spacing w:after="0" w:line="192"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201" w:lineRule="exact"/>
        <w:rPr>
          <w:sz w:val="20"/>
          <w:szCs w:val="20"/>
          <w:color w:val="auto"/>
        </w:rPr>
      </w:pPr>
    </w:p>
    <w:p>
      <w:pPr>
        <w:ind w:right="1839" w:firstLine="1047"/>
        <w:spacing w:after="0" w:line="253" w:lineRule="auto"/>
        <w:rPr>
          <w:sz w:val="20"/>
          <w:szCs w:val="20"/>
          <w:color w:val="auto"/>
        </w:rPr>
      </w:pPr>
      <w:r>
        <w:rPr>
          <w:rFonts w:ascii="Courier New" w:cs="Courier New" w:eastAsia="Courier New" w:hAnsi="Courier New"/>
          <w:sz w:val="17"/>
          <w:szCs w:val="17"/>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w:t>
      </w:r>
    </w:p>
    <w:p>
      <w:pPr>
        <w:sectPr>
          <w:pgSz w:w="11900" w:h="16838" w:orient="portrait"/>
          <w:cols w:equalWidth="0" w:num="1">
            <w:col w:w="10219"/>
          </w:cols>
          <w:pgMar w:left="240" w:top="142" w:right="1440" w:bottom="0" w:gutter="0" w:footer="0" w:header="0"/>
        </w:sectPr>
      </w:pPr>
    </w:p>
    <w:bookmarkStart w:id="6" w:name="page7"/>
    <w:bookmarkEnd w:id="6"/>
    <w:p>
      <w:pPr>
        <w:ind w:right="1839"/>
        <w:spacing w:after="0" w:line="252" w:lineRule="auto"/>
        <w:rPr>
          <w:sz w:val="20"/>
          <w:szCs w:val="20"/>
          <w:color w:val="auto"/>
        </w:rPr>
      </w:pPr>
      <w:r>
        <w:rPr>
          <w:rFonts w:ascii="Courier New" w:cs="Courier New" w:eastAsia="Courier New" w:hAnsi="Courier New"/>
          <w:sz w:val="17"/>
          <w:szCs w:val="17"/>
          <w:color w:val="auto"/>
        </w:rPr>
        <w:t>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365"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97" w:lineRule="exact"/>
        <w:rPr>
          <w:sz w:val="20"/>
          <w:szCs w:val="20"/>
          <w:color w:val="auto"/>
        </w:rPr>
      </w:pPr>
    </w:p>
    <w:p>
      <w:pPr>
        <w:jc w:val="both"/>
        <w:ind w:right="2039" w:firstLine="943"/>
        <w:spacing w:after="0" w:line="254" w:lineRule="auto"/>
        <w:rPr>
          <w:sz w:val="20"/>
          <w:szCs w:val="20"/>
          <w:color w:val="auto"/>
        </w:rPr>
      </w:pPr>
      <w:r>
        <w:rPr>
          <w:rFonts w:ascii="Courier New" w:cs="Courier New" w:eastAsia="Courier New" w:hAnsi="Courier New"/>
          <w:sz w:val="17"/>
          <w:szCs w:val="17"/>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b w:val="1"/>
          <w:bCs w:val="1"/>
          <w:color w:val="auto"/>
        </w:rPr>
        <w:t>NN, INC.</w:t>
      </w:r>
    </w:p>
    <w:p>
      <w:pPr>
        <w:spacing w:after="0" w:line="210" w:lineRule="exact"/>
        <w:rPr>
          <w:sz w:val="20"/>
          <w:szCs w:val="20"/>
          <w:color w:val="auto"/>
        </w:rPr>
      </w:pPr>
    </w:p>
    <w:p>
      <w:pPr>
        <w:ind w:right="1839" w:firstLine="950"/>
        <w:spacing w:after="0" w:line="251" w:lineRule="auto"/>
        <w:tabs>
          <w:tab w:leader="none" w:pos="125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20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Our bearing component products presently account for approximately 90% of our consolidated revenue and sales of high precision plastic products account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manufacturers segment of the market with a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20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Both SKF and INA/FAG independently entered into long-term supply agreements designating Euroball as their primary supplier of ball products in Europe. Through Euroball, we are Europe's leading provider of precision balls.</w:t>
      </w:r>
    </w:p>
    <w:p>
      <w:pPr>
        <w:spacing w:after="0" w:line="201"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We operate eight North American and European manufacturing facilities. Our two U. S. ball and roller production facilities are located in Tennessee and our Euroball subsidiary operates three manufacturing facilities located in Ireland, Germany and Italy. Our seal, retainer and other plastic products are manufactured in three facilities located in Connecticut, Texas and Mexico.</w:t>
      </w:r>
    </w:p>
    <w:p>
      <w:pPr>
        <w:spacing w:after="0" w:line="197" w:lineRule="exact"/>
        <w:rPr>
          <w:sz w:val="20"/>
          <w:szCs w:val="20"/>
          <w:color w:val="auto"/>
        </w:rPr>
      </w:pPr>
    </w:p>
    <w:p>
      <w:pPr>
        <w:ind w:right="1939" w:firstLine="943"/>
        <w:spacing w:after="0" w:line="253" w:lineRule="auto"/>
        <w:rPr>
          <w:sz w:val="20"/>
          <w:szCs w:val="20"/>
          <w:color w:val="auto"/>
        </w:rPr>
      </w:pPr>
      <w:r>
        <w:rPr>
          <w:rFonts w:ascii="Courier New" w:cs="Courier New" w:eastAsia="Courier New" w:hAnsi="Courier New"/>
          <w:sz w:val="17"/>
          <w:szCs w:val="17"/>
          <w:color w:val="auto"/>
        </w:rPr>
        <w:t>Our principal executive offices are located at 2000 Waters Edge Drive, Johnson City, Tennessee 37604 and our telephone number is (423) 743-9151. Our Internet website address is www.nnbr.com. Information contained on our website is not part of this prospectus.</w:t>
      </w:r>
    </w:p>
    <w:p>
      <w:pPr>
        <w:sectPr>
          <w:pgSz w:w="11900" w:h="16838" w:orient="portrait"/>
          <w:cols w:equalWidth="0" w:num="1">
            <w:col w:w="10219"/>
          </w:cols>
          <w:pgMar w:left="240" w:top="142" w:right="1440" w:bottom="93" w:gutter="0" w:footer="0" w:header="0"/>
        </w:sectPr>
      </w:pP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109220</wp:posOffset>
            </wp:positionV>
            <wp:extent cx="7272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0219"/>
          </w:cols>
          <w:pgMar w:left="240" w:top="142" w:right="1440" w:bottom="93" w:gutter="0" w:footer="0" w:header="0"/>
          <w:type w:val="continuous"/>
        </w:sectPr>
      </w:pPr>
    </w:p>
    <w:bookmarkStart w:id="7" w:name="page8"/>
    <w:bookmarkEnd w:id="7"/>
    <w:p>
      <w:pPr>
        <w:ind w:left="1160"/>
        <w:spacing w:after="0"/>
        <w:rPr>
          <w:sz w:val="20"/>
          <w:szCs w:val="20"/>
          <w:color w:val="auto"/>
        </w:rPr>
      </w:pPr>
      <w:r>
        <w:rPr>
          <w:rFonts w:ascii="Courier New" w:cs="Courier New" w:eastAsia="Courier New" w:hAnsi="Courier New"/>
          <w:sz w:val="17"/>
          <w:szCs w:val="17"/>
          <w:b w:val="1"/>
          <w:bCs w:val="1"/>
          <w:color w:val="auto"/>
        </w:rPr>
        <w:t>Cautionary Statement Concerning Forward-Looking Statements</w:t>
      </w:r>
    </w:p>
    <w:p>
      <w:pPr>
        <w:spacing w:after="0" w:line="210" w:lineRule="exact"/>
        <w:rPr>
          <w:sz w:val="20"/>
          <w:szCs w:val="20"/>
          <w:color w:val="auto"/>
        </w:rPr>
      </w:pPr>
    </w:p>
    <w:p>
      <w:pPr>
        <w:ind w:right="2520" w:firstLine="943"/>
        <w:spacing w:after="0" w:line="251" w:lineRule="auto"/>
        <w:rPr>
          <w:sz w:val="20"/>
          <w:szCs w:val="20"/>
          <w:color w:val="auto"/>
        </w:rPr>
      </w:pPr>
      <w:r>
        <w:rPr>
          <w:rFonts w:ascii="Courier New" w:cs="Courier New" w:eastAsia="Courier New" w:hAnsi="Courier New"/>
          <w:sz w:val="17"/>
          <w:szCs w:val="17"/>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4 through 7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230505</wp:posOffset>
            </wp:positionV>
            <wp:extent cx="7272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b w:val="1"/>
          <w:bCs w:val="1"/>
          <w:color w:val="auto"/>
        </w:rPr>
        <w:t>USE OF PROCEEDS</w:t>
      </w:r>
    </w:p>
    <w:p>
      <w:pPr>
        <w:spacing w:after="0" w:line="210" w:lineRule="exact"/>
        <w:rPr>
          <w:sz w:val="20"/>
          <w:szCs w:val="20"/>
          <w:color w:val="auto"/>
        </w:rPr>
      </w:pPr>
    </w:p>
    <w:p>
      <w:pPr>
        <w:ind w:right="2520" w:firstLine="943"/>
        <w:spacing w:after="0" w:line="251" w:lineRule="auto"/>
        <w:rPr>
          <w:sz w:val="20"/>
          <w:szCs w:val="20"/>
          <w:color w:val="auto"/>
        </w:rPr>
      </w:pPr>
      <w:r>
        <w:rPr>
          <w:rFonts w:ascii="Courier New" w:cs="Courier New" w:eastAsia="Courier New" w:hAnsi="Courier New"/>
          <w:sz w:val="17"/>
          <w:szCs w:val="17"/>
          <w:color w:val="auto"/>
        </w:rPr>
        <w:t>Unless otherwise indicated in a prospectus supplement, we intend to use the net proceeds from this offering to repay a portion of the borrowings outstanding under the term loan portion of our existing credit facilities as required under those arrangements. The term loan under our credit facility expires on July 1, 2006 and bears interest at a floating rate equal to LIBOR</w:t>
      </w:r>
    </w:p>
    <w:p>
      <w:pPr>
        <w:ind w:right="2620"/>
        <w:spacing w:after="0" w:line="257" w:lineRule="auto"/>
        <w:rPr>
          <w:sz w:val="20"/>
          <w:szCs w:val="20"/>
          <w:color w:val="auto"/>
        </w:rPr>
      </w:pPr>
      <w:r>
        <w:rPr>
          <w:rFonts w:ascii="Courier New" w:cs="Courier New" w:eastAsia="Courier New" w:hAnsi="Courier New"/>
          <w:sz w:val="17"/>
          <w:szCs w:val="17"/>
          <w:color w:val="auto"/>
        </w:rPr>
        <w:t>(1.81% at September 24, 2002) plus an applicable margin of 0.75% to 2.00% based upon calculated financial ratios.</w:t>
      </w:r>
    </w:p>
    <w:p>
      <w:pPr>
        <w:spacing w:after="0" w:line="393" w:lineRule="exact"/>
        <w:rPr>
          <w:sz w:val="20"/>
          <w:szCs w:val="20"/>
          <w:color w:val="auto"/>
        </w:rPr>
      </w:pPr>
    </w:p>
    <w:p>
      <w:pPr>
        <w:ind w:right="2520" w:firstLine="943"/>
        <w:spacing w:after="0" w:line="251" w:lineRule="auto"/>
        <w:rPr>
          <w:sz w:val="20"/>
          <w:szCs w:val="20"/>
          <w:color w:val="auto"/>
        </w:rPr>
      </w:pPr>
      <w:r>
        <w:rPr>
          <w:rFonts w:ascii="Courier New" w:cs="Courier New" w:eastAsia="Courier New" w:hAnsi="Courier New"/>
          <w:sz w:val="17"/>
          <w:szCs w:val="17"/>
          <w:color w:val="auto"/>
        </w:rPr>
        <w:t>To the extent that the net proceeds of any offering pursuant to this prospectus are not used to repay indebtedness under our credit facilities, we anticipate that the proceeds will be used for general operational purposes, which may include, but are not limited to, working capital, capital expenditures and future acquisitions. In addition, each of the minority shareholders in Euroball, SKF and INA/FAG, has the right to require us to purchase their interest beginning January 2003 based on a formula price. The purchase price would be determined at the time SKF or INA/FAG exercises such right and would be determined by multiples based on the annualized average monthly income, average monthly EBITDA and short and long term borrowings of Euroball. If one of them were to exercise that right, we may use a portion of the shares in this offering to raise funds to purchase the interest or we may issue shares of common stock directly as all or a portion of the payment.</w:t>
      </w:r>
    </w:p>
    <w:p>
      <w:pPr>
        <w:spacing w:after="0" w:line="200" w:lineRule="exact"/>
        <w:rPr>
          <w:sz w:val="20"/>
          <w:szCs w:val="20"/>
          <w:color w:val="auto"/>
        </w:rPr>
      </w:pPr>
    </w:p>
    <w:p>
      <w:pPr>
        <w:spacing w:after="0" w:line="203" w:lineRule="exact"/>
        <w:rPr>
          <w:sz w:val="20"/>
          <w:szCs w:val="20"/>
          <w:color w:val="auto"/>
        </w:rPr>
      </w:pPr>
    </w:p>
    <w:p>
      <w:pPr>
        <w:ind w:right="2720" w:firstLine="943"/>
        <w:spacing w:after="0" w:line="257" w:lineRule="auto"/>
        <w:rPr>
          <w:sz w:val="20"/>
          <w:szCs w:val="20"/>
          <w:color w:val="auto"/>
        </w:rPr>
      </w:pPr>
      <w:r>
        <w:rPr>
          <w:rFonts w:ascii="Courier New" w:cs="Courier New" w:eastAsia="Courier New" w:hAnsi="Courier New"/>
          <w:sz w:val="17"/>
          <w:szCs w:val="17"/>
          <w:color w:val="auto"/>
        </w:rPr>
        <w:t>We will not receive any of the proceeds from sales of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7"/>
          <w:szCs w:val="17"/>
          <w:b w:val="1"/>
          <w:bCs w:val="1"/>
          <w:color w:val="auto"/>
        </w:rPr>
        <w:t>SELLING STOCKHOLDERS</w:t>
      </w:r>
    </w:p>
    <w:p>
      <w:pPr>
        <w:spacing w:after="0" w:line="210" w:lineRule="exact"/>
        <w:rPr>
          <w:sz w:val="20"/>
          <w:szCs w:val="20"/>
          <w:color w:val="auto"/>
        </w:rPr>
      </w:pPr>
    </w:p>
    <w:p>
      <w:pPr>
        <w:ind w:right="2520" w:firstLine="943"/>
        <w:spacing w:after="0" w:line="252" w:lineRule="auto"/>
        <w:rPr>
          <w:sz w:val="20"/>
          <w:szCs w:val="20"/>
          <w:color w:val="auto"/>
        </w:rPr>
      </w:pPr>
      <w:r>
        <w:rPr>
          <w:rFonts w:ascii="Courier New" w:cs="Courier New" w:eastAsia="Courier New" w:hAnsi="Courier New"/>
          <w:sz w:val="17"/>
          <w:szCs w:val="17"/>
          <w:color w:val="auto"/>
        </w:rPr>
        <w:t>The following table sets forth certain information regarding the beneficial ownership of our common stock as of September 25, 2002, and as by the stockholders who are selling shares of common stock in this offering, and as adjusted to reflect the sale of shares offered in this prospectus. Unless otherwise noted, to our knowledge each selling stockholder has sole voting and investment power over the shares shown.</w:t>
      </w:r>
    </w:p>
    <w:p>
      <w:pPr>
        <w:sectPr>
          <w:pgSz w:w="11900" w:h="16838" w:orient="portrait"/>
          <w:cols w:equalWidth="0" w:num="1">
            <w:col w:w="10900"/>
          </w:cols>
          <w:pgMar w:left="240" w:top="545" w:right="7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b w:val="1"/>
          <w:bCs w:val="1"/>
          <w:color w:val="auto"/>
        </w:rPr>
        <w:t>Shares</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b w:val="1"/>
          <w:bCs w:val="1"/>
          <w:color w:val="auto"/>
        </w:rPr>
        <w:t>Beneficially Owned</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b w:val="1"/>
          <w:bCs w:val="1"/>
          <w:color w:val="auto"/>
        </w:rPr>
        <w:t>Prior to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7"/>
          <w:szCs w:val="17"/>
          <w:b w:val="1"/>
          <w:bCs w:val="1"/>
          <w:color w:val="auto"/>
        </w:rPr>
        <w:t>Shares</w:t>
      </w:r>
    </w:p>
    <w:p>
      <w:pPr>
        <w:spacing w:after="0" w:line="9"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7"/>
          <w:szCs w:val="17"/>
          <w:b w:val="1"/>
          <w:bCs w:val="1"/>
          <w:color w:val="auto"/>
        </w:rPr>
        <w:t>Being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b w:val="1"/>
          <w:bCs w:val="1"/>
          <w:color w:val="auto"/>
        </w:rPr>
        <w:t>Beneficially Owned</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b w:val="1"/>
          <w:bCs w:val="1"/>
          <w:color w:val="auto"/>
        </w:rPr>
        <w:t>After Offering</w:t>
      </w:r>
    </w:p>
    <w:p>
      <w:pPr>
        <w:sectPr>
          <w:pgSz w:w="11900" w:h="16838" w:orient="portrait"/>
          <w:cols w:equalWidth="0" w:num="3">
            <w:col w:w="6400" w:space="720"/>
            <w:col w:w="1180" w:space="720"/>
            <w:col w:w="1880"/>
          </w:cols>
          <w:pgMar w:left="240" w:top="545" w:right="759" w:bottom="0" w:gutter="0" w:footer="0" w:header="0"/>
          <w:type w:val="continuous"/>
        </w:sectPr>
      </w:pPr>
    </w:p>
    <w:bookmarkStart w:id="8" w:name="page9"/>
    <w:bookmarkEnd w:id="8"/>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740" w:type="dxa"/>
            <w:vAlign w:val="bottom"/>
          </w:tcPr>
          <w:p>
            <w:pPr>
              <w:jc w:val="right"/>
              <w:ind w:right="813"/>
              <w:spacing w:after="0"/>
              <w:rPr>
                <w:sz w:val="20"/>
                <w:szCs w:val="20"/>
                <w:color w:val="auto"/>
              </w:rPr>
            </w:pPr>
            <w:r>
              <w:rPr>
                <w:rFonts w:ascii="Courier New" w:cs="Courier New" w:eastAsia="Courier New" w:hAnsi="Courier New"/>
                <w:sz w:val="17"/>
                <w:szCs w:val="17"/>
                <w:b w:val="1"/>
                <w:bCs w:val="1"/>
                <w:color w:val="auto"/>
              </w:rPr>
              <w:t>Number</w:t>
            </w:r>
          </w:p>
        </w:tc>
        <w:tc>
          <w:tcPr>
            <w:tcW w:w="2080" w:type="dxa"/>
            <w:vAlign w:val="bottom"/>
          </w:tcPr>
          <w:p>
            <w:pPr>
              <w:jc w:val="right"/>
              <w:ind w:right="173"/>
              <w:spacing w:after="0"/>
              <w:rPr>
                <w:sz w:val="20"/>
                <w:szCs w:val="20"/>
                <w:color w:val="auto"/>
              </w:rPr>
            </w:pPr>
            <w:r>
              <w:rPr>
                <w:rFonts w:ascii="Courier New" w:cs="Courier New" w:eastAsia="Courier New" w:hAnsi="Courier New"/>
                <w:sz w:val="17"/>
                <w:szCs w:val="17"/>
                <w:b w:val="1"/>
                <w:bCs w:val="1"/>
                <w:color w:val="auto"/>
              </w:rPr>
              <w:t>Percent (%)(1)</w:t>
            </w:r>
          </w:p>
        </w:tc>
        <w:tc>
          <w:tcPr>
            <w:tcW w:w="1520" w:type="dxa"/>
            <w:vAlign w:val="bottom"/>
          </w:tcPr>
          <w:p>
            <w:pPr>
              <w:jc w:val="right"/>
              <w:ind w:right="433"/>
              <w:spacing w:after="0"/>
              <w:rPr>
                <w:sz w:val="20"/>
                <w:szCs w:val="20"/>
                <w:color w:val="auto"/>
              </w:rPr>
            </w:pPr>
            <w:r>
              <w:rPr>
                <w:rFonts w:ascii="Courier New" w:cs="Courier New" w:eastAsia="Courier New" w:hAnsi="Courier New"/>
                <w:sz w:val="17"/>
                <w:szCs w:val="17"/>
                <w:b w:val="1"/>
                <w:bCs w:val="1"/>
                <w:color w:val="auto"/>
              </w:rPr>
              <w:t>Offered</w:t>
            </w:r>
          </w:p>
        </w:tc>
        <w:tc>
          <w:tcPr>
            <w:tcW w:w="1360" w:type="dxa"/>
            <w:vAlign w:val="bottom"/>
          </w:tcPr>
          <w:p>
            <w:pPr>
              <w:jc w:val="right"/>
              <w:ind w:right="433"/>
              <w:spacing w:after="0"/>
              <w:rPr>
                <w:sz w:val="20"/>
                <w:szCs w:val="20"/>
                <w:color w:val="auto"/>
              </w:rPr>
            </w:pPr>
            <w:r>
              <w:rPr>
                <w:rFonts w:ascii="Courier New" w:cs="Courier New" w:eastAsia="Courier New" w:hAnsi="Courier New"/>
                <w:sz w:val="17"/>
                <w:szCs w:val="17"/>
                <w:b w:val="1"/>
                <w:bCs w:val="1"/>
                <w:color w:val="auto"/>
              </w:rPr>
              <w:t>Number</w:t>
            </w:r>
          </w:p>
        </w:tc>
        <w:tc>
          <w:tcPr>
            <w:tcW w:w="1780" w:type="dxa"/>
            <w:vAlign w:val="bottom"/>
          </w:tcPr>
          <w:p>
            <w:pPr>
              <w:ind w:left="320"/>
              <w:spacing w:after="0"/>
              <w:rPr>
                <w:sz w:val="20"/>
                <w:szCs w:val="20"/>
                <w:color w:val="auto"/>
              </w:rPr>
            </w:pPr>
            <w:r>
              <w:rPr>
                <w:rFonts w:ascii="Courier New" w:cs="Courier New" w:eastAsia="Courier New" w:hAnsi="Courier New"/>
                <w:sz w:val="17"/>
                <w:szCs w:val="17"/>
                <w:b w:val="1"/>
                <w:bCs w:val="1"/>
                <w:color w:val="auto"/>
              </w:rPr>
              <w:t>Percent (%)(1)</w:t>
            </w:r>
          </w:p>
        </w:tc>
      </w:tr>
      <w:tr>
        <w:trPr>
          <w:trHeight w:val="201"/>
        </w:trPr>
        <w:tc>
          <w:tcPr>
            <w:tcW w:w="3040" w:type="dxa"/>
            <w:vAlign w:val="bottom"/>
          </w:tcPr>
          <w:p>
            <w:pPr>
              <w:spacing w:after="0"/>
              <w:rPr>
                <w:sz w:val="17"/>
                <w:szCs w:val="17"/>
                <w:color w:val="auto"/>
              </w:rPr>
            </w:pPr>
          </w:p>
        </w:tc>
        <w:tc>
          <w:tcPr>
            <w:tcW w:w="1740" w:type="dxa"/>
            <w:vAlign w:val="bottom"/>
          </w:tcPr>
          <w:p>
            <w:pPr>
              <w:jc w:val="right"/>
              <w:ind w:right="813"/>
              <w:spacing w:after="0"/>
              <w:rPr>
                <w:sz w:val="20"/>
                <w:szCs w:val="20"/>
                <w:color w:val="auto"/>
              </w:rPr>
            </w:pPr>
            <w:r>
              <w:rPr>
                <w:rFonts w:ascii="Courier New" w:cs="Courier New" w:eastAsia="Courier New" w:hAnsi="Courier New"/>
                <w:sz w:val="17"/>
                <w:szCs w:val="17"/>
                <w:b w:val="1"/>
                <w:bCs w:val="1"/>
                <w:color w:val="auto"/>
              </w:rPr>
              <w:t>------</w:t>
            </w:r>
          </w:p>
        </w:tc>
        <w:tc>
          <w:tcPr>
            <w:tcW w:w="2080" w:type="dxa"/>
            <w:vAlign w:val="bottom"/>
          </w:tcPr>
          <w:p>
            <w:pPr>
              <w:jc w:val="right"/>
              <w:ind w:right="173"/>
              <w:spacing w:after="0"/>
              <w:rPr>
                <w:sz w:val="20"/>
                <w:szCs w:val="20"/>
                <w:color w:val="auto"/>
              </w:rPr>
            </w:pPr>
            <w:r>
              <w:rPr>
                <w:rFonts w:ascii="Courier New" w:cs="Courier New" w:eastAsia="Courier New" w:hAnsi="Courier New"/>
                <w:sz w:val="17"/>
                <w:szCs w:val="17"/>
                <w:b w:val="1"/>
                <w:bCs w:val="1"/>
                <w:color w:val="auto"/>
              </w:rPr>
              <w:t>--------------</w:t>
            </w:r>
          </w:p>
        </w:tc>
        <w:tc>
          <w:tcPr>
            <w:tcW w:w="1520" w:type="dxa"/>
            <w:vAlign w:val="bottom"/>
          </w:tcPr>
          <w:p>
            <w:pPr>
              <w:jc w:val="right"/>
              <w:ind w:right="433"/>
              <w:spacing w:after="0"/>
              <w:rPr>
                <w:sz w:val="20"/>
                <w:szCs w:val="20"/>
                <w:color w:val="auto"/>
              </w:rPr>
            </w:pPr>
            <w:r>
              <w:rPr>
                <w:rFonts w:ascii="Courier New" w:cs="Courier New" w:eastAsia="Courier New" w:hAnsi="Courier New"/>
                <w:sz w:val="17"/>
                <w:szCs w:val="17"/>
                <w:b w:val="1"/>
                <w:bCs w:val="1"/>
                <w:color w:val="auto"/>
              </w:rPr>
              <w:t>-------</w:t>
            </w:r>
          </w:p>
        </w:tc>
        <w:tc>
          <w:tcPr>
            <w:tcW w:w="1360" w:type="dxa"/>
            <w:vAlign w:val="bottom"/>
          </w:tcPr>
          <w:p>
            <w:pPr>
              <w:jc w:val="right"/>
              <w:ind w:right="433"/>
              <w:spacing w:after="0"/>
              <w:rPr>
                <w:sz w:val="20"/>
                <w:szCs w:val="20"/>
                <w:color w:val="auto"/>
              </w:rPr>
            </w:pPr>
            <w:r>
              <w:rPr>
                <w:rFonts w:ascii="Courier New" w:cs="Courier New" w:eastAsia="Courier New" w:hAnsi="Courier New"/>
                <w:sz w:val="17"/>
                <w:szCs w:val="17"/>
                <w:b w:val="1"/>
                <w:bCs w:val="1"/>
                <w:color w:val="auto"/>
              </w:rPr>
              <w:t>------</w:t>
            </w:r>
          </w:p>
        </w:tc>
        <w:tc>
          <w:tcPr>
            <w:tcW w:w="1780" w:type="dxa"/>
            <w:vAlign w:val="bottom"/>
          </w:tcPr>
          <w:p>
            <w:pPr>
              <w:ind w:left="320"/>
              <w:spacing w:after="0"/>
              <w:rPr>
                <w:sz w:val="20"/>
                <w:szCs w:val="20"/>
                <w:color w:val="auto"/>
              </w:rPr>
            </w:pPr>
            <w:r>
              <w:rPr>
                <w:rFonts w:ascii="Courier New" w:cs="Courier New" w:eastAsia="Courier New" w:hAnsi="Courier New"/>
                <w:sz w:val="17"/>
                <w:szCs w:val="17"/>
                <w:b w:val="1"/>
                <w:bCs w:val="1"/>
                <w:color w:val="auto"/>
              </w:rPr>
              <w:t>-----------</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Richard D. Ennen (2)</w:t>
            </w:r>
          </w:p>
        </w:tc>
        <w:tc>
          <w:tcPr>
            <w:tcW w:w="17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2,844,668(3)</w:t>
            </w:r>
          </w:p>
        </w:tc>
        <w:tc>
          <w:tcPr>
            <w:tcW w:w="20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18.5</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2,844,668</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Michael D. Huff (4)</w:t>
            </w:r>
          </w:p>
        </w:tc>
        <w:tc>
          <w:tcPr>
            <w:tcW w:w="17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662,227(5)</w:t>
            </w:r>
          </w:p>
        </w:tc>
        <w:tc>
          <w:tcPr>
            <w:tcW w:w="20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2.8</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662,227</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Leonard Bowman</w:t>
            </w:r>
          </w:p>
        </w:tc>
        <w:tc>
          <w:tcPr>
            <w:tcW w:w="17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300,085(6)</w:t>
            </w:r>
          </w:p>
        </w:tc>
        <w:tc>
          <w:tcPr>
            <w:tcW w:w="20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250,000</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50,085</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Janet M. Huff</w:t>
            </w:r>
          </w:p>
        </w:tc>
        <w:tc>
          <w:tcPr>
            <w:tcW w:w="17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225,000</w:t>
            </w:r>
          </w:p>
        </w:tc>
        <w:tc>
          <w:tcPr>
            <w:tcW w:w="20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225,000</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Monica C. Ennen</w:t>
            </w:r>
          </w:p>
        </w:tc>
        <w:tc>
          <w:tcPr>
            <w:tcW w:w="17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129,900(7)</w:t>
            </w:r>
          </w:p>
        </w:tc>
        <w:tc>
          <w:tcPr>
            <w:tcW w:w="20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129,900</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Deborah E. Bagierek</w:t>
            </w:r>
          </w:p>
        </w:tc>
        <w:tc>
          <w:tcPr>
            <w:tcW w:w="17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96,869(8)</w:t>
            </w:r>
          </w:p>
        </w:tc>
        <w:tc>
          <w:tcPr>
            <w:tcW w:w="20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96,869</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806"/>
        </w:trPr>
        <w:tc>
          <w:tcPr>
            <w:tcW w:w="3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Amounts are less than one percent.</w:t>
      </w:r>
    </w:p>
    <w:p>
      <w:pPr>
        <w:spacing w:after="0" w:line="210" w:lineRule="exact"/>
        <w:rPr>
          <w:sz w:val="20"/>
          <w:szCs w:val="20"/>
          <w:color w:val="auto"/>
        </w:rPr>
      </w:pPr>
    </w:p>
    <w:p>
      <w:pPr>
        <w:ind w:right="3140" w:firstLine="7"/>
        <w:spacing w:after="0" w:line="254"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15,368,273 shares of NN's common stock outstanding on September 25, 2002. The percentage of shares owned after the offering assumes that NN sells 3,830,000 shares pursuant to this prospectus.</w:t>
      </w:r>
    </w:p>
    <w:p>
      <w:pPr>
        <w:spacing w:after="0" w:line="194" w:lineRule="exact"/>
        <w:rPr>
          <w:rFonts w:ascii="Courier New" w:cs="Courier New" w:eastAsia="Courier New" w:hAnsi="Courier New"/>
          <w:sz w:val="17"/>
          <w:szCs w:val="17"/>
          <w:color w:val="auto"/>
        </w:rPr>
      </w:pPr>
    </w:p>
    <w:p>
      <w:pPr>
        <w:ind w:right="3140" w:firstLine="7"/>
        <w:spacing w:after="0" w:line="254"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Ennen currently sits on the Company's Board of Directors and has since the Company's formation in 1980. He was Chairman of the Board from the formation of the Company until September of 2001.</w:t>
      </w:r>
    </w:p>
    <w:p>
      <w:pPr>
        <w:spacing w:after="0" w:line="395" w:lineRule="exact"/>
        <w:rPr>
          <w:rFonts w:ascii="Courier New" w:cs="Courier New" w:eastAsia="Courier New" w:hAnsi="Courier New"/>
          <w:sz w:val="17"/>
          <w:szCs w:val="17"/>
          <w:color w:val="auto"/>
        </w:rPr>
      </w:pPr>
    </w:p>
    <w:p>
      <w:pPr>
        <w:ind w:right="3240" w:firstLine="7"/>
        <w:spacing w:after="0" w:line="252"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1,800,000 shares held by the Richard D. Ennen Charitable Remainder Unitrust of which Mr. Ennen is the trustee and 200,000 shares held by the Ennen Charitable Trust of which Mr. Ennen is the trustee. Mr. Ennen disclaims beneficial ownership to the shares held by his former spouse, Monica Ennen, and his daughter, Deborah E. Bagierek.</w:t>
      </w:r>
    </w:p>
    <w:p>
      <w:pPr>
        <w:spacing w:after="0" w:line="398" w:lineRule="exact"/>
        <w:rPr>
          <w:rFonts w:ascii="Courier New" w:cs="Courier New" w:eastAsia="Courier New" w:hAnsi="Courier New"/>
          <w:sz w:val="17"/>
          <w:szCs w:val="17"/>
          <w:color w:val="auto"/>
        </w:rPr>
      </w:pPr>
    </w:p>
    <w:p>
      <w:pPr>
        <w:ind w:right="3440" w:firstLine="7"/>
        <w:spacing w:after="0" w:line="257"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Huff currently sits on the Company's Board of Directors and has since the Company's formation in 1980.</w:t>
      </w:r>
    </w:p>
    <w:p>
      <w:pPr>
        <w:spacing w:after="0" w:line="393" w:lineRule="exact"/>
        <w:rPr>
          <w:rFonts w:ascii="Courier New" w:cs="Courier New" w:eastAsia="Courier New" w:hAnsi="Courier New"/>
          <w:sz w:val="17"/>
          <w:szCs w:val="17"/>
          <w:color w:val="auto"/>
        </w:rPr>
      </w:pPr>
    </w:p>
    <w:p>
      <w:pPr>
        <w:ind w:right="3020" w:firstLine="7"/>
        <w:spacing w:after="0" w:line="254"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 23,000 shares subject to presently exercisable options, and (ii) 225,000 shares held directly by Mr. Huff's spouse, for which Mr. Huff disclaims beneficial ownership.</w:t>
      </w:r>
    </w:p>
    <w:p>
      <w:pPr>
        <w:spacing w:after="0" w:line="395" w:lineRule="exact"/>
        <w:rPr>
          <w:rFonts w:ascii="Courier New" w:cs="Courier New" w:eastAsia="Courier New" w:hAnsi="Courier New"/>
          <w:sz w:val="17"/>
          <w:szCs w:val="17"/>
          <w:color w:val="auto"/>
        </w:rPr>
      </w:pPr>
    </w:p>
    <w:p>
      <w:pPr>
        <w:ind w:right="3140" w:firstLine="7"/>
        <w:spacing w:after="0" w:line="257"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Mr. Bowman's shares are held in joint tenancy with his wife, Wilma J. Bowman.</w:t>
      </w:r>
    </w:p>
    <w:p>
      <w:pPr>
        <w:spacing w:after="0" w:line="19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Ms. Ennen's shares are held by the Monica Conway Ennen Trust,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Ms. Ennen is a trustee.</w:t>
      </w:r>
    </w:p>
    <w:p>
      <w:pPr>
        <w:spacing w:after="0" w:line="210" w:lineRule="exact"/>
        <w:rPr>
          <w:sz w:val="20"/>
          <w:szCs w:val="20"/>
          <w:color w:val="auto"/>
        </w:rPr>
      </w:pPr>
    </w:p>
    <w:p>
      <w:pPr>
        <w:ind w:right="3340" w:firstLine="7"/>
        <w:spacing w:after="0" w:line="257" w:lineRule="auto"/>
        <w:tabs>
          <w:tab w:leader="none" w:pos="41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Ms. Bagierek's shares are held by the Deborah Ennen Bagierek Trust, of which Ms. Bagierek is a trustee.</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b w:val="1"/>
          <w:bCs w:val="1"/>
          <w:color w:val="auto"/>
        </w:rPr>
        <w:t>PLAN OF DISTRIBUTION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Company Offering</w:t>
      </w:r>
    </w:p>
    <w:p>
      <w:pPr>
        <w:spacing w:after="0" w:line="210" w:lineRule="exact"/>
        <w:rPr>
          <w:sz w:val="20"/>
          <w:szCs w:val="20"/>
          <w:color w:val="auto"/>
        </w:rPr>
      </w:pPr>
    </w:p>
    <w:p>
      <w:pPr>
        <w:ind w:right="3340" w:firstLine="943"/>
        <w:spacing w:after="0" w:line="257" w:lineRule="auto"/>
        <w:rPr>
          <w:sz w:val="20"/>
          <w:szCs w:val="20"/>
          <w:color w:val="auto"/>
        </w:rPr>
      </w:pPr>
      <w:r>
        <w:rPr>
          <w:rFonts w:ascii="Courier New" w:cs="Courier New" w:eastAsia="Courier New" w:hAnsi="Courier New"/>
          <w:sz w:val="17"/>
          <w:szCs w:val="17"/>
          <w:color w:val="auto"/>
        </w:rPr>
        <w:t>We may offer and sell the shares being offered by this prospectus and any accompanying prospectus supplement:</w:t>
      </w:r>
    </w:p>
    <w:p>
      <w:pPr>
        <w:spacing w:after="0" w:line="192" w:lineRule="exact"/>
        <w:rPr>
          <w:sz w:val="20"/>
          <w:szCs w:val="20"/>
          <w:color w:val="auto"/>
        </w:rPr>
      </w:pPr>
    </w:p>
    <w:p>
      <w:pPr>
        <w:ind w:left="1580" w:hanging="525"/>
        <w:spacing w:after="0"/>
        <w:tabs>
          <w:tab w:leader="none" w:pos="15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agents;</w:t>
      </w:r>
    </w:p>
    <w:p>
      <w:pPr>
        <w:spacing w:after="0" w:line="210"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one or more underwriters or dealers;</w:t>
      </w:r>
    </w:p>
    <w:p>
      <w:pPr>
        <w:spacing w:after="0" w:line="210" w:lineRule="exact"/>
        <w:rPr>
          <w:rFonts w:ascii="Courier New" w:cs="Courier New" w:eastAsia="Courier New" w:hAnsi="Courier New"/>
          <w:sz w:val="17"/>
          <w:szCs w:val="17"/>
          <w:color w:val="auto"/>
        </w:rPr>
      </w:pPr>
    </w:p>
    <w:p>
      <w:pPr>
        <w:ind w:left="1580" w:right="3240" w:hanging="525"/>
        <w:spacing w:after="0" w:line="253" w:lineRule="auto"/>
        <w:tabs>
          <w:tab w:leader="none" w:pos="15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 block trade in which the broker or dealer engaged to handle the block trade will attempt to sell the shares as agent, but may position and resell a portion of the block as principal to facilitate the transaction;</w:t>
      </w:r>
    </w:p>
    <w:p>
      <w:pPr>
        <w:spacing w:after="0" w:line="195" w:lineRule="exact"/>
        <w:rPr>
          <w:rFonts w:ascii="Courier New" w:cs="Courier New" w:eastAsia="Courier New" w:hAnsi="Courier New"/>
          <w:sz w:val="17"/>
          <w:szCs w:val="17"/>
          <w:color w:val="auto"/>
        </w:rPr>
      </w:pPr>
    </w:p>
    <w:p>
      <w:pPr>
        <w:ind w:left="1580" w:right="3240" w:hanging="525"/>
        <w:spacing w:after="0" w:line="257" w:lineRule="auto"/>
        <w:tabs>
          <w:tab w:leader="none" w:pos="15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to one or more purchasers in exchange for cash or other assets; or</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 combination of any of these methods of sale.</w:t>
      </w:r>
    </w:p>
    <w:p>
      <w:pPr>
        <w:spacing w:after="0" w:line="210" w:lineRule="exact"/>
        <w:rPr>
          <w:sz w:val="20"/>
          <w:szCs w:val="20"/>
          <w:color w:val="auto"/>
        </w:rPr>
      </w:pPr>
    </w:p>
    <w:p>
      <w:pPr>
        <w:ind w:right="3240"/>
        <w:spacing w:after="0" w:line="257" w:lineRule="auto"/>
        <w:rPr>
          <w:sz w:val="20"/>
          <w:szCs w:val="20"/>
          <w:color w:val="auto"/>
        </w:rPr>
      </w:pPr>
      <w:r>
        <w:rPr>
          <w:rFonts w:ascii="Courier New" w:cs="Courier New" w:eastAsia="Courier New" w:hAnsi="Courier New"/>
          <w:sz w:val="17"/>
          <w:szCs w:val="17"/>
          <w:color w:val="auto"/>
        </w:rPr>
        <w:t>To the extent required, this prospectus may be amended and/or supplemented from time to time to describe a specific plan of distribution.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Selling Stockholders Offering</w:t>
      </w:r>
    </w:p>
    <w:p>
      <w:pPr>
        <w:spacing w:after="0" w:line="210" w:lineRule="exact"/>
        <w:rPr>
          <w:sz w:val="20"/>
          <w:szCs w:val="20"/>
          <w:color w:val="auto"/>
        </w:rPr>
      </w:pPr>
    </w:p>
    <w:p>
      <w:pPr>
        <w:ind w:right="3440" w:firstLine="943"/>
        <w:spacing w:after="0" w:line="257" w:lineRule="auto"/>
        <w:rPr>
          <w:sz w:val="20"/>
          <w:szCs w:val="20"/>
          <w:color w:val="auto"/>
        </w:rPr>
      </w:pPr>
      <w:r>
        <w:rPr>
          <w:rFonts w:ascii="Courier New" w:cs="Courier New" w:eastAsia="Courier New" w:hAnsi="Courier New"/>
          <w:sz w:val="17"/>
          <w:szCs w:val="17"/>
          <w:color w:val="auto"/>
        </w:rPr>
        <w:t>The selling stockholders, separately or together, may offer and sell their portion of the shares being offered by this prospectus and any</w:t>
      </w:r>
    </w:p>
    <w:p>
      <w:pPr>
        <w:sectPr>
          <w:pgSz w:w="11900" w:h="16841" w:orient="portrait"/>
          <w:cols w:equalWidth="0" w:num="1">
            <w:col w:w="11520"/>
          </w:cols>
          <w:pgMar w:left="240" w:top="142" w:right="13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accompanying prospectus supplement only on the following terms and conditions:</w:t>
      </w:r>
    </w:p>
    <w:p>
      <w:pPr>
        <w:spacing w:after="0" w:line="210" w:lineRule="exact"/>
        <w:rPr>
          <w:sz w:val="20"/>
          <w:szCs w:val="20"/>
          <w:color w:val="auto"/>
        </w:rPr>
      </w:pPr>
    </w:p>
    <w:p>
      <w:pPr>
        <w:ind w:left="1580" w:right="1839" w:hanging="525"/>
        <w:spacing w:after="0" w:line="257" w:lineRule="auto"/>
        <w:tabs>
          <w:tab w:leader="none" w:pos="15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shares may be offered or sold by any selling stockholder prior to March 31, 2003 unless the Company agrees otherwise.</w:t>
      </w:r>
    </w:p>
    <w:p>
      <w:pPr>
        <w:spacing w:after="0" w:line="191" w:lineRule="exact"/>
        <w:rPr>
          <w:rFonts w:ascii="Courier New" w:cs="Courier New" w:eastAsia="Courier New" w:hAnsi="Courier New"/>
          <w:sz w:val="17"/>
          <w:szCs w:val="17"/>
          <w:color w:val="auto"/>
        </w:rPr>
      </w:pPr>
    </w:p>
    <w:p>
      <w:pPr>
        <w:ind w:left="1580" w:right="1839" w:hanging="525"/>
        <w:spacing w:after="0" w:line="253" w:lineRule="auto"/>
        <w:tabs>
          <w:tab w:leader="none" w:pos="15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shares offered or sold by any selling stockholder prior to December 31, 2003 must be offered or sold through McDonald Investments Inc. and Legg Mason Wood Walker Incorporated together or with one or more underwriters or dealers.</w:t>
      </w:r>
    </w:p>
    <w:p>
      <w:pPr>
        <w:spacing w:after="0" w:line="195" w:lineRule="exact"/>
        <w:rPr>
          <w:rFonts w:ascii="Courier New" w:cs="Courier New" w:eastAsia="Courier New" w:hAnsi="Courier New"/>
          <w:sz w:val="17"/>
          <w:szCs w:val="17"/>
          <w:color w:val="auto"/>
        </w:rPr>
      </w:pPr>
    </w:p>
    <w:p>
      <w:pPr>
        <w:ind w:left="1580" w:right="1939" w:hanging="525"/>
        <w:spacing w:after="0" w:line="257" w:lineRule="auto"/>
        <w:tabs>
          <w:tab w:leader="none" w:pos="15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by any selling stockholder must include a minimum of 500,000 shares in aggregate unless the Company agrees otherwise.</w:t>
      </w:r>
    </w:p>
    <w:p>
      <w:pPr>
        <w:spacing w:after="0" w:line="191" w:lineRule="exact"/>
        <w:rPr>
          <w:rFonts w:ascii="Courier New" w:cs="Courier New" w:eastAsia="Courier New" w:hAnsi="Courier New"/>
          <w:sz w:val="17"/>
          <w:szCs w:val="17"/>
          <w:color w:val="auto"/>
        </w:rPr>
      </w:pPr>
    </w:p>
    <w:p>
      <w:pPr>
        <w:ind w:left="1580" w:right="2039" w:hanging="525"/>
        <w:spacing w:after="0" w:line="257" w:lineRule="auto"/>
        <w:tabs>
          <w:tab w:leader="none" w:pos="15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must receive at least five business days prior written notice of any proposed sale by any selling stockholder.</w:t>
      </w:r>
    </w:p>
    <w:p>
      <w:pPr>
        <w:spacing w:after="0" w:line="191" w:lineRule="exact"/>
        <w:rPr>
          <w:rFonts w:ascii="Courier New" w:cs="Courier New" w:eastAsia="Courier New" w:hAnsi="Courier New"/>
          <w:sz w:val="17"/>
          <w:szCs w:val="17"/>
          <w:color w:val="auto"/>
        </w:rPr>
      </w:pPr>
    </w:p>
    <w:p>
      <w:pPr>
        <w:ind w:left="1580" w:right="1939" w:hanging="525"/>
        <w:spacing w:after="0" w:line="257" w:lineRule="auto"/>
        <w:tabs>
          <w:tab w:leader="none" w:pos="15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delay any sale by any selling stockholder for up to 90 days by written notice to the selling stockholder.</w:t>
      </w:r>
    </w:p>
    <w:p>
      <w:pPr>
        <w:spacing w:after="0" w:line="191" w:lineRule="exact"/>
        <w:rPr>
          <w:rFonts w:ascii="Courier New" w:cs="Courier New" w:eastAsia="Courier New" w:hAnsi="Courier New"/>
          <w:sz w:val="17"/>
          <w:szCs w:val="17"/>
          <w:color w:val="auto"/>
        </w:rPr>
      </w:pPr>
    </w:p>
    <w:p>
      <w:pPr>
        <w:ind w:left="1580" w:right="1839" w:hanging="525"/>
        <w:spacing w:after="0" w:line="253" w:lineRule="auto"/>
        <w:tabs>
          <w:tab w:leader="none" w:pos="15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Company and any selling stockholder participates together in an offering under this prospectus, the Company will have the right to choose to sell shares from its portion of this offering in priority to sales by the selling stockholders.</w:t>
      </w:r>
    </w:p>
    <w:p>
      <w:pPr>
        <w:spacing w:after="0" w:line="200" w:lineRule="exact"/>
        <w:rPr>
          <w:sz w:val="20"/>
          <w:szCs w:val="20"/>
          <w:color w:val="auto"/>
        </w:rPr>
      </w:pPr>
    </w:p>
    <w:p>
      <w:pPr>
        <w:spacing w:after="0" w:line="3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The selling stockholders and any underwriters, dealers or agents that the selling stockholders use to sell their shares may be deemed to be "underwriters" within the meaning of the Securities Act of 1933, as amended, and any discount, commission or concession received by them and any profit on the resale of shares as principal may be deemed to be underwriting discounts or commissions under the Securities Act. Because the selling stockholders may be deemed to be underwriters, the selling stockholders may be subject to the prospectus delivery requirements of the Securities Act.</w:t>
      </w:r>
    </w:p>
    <w:p>
      <w:pPr>
        <w:spacing w:after="0" w:line="200" w:lineRule="exact"/>
        <w:rPr>
          <w:sz w:val="20"/>
          <w:szCs w:val="20"/>
          <w:color w:val="auto"/>
        </w:rPr>
      </w:pPr>
    </w:p>
    <w:p>
      <w:pPr>
        <w:spacing w:after="0" w:line="203"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The selling stockholders may also transfer the common stock held by them by gift or other non-sale related transfer, in which case the donees, transferees or other successors-in-interest will be deemed to be selling stockholders. The number of shares offered by a particular selling stockholder under this prospectus will decrease as and when it takes any of the above actions, although the aggregate number of shares offered by the selling stockholders will remain unchanged. The plan of distribution for that selling stockholder's shares will otherwise remain unchanged. In addition, any offered shares by the selling stockholders covered by this prospectus that qualify for sale pursuant to Rule 144 may be sold under Rule 144 under the Securities Act rather than pursuant to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General Matters</w:t>
      </w:r>
    </w:p>
    <w:p>
      <w:pPr>
        <w:spacing w:after="0" w:line="210"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We have agreed to pay the majority of the costs and expenses incurred in connection with the registration under the Securities Act of the offered shares, including:</w:t>
      </w:r>
    </w:p>
    <w:p>
      <w:pPr>
        <w:spacing w:after="0" w:line="194" w:lineRule="exact"/>
        <w:rPr>
          <w:sz w:val="20"/>
          <w:szCs w:val="20"/>
          <w:color w:val="auto"/>
        </w:rPr>
      </w:pPr>
    </w:p>
    <w:p>
      <w:pPr>
        <w:ind w:left="1580" w:right="1839" w:hanging="525"/>
        <w:spacing w:after="0" w:line="257" w:lineRule="auto"/>
        <w:tabs>
          <w:tab w:leader="none" w:pos="15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registration and filing fees related to the company's portion of the offering;</w:t>
      </w:r>
    </w:p>
    <w:p>
      <w:pPr>
        <w:spacing w:after="0" w:line="191" w:lineRule="exact"/>
        <w:rPr>
          <w:rFonts w:ascii="Courier New" w:cs="Courier New" w:eastAsia="Courier New" w:hAnsi="Courier New"/>
          <w:sz w:val="17"/>
          <w:szCs w:val="17"/>
          <w:color w:val="auto"/>
        </w:rPr>
      </w:pPr>
    </w:p>
    <w:p>
      <w:pPr>
        <w:ind w:left="1580" w:right="1939" w:hanging="525"/>
        <w:spacing w:after="0" w:line="254" w:lineRule="auto"/>
        <w:tabs>
          <w:tab w:leader="none" w:pos="15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Printing fees and expenses related to the company's portion of the offering or to an offering including both Company shares and shares owned by the selling stockholders; and</w:t>
      </w:r>
    </w:p>
    <w:p>
      <w:pPr>
        <w:spacing w:after="0" w:line="194" w:lineRule="exact"/>
        <w:rPr>
          <w:rFonts w:ascii="Courier New" w:cs="Courier New" w:eastAsia="Courier New" w:hAnsi="Courier New"/>
          <w:sz w:val="17"/>
          <w:szCs w:val="17"/>
          <w:color w:val="auto"/>
        </w:rPr>
      </w:pPr>
    </w:p>
    <w:p>
      <w:pPr>
        <w:ind w:left="1580" w:right="2039" w:hanging="525"/>
        <w:spacing w:after="0" w:line="257" w:lineRule="auto"/>
        <w:tabs>
          <w:tab w:leader="none" w:pos="15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and disbursements of counsel, accountants and underwriters for us.</w:t>
      </w:r>
    </w:p>
    <w:p>
      <w:pPr>
        <w:spacing w:after="0" w:line="19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7"/>
          <w:szCs w:val="17"/>
          <w:color w:val="auto"/>
        </w:rPr>
        <w:t>The</w:t>
        <w:tab/>
        <w:t>selling stockholders will pay:</w:t>
      </w:r>
    </w:p>
    <w:p>
      <w:pPr>
        <w:spacing w:after="0" w:line="210" w:lineRule="exact"/>
        <w:rPr>
          <w:sz w:val="20"/>
          <w:szCs w:val="20"/>
          <w:color w:val="auto"/>
        </w:rPr>
      </w:pPr>
    </w:p>
    <w:p>
      <w:pPr>
        <w:ind w:left="1580" w:right="2039" w:hanging="525"/>
        <w:spacing w:after="0" w:line="257" w:lineRule="auto"/>
        <w:tabs>
          <w:tab w:leader="none" w:pos="158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registration and filing fees related to their portion of an offering;</w:t>
      </w:r>
    </w:p>
    <w:p>
      <w:pPr>
        <w:spacing w:after="0" w:line="191" w:lineRule="exact"/>
        <w:rPr>
          <w:rFonts w:ascii="Courier New" w:cs="Courier New" w:eastAsia="Courier New" w:hAnsi="Courier New"/>
          <w:sz w:val="17"/>
          <w:szCs w:val="17"/>
          <w:color w:val="auto"/>
        </w:rPr>
      </w:pPr>
    </w:p>
    <w:p>
      <w:pPr>
        <w:ind w:left="1580" w:right="1839" w:hanging="525"/>
        <w:spacing w:after="0" w:line="257" w:lineRule="auto"/>
        <w:tabs>
          <w:tab w:leader="none" w:pos="158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Printing fees and expenses related to any offering exclusively of their shares;</w:t>
      </w:r>
    </w:p>
    <w:p>
      <w:pPr>
        <w:spacing w:after="0" w:line="191" w:lineRule="exact"/>
        <w:rPr>
          <w:rFonts w:ascii="Courier New" w:cs="Courier New" w:eastAsia="Courier New" w:hAnsi="Courier New"/>
          <w:sz w:val="17"/>
          <w:szCs w:val="17"/>
          <w:color w:val="auto"/>
        </w:rPr>
      </w:pPr>
    </w:p>
    <w:p>
      <w:pPr>
        <w:ind w:left="1580" w:right="2139" w:hanging="525"/>
        <w:spacing w:after="0" w:line="257" w:lineRule="auto"/>
        <w:tabs>
          <w:tab w:leader="none" w:pos="158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underwriting discounts and commissions with respect to the shares of common stock they sell hereunder;</w:t>
      </w:r>
    </w:p>
    <w:p>
      <w:pPr>
        <w:spacing w:after="0" w:line="191" w:lineRule="exact"/>
        <w:rPr>
          <w:rFonts w:ascii="Courier New" w:cs="Courier New" w:eastAsia="Courier New" w:hAnsi="Courier New"/>
          <w:sz w:val="17"/>
          <w:szCs w:val="17"/>
          <w:color w:val="auto"/>
        </w:rPr>
      </w:pPr>
    </w:p>
    <w:p>
      <w:pPr>
        <w:ind w:left="1580" w:right="2259" w:hanging="525"/>
        <w:spacing w:after="0" w:line="257" w:lineRule="auto"/>
        <w:tabs>
          <w:tab w:leader="none" w:pos="158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and disbursements of any counsel retained by the selling stockholders; and</w:t>
      </w:r>
    </w:p>
    <w:p>
      <w:pPr>
        <w:sectPr>
          <w:pgSz w:w="11900" w:h="16838" w:orient="portrait"/>
          <w:cols w:equalWidth="0" w:num="1">
            <w:col w:w="10219"/>
          </w:cols>
          <w:pgMar w:left="240" w:top="142" w:right="1440" w:bottom="0" w:gutter="0" w:footer="0" w:header="0"/>
        </w:sectPr>
      </w:pPr>
    </w:p>
    <w:bookmarkStart w:id="10" w:name="page11"/>
    <w:bookmarkEnd w:id="10"/>
    <w:p>
      <w:pPr>
        <w:ind w:left="1580" w:hanging="525"/>
        <w:spacing w:after="0"/>
        <w:tabs>
          <w:tab w:leader="none" w:pos="15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taxes, if any.</w:t>
      </w:r>
    </w:p>
    <w:p>
      <w:pPr>
        <w:spacing w:after="0" w:line="210" w:lineRule="exact"/>
        <w:rPr>
          <w:sz w:val="20"/>
          <w:szCs w:val="20"/>
          <w:color w:val="auto"/>
        </w:rPr>
      </w:pPr>
    </w:p>
    <w:p>
      <w:pPr>
        <w:ind w:right="1839" w:firstLine="1047"/>
        <w:spacing w:after="0" w:line="257" w:lineRule="auto"/>
        <w:rPr>
          <w:sz w:val="20"/>
          <w:szCs w:val="20"/>
          <w:color w:val="auto"/>
        </w:rPr>
      </w:pPr>
      <w:r>
        <w:rPr>
          <w:rFonts w:ascii="Courier New" w:cs="Courier New" w:eastAsia="Courier New" w:hAnsi="Courier New"/>
          <w:sz w:val="17"/>
          <w:szCs w:val="17"/>
          <w:color w:val="auto"/>
        </w:rPr>
        <w:t>The distribution of the common stock may be effected from time to time in one or more transactions:</w:t>
      </w:r>
    </w:p>
    <w:p>
      <w:pPr>
        <w:spacing w:after="0" w:line="192" w:lineRule="exact"/>
        <w:rPr>
          <w:sz w:val="20"/>
          <w:szCs w:val="20"/>
          <w:color w:val="auto"/>
        </w:rPr>
      </w:pPr>
    </w:p>
    <w:p>
      <w:pPr>
        <w:ind w:left="1580" w:hanging="525"/>
        <w:spacing w:after="0"/>
        <w:tabs>
          <w:tab w:leader="none" w:pos="15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 fixed price or prices, which may be changed;</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4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w:t>
      </w:r>
    </w:p>
    <w:p>
      <w:pPr>
        <w:spacing w:after="0" w:line="384"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market prices prevailing at the time of sale;</w:t>
      </w:r>
    </w:p>
    <w:p>
      <w:pPr>
        <w:spacing w:after="0" w:line="210" w:lineRule="exact"/>
        <w:rPr>
          <w:rFonts w:ascii="Courier New" w:cs="Courier New" w:eastAsia="Courier New" w:hAnsi="Courier New"/>
          <w:sz w:val="17"/>
          <w:szCs w:val="17"/>
          <w:color w:val="auto"/>
        </w:rPr>
      </w:pPr>
    </w:p>
    <w:p>
      <w:pPr>
        <w:ind w:left="1580" w:right="1939" w:hanging="525"/>
        <w:spacing w:after="0" w:line="257" w:lineRule="auto"/>
        <w:tabs>
          <w:tab w:leader="none" w:pos="15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prices related to the market prices prevailing at the time of sale; or</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-902970</wp:posOffset>
            </wp:positionV>
            <wp:extent cx="7272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190"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Offers to purchase the common stock may be solicited by agents designated by us from time to time. Any agent involved in the offer or sale of the common stock will be named, and any commissions payable by us to the agent will be described, in the applicable prospectus supplement. Any agent may be deemed to be an underwriter, as such term is defined in the Securities Act of 1933, of the common stock so offered and sold.</w:t>
      </w:r>
    </w:p>
    <w:p>
      <w:pPr>
        <w:spacing w:after="0" w:line="197"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If we and/or any selling stockholders offer and sell common stock through an underwriter or underwriters, we and/or the selling stockholders will execute an underwriting agreement with the underwriter or underwriters at the time the common stock is sold to them. The names of the specific managing underwriter or underwriters, as well as any other underwriters, and the terms of the transactions, including compensation of the underwriters and dealers, which may be in the form of discounts, concessions or commissions, if any, will be described in the applicable prospectus supplement, which will be used by the underwriters to make resales of the common stock. That prospectus supplement and this prospectus will be used by the underwriters to make resales of the common stock. If underwriters are used in the sale of any common stock in connection with this prospectus, the common stock will be acquired by the underwriters for their own account and may be resold from time to time in one or more transactions, including negotiated transactions, at fixed public offering prices or at varying prices determined by the underwriters and us at the time of sale. Common stock may be offered to the public either through underwriting syndicates represented by managing underwriters or directly by one or more underwriters. If any underwriter or underwriters are used in the sale of common stock, unless otherwise indicated in a related prospectus supplement, the underwriting agreement will provide that the obligations of the underwriters are subject to some conditions precedent and that with respect to a sale of the common stock the underwriters will be obligated to purchase all such common stock if any are purchased.</w:t>
      </w:r>
    </w:p>
    <w:p>
      <w:pPr>
        <w:spacing w:after="0" w:line="200" w:lineRule="exact"/>
        <w:rPr>
          <w:sz w:val="20"/>
          <w:szCs w:val="20"/>
          <w:color w:val="auto"/>
        </w:rPr>
      </w:pPr>
    </w:p>
    <w:p>
      <w:pPr>
        <w:spacing w:after="0" w:line="203"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If any underwriters are involved in the offer and sale, they will be permitted to engage in transactions that maintain or otherwise affect the price of the common stock. These transactions may include over-allotment transactions, purchases to cover short positions created by the underwriter in connection with the offering and the imposition of penalty bids. If an underwriter creates a short position in the common stock in connection with the offering, i.e., if it sells more common stock than set forth on the cover page of the applicable prospectus supplement, the underwriter may reduce that short position by purchasing the common stock in the open market. In general, purchases of common stock to reduce a short position could cause the price of the common stock to be higher than it might be in the absence of such purchases. As noted above, underwriters may also choose to impose penalty bids on other underwriters and/or selling group members. This means that if underwriters purchase common stock on the open market to reduce their short position or to stabilize the price of the common stock, they may reclaim the amount of the selling concession from those underwriters and/or selling group members who sold such common stock as part of the offering.</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Neither we nor any underwriter make any representation or prediction as to the direction or magnitude of any effect that the transactions described above may have on the price of the common stock. In addition, neither we nor any underwriter make any representation that such underwriter will engage in such transactions or that such transactions, once commenced, will not be discontinued without notice.</w:t>
      </w:r>
    </w:p>
    <w:p>
      <w:pPr>
        <w:spacing w:after="0" w:line="197"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If we and/or the selling stockholders offer and sell common stock through a dealer, we, the selling stockholders or an underwriter will sell the common stock to the dealer, as principal. The dealer may then resell the common stock to the public at varying prices to be determined by the dealer at the time of resale. Any such dealer may be deemed to be an underwriter, as such term is</w:t>
      </w:r>
    </w:p>
    <w:p>
      <w:pPr>
        <w:sectPr>
          <w:pgSz w:w="11900" w:h="16838" w:orient="portrait"/>
          <w:cols w:equalWidth="0" w:num="1">
            <w:col w:w="10219"/>
          </w:cols>
          <w:pgMar w:left="240" w:top="142" w:right="1440" w:bottom="0" w:gutter="0" w:footer="0" w:header="0"/>
        </w:sectPr>
      </w:pPr>
    </w:p>
    <w:bookmarkStart w:id="11" w:name="page12"/>
    <w:bookmarkEnd w:id="11"/>
    <w:p>
      <w:pPr>
        <w:ind w:right="1939"/>
        <w:spacing w:after="0" w:line="254" w:lineRule="auto"/>
        <w:rPr>
          <w:sz w:val="20"/>
          <w:szCs w:val="20"/>
          <w:color w:val="auto"/>
        </w:rPr>
      </w:pPr>
      <w:r>
        <w:rPr>
          <w:rFonts w:ascii="Courier New" w:cs="Courier New" w:eastAsia="Courier New" w:hAnsi="Courier New"/>
          <w:sz w:val="17"/>
          <w:szCs w:val="17"/>
          <w:color w:val="auto"/>
        </w:rPr>
        <w:t>defined in the Securities Act of 1933, of the common stock so offered and sold. The name of the dealer and the terms of the transactions will be set forth in the applicable prospectus supplement.</w:t>
      </w:r>
    </w:p>
    <w:p>
      <w:pPr>
        <w:spacing w:after="0" w:line="194"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We and/or the selling stockholders may solicit offers to purchase the common stock directly and we and/or the selling stockholders may sell the common stock directly to institutional or other investors, who may be deemed an underwriter within the meaning of the Securities Act of 1933 with respect to any resales of the common stock. The terms of these sales will be described in the applicable prospectus supplement.</w:t>
      </w:r>
    </w:p>
    <w:p>
      <w:pPr>
        <w:spacing w:after="0" w:line="197"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We and/or the selling stockholders may enter into agreements with agents, underwriters and dealers under which we and/or the selling stockholders may agree to indemnify the agents, underwriters and dealers against certain liabilities, including liabilities under the Securities Act of 1933, or to contribute to payments they may be required to make with respect to these liabilities. The terms and conditions of this indemnification or contribution will be described in the applicable prospectus supplement. Some of the agents, underwriters or dealers, or their affiliates may be customers of, engage in transactions with or perform services for us and/or the selling stockholders in the ordinary course of business.</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We and/or the selling stockholders may authorize our respective agents, dealers or underwriters to solicit offers to purchase common stock at the public offering price under delayed delivery contracts. The terms of these delayed delivery contracts, including when payment for and delivery of the common stock sold will be made under the contracts and any conditions to each party's performance set forth in the contracts, will be described in the applicable prospectus supplement. The compensation received by underwriters or agents soliciting purchases of common stock under delayed delivery contracts will also be described in the applicable prospectus supplement.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b w:val="1"/>
          <w:bCs w:val="1"/>
          <w:color w:val="auto"/>
        </w:rPr>
        <w:t>LEGAL MATTERS</w:t>
      </w:r>
    </w:p>
    <w:p>
      <w:pPr>
        <w:spacing w:after="0" w:line="200" w:lineRule="exact"/>
        <w:rPr>
          <w:sz w:val="20"/>
          <w:szCs w:val="20"/>
          <w:color w:val="auto"/>
        </w:rPr>
      </w:pPr>
    </w:p>
    <w:p>
      <w:pPr>
        <w:spacing w:after="0" w:line="212" w:lineRule="exact"/>
        <w:rPr>
          <w:sz w:val="20"/>
          <w:szCs w:val="20"/>
          <w:color w:val="auto"/>
        </w:rPr>
      </w:pPr>
    </w:p>
    <w:p>
      <w:pPr>
        <w:jc w:val="both"/>
        <w:ind w:right="1839" w:firstLine="943"/>
        <w:spacing w:after="0" w:line="254" w:lineRule="auto"/>
        <w:rPr>
          <w:sz w:val="20"/>
          <w:szCs w:val="20"/>
          <w:color w:val="auto"/>
        </w:rPr>
      </w:pPr>
      <w:r>
        <w:rPr>
          <w:rFonts w:ascii="Courier New" w:cs="Courier New" w:eastAsia="Courier New" w:hAnsi="Courier New"/>
          <w:sz w:val="17"/>
          <w:szCs w:val="17"/>
          <w:color w:val="auto"/>
        </w:rPr>
        <w:t>The validity of the common stock offered hereby will be passed upon for us by Blackwell Sanders Peper Martin LLP, Two Pershing Square, 2300 Main Street, Suite 1000, Kansas City, Missouri 64108.</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b w:val="1"/>
          <w:bCs w:val="1"/>
          <w:color w:val="auto"/>
        </w:rPr>
        <w:t>EXPERTS</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Our consolidated financial statements as of December 31, 2001 and 2000, and for each of the years in the two-year period ended December 31, 2001, have been incorporated by reference in this prospectus and the registration statement on Form S-3 in reliance upon the report of KPMG LLP, independent accountants incorporated by reference herein, and upon the authority of said firm as experts in accounting and auditing. The audit report covering the December 31, 2001 financial statements refers to a change in the Company's method of accounting for derivative instruments and hedging activities.</w:t>
      </w:r>
    </w:p>
    <w:p>
      <w:pPr>
        <w:spacing w:after="0" w:line="201"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pacing w:after="0" w:line="197"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b w:val="1"/>
          <w:bCs w:val="1"/>
          <w:color w:val="auto"/>
        </w:rPr>
        <w:t>WHERE YOU CAN FIND MORE INFORMATION</w:t>
      </w:r>
    </w:p>
    <w:p>
      <w:pPr>
        <w:spacing w:after="0" w:line="200" w:lineRule="exact"/>
        <w:rPr>
          <w:sz w:val="20"/>
          <w:szCs w:val="20"/>
          <w:color w:val="auto"/>
        </w:rPr>
      </w:pPr>
    </w:p>
    <w:p>
      <w:pPr>
        <w:spacing w:after="0" w:line="212"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 including the registration statement, will also be available to you on the SEC's website. The address of this website is http://www.sec.gov.</w:t>
      </w:r>
    </w:p>
    <w:p>
      <w:pPr>
        <w:spacing w:after="0" w:line="397" w:lineRule="exact"/>
        <w:rPr>
          <w:sz w:val="20"/>
          <w:szCs w:val="20"/>
          <w:color w:val="auto"/>
        </w:rPr>
      </w:pPr>
    </w:p>
    <w:p>
      <w:pPr>
        <w:ind w:right="2139" w:firstLine="943"/>
        <w:spacing w:after="0" w:line="252" w:lineRule="auto"/>
        <w:rPr>
          <w:sz w:val="20"/>
          <w:szCs w:val="20"/>
          <w:color w:val="auto"/>
        </w:rPr>
      </w:pPr>
      <w:r>
        <w:rPr>
          <w:rFonts w:ascii="Courier New" w:cs="Courier New" w:eastAsia="Courier New" w:hAnsi="Courier New"/>
          <w:sz w:val="17"/>
          <w:szCs w:val="17"/>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w:t>
      </w:r>
    </w:p>
    <w:p>
      <w:pPr>
        <w:sectPr>
          <w:pgSz w:w="11900" w:h="16838" w:orient="portrait"/>
          <w:cols w:equalWidth="0" w:num="1">
            <w:col w:w="10219"/>
          </w:cols>
          <w:pgMar w:left="240" w:top="142" w:right="1440" w:bottom="0" w:gutter="0" w:footer="0" w:header="0"/>
        </w:sectPr>
      </w:pPr>
    </w:p>
    <w:bookmarkStart w:id="12" w:name="page13"/>
    <w:bookmarkEnd w:id="12"/>
    <w:p>
      <w:pPr>
        <w:jc w:val="both"/>
        <w:ind w:right="2039"/>
        <w:spacing w:after="0" w:line="254" w:lineRule="auto"/>
        <w:rPr>
          <w:sz w:val="20"/>
          <w:szCs w:val="20"/>
          <w:color w:val="auto"/>
        </w:rPr>
      </w:pPr>
      <w:r>
        <w:rPr>
          <w:rFonts w:ascii="Courier New" w:cs="Courier New" w:eastAsia="Courier New" w:hAnsi="Courier New"/>
          <w:sz w:val="17"/>
          <w:szCs w:val="17"/>
          <w:color w:val="auto"/>
        </w:rPr>
        <w:t>statement and its exhibits. You can review and copy the registration statement and its exhibits at the public reference rooms maintained by the SEC or on the SEC's website described above.</w:t>
      </w:r>
    </w:p>
    <w:p>
      <w:pPr>
        <w:spacing w:after="0" w:line="194"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9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b w:val="1"/>
          <w:bCs w:val="1"/>
          <w:color w:val="auto"/>
        </w:rPr>
        <w:t>INCORPORATION OF CERTAIN DOCUMENTS BY REFERENCE</w:t>
      </w:r>
    </w:p>
    <w:p>
      <w:pPr>
        <w:spacing w:after="0" w:line="200" w:lineRule="exact"/>
        <w:rPr>
          <w:sz w:val="20"/>
          <w:szCs w:val="20"/>
          <w:color w:val="auto"/>
        </w:rPr>
      </w:pPr>
    </w:p>
    <w:p>
      <w:pPr>
        <w:spacing w:after="0" w:line="212"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or supersede this information. We incorporate by reference the following documents as well as any future filing we will make with the SEC under Sections 13(a), 13(c), 14 or 15(d) of the Securities Exchange Act of 1934:</w:t>
      </w:r>
    </w:p>
    <w:p>
      <w:pPr>
        <w:spacing w:after="0" w:line="396" w:lineRule="exact"/>
        <w:rPr>
          <w:sz w:val="20"/>
          <w:szCs w:val="20"/>
          <w:color w:val="auto"/>
        </w:rPr>
      </w:pPr>
    </w:p>
    <w:p>
      <w:pPr>
        <w:ind w:left="1580" w:right="2139" w:hanging="525"/>
        <w:spacing w:after="0" w:line="257" w:lineRule="auto"/>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year ended December 31, 2001, as amended by Form 10-K/A;</w:t>
      </w:r>
    </w:p>
    <w:p>
      <w:pPr>
        <w:spacing w:after="0" w:line="393" w:lineRule="exact"/>
        <w:rPr>
          <w:rFonts w:ascii="Courier New" w:cs="Courier New" w:eastAsia="Courier New" w:hAnsi="Courier New"/>
          <w:sz w:val="17"/>
          <w:szCs w:val="17"/>
          <w:color w:val="auto"/>
        </w:rPr>
      </w:pPr>
    </w:p>
    <w:p>
      <w:pPr>
        <w:ind w:left="1580" w:right="2039" w:hanging="525"/>
        <w:spacing w:after="0" w:line="257" w:lineRule="auto"/>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Reports on Form 10-Q for the quarters ended March 31, 2002, June 30, 2002 and September 30, 2002;</w:t>
      </w:r>
    </w:p>
    <w:p>
      <w:pPr>
        <w:spacing w:after="0" w:line="191" w:lineRule="exact"/>
        <w:rPr>
          <w:rFonts w:ascii="Courier New" w:cs="Courier New" w:eastAsia="Courier New" w:hAnsi="Courier New"/>
          <w:sz w:val="17"/>
          <w:szCs w:val="17"/>
          <w:color w:val="auto"/>
        </w:rPr>
      </w:pPr>
    </w:p>
    <w:p>
      <w:pPr>
        <w:ind w:left="1580" w:right="1839" w:hanging="525"/>
        <w:spacing w:after="0" w:line="254" w:lineRule="auto"/>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Reports on Form 8-K filed with the SEC on June 7, 2002, July 18, 2002, August 6, 2002, September 27, 2002, November 1, 2002 and November 5, 2002;</w:t>
      </w:r>
    </w:p>
    <w:p>
      <w:pPr>
        <w:spacing w:after="0" w:line="194" w:lineRule="exact"/>
        <w:rPr>
          <w:rFonts w:ascii="Courier New" w:cs="Courier New" w:eastAsia="Courier New" w:hAnsi="Courier New"/>
          <w:sz w:val="17"/>
          <w:szCs w:val="17"/>
          <w:color w:val="auto"/>
        </w:rPr>
      </w:pPr>
    </w:p>
    <w:p>
      <w:pPr>
        <w:ind w:left="1580" w:right="2359" w:hanging="525"/>
        <w:spacing w:after="0" w:line="254" w:lineRule="auto"/>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the amended registration statement on Form 8-A/A filed with the SEC on November 22, 2002.</w:t>
      </w:r>
    </w:p>
    <w:p>
      <w:pPr>
        <w:spacing w:after="0" w:line="396" w:lineRule="exact"/>
        <w:rPr>
          <w:sz w:val="20"/>
          <w:szCs w:val="20"/>
          <w:color w:val="auto"/>
        </w:rPr>
      </w:pPr>
    </w:p>
    <w:p>
      <w:pPr>
        <w:ind w:right="2359" w:firstLine="943"/>
        <w:spacing w:after="0" w:line="257" w:lineRule="auto"/>
        <w:rPr>
          <w:sz w:val="20"/>
          <w:szCs w:val="20"/>
          <w:color w:val="auto"/>
        </w:rPr>
      </w:pPr>
      <w:r>
        <w:rPr>
          <w:rFonts w:ascii="Courier New" w:cs="Courier New" w:eastAsia="Courier New" w:hAnsi="Courier New"/>
          <w:sz w:val="17"/>
          <w:szCs w:val="17"/>
          <w:color w:val="auto"/>
        </w:rPr>
        <w:t>You may request a copy of these filings, at no cost, by written or telephone request to:</w:t>
      </w:r>
    </w:p>
    <w:p>
      <w:pPr>
        <w:spacing w:after="0" w:line="19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NN,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Attn: Corporate Secretary</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2000 Waters Edge Drive</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Johnson City, Tennessee</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(423) 743-9151</w:t>
      </w:r>
    </w:p>
    <w:p>
      <w:pPr>
        <w:spacing w:after="0" w:line="210"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14.</w:t>
        <w:tab/>
        <w:t>OTHER EXPENSES OF ISSUANCE AND DISTRIBUTION</w:t>
      </w:r>
    </w:p>
    <w:p>
      <w:pPr>
        <w:spacing w:after="0" w:line="210"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The following table sets forth the costs and expenses payable by us in connection with the sale of Common Stock being registered. All amounts other than the registration fee are estimates.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20"/>
                <w:szCs w:val="20"/>
                <w:color w:val="auto"/>
              </w:rPr>
            </w:pPr>
            <w:r>
              <w:rPr>
                <w:rFonts w:ascii="Courier New" w:cs="Courier New" w:eastAsia="Courier New" w:hAnsi="Courier New"/>
                <w:sz w:val="17"/>
                <w:szCs w:val="17"/>
                <w:color w:val="auto"/>
              </w:rPr>
              <w:t>SEC registration fee</w:t>
            </w:r>
          </w:p>
        </w:tc>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$ 6,797</w:t>
            </w:r>
          </w:p>
        </w:tc>
      </w:tr>
      <w:tr>
        <w:trPr>
          <w:trHeight w:val="201"/>
        </w:trPr>
        <w:tc>
          <w:tcPr>
            <w:tcW w:w="5300" w:type="dxa"/>
            <w:vAlign w:val="bottom"/>
          </w:tcPr>
          <w:p>
            <w:pPr>
              <w:spacing w:after="0"/>
              <w:rPr>
                <w:sz w:val="20"/>
                <w:szCs w:val="20"/>
                <w:color w:val="auto"/>
              </w:rPr>
            </w:pPr>
            <w:r>
              <w:rPr>
                <w:rFonts w:ascii="Courier New" w:cs="Courier New" w:eastAsia="Courier New" w:hAnsi="Courier New"/>
                <w:sz w:val="17"/>
                <w:szCs w:val="17"/>
                <w:color w:val="auto"/>
              </w:rPr>
              <w:t>Legal fees and expenses</w:t>
            </w:r>
          </w:p>
        </w:tc>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275,000</w:t>
            </w:r>
          </w:p>
        </w:tc>
      </w:tr>
      <w:tr>
        <w:trPr>
          <w:trHeight w:val="201"/>
        </w:trPr>
        <w:tc>
          <w:tcPr>
            <w:tcW w:w="5300" w:type="dxa"/>
            <w:vAlign w:val="bottom"/>
          </w:tcPr>
          <w:p>
            <w:pPr>
              <w:spacing w:after="0"/>
              <w:rPr>
                <w:sz w:val="20"/>
                <w:szCs w:val="20"/>
                <w:color w:val="auto"/>
              </w:rPr>
            </w:pPr>
            <w:r>
              <w:rPr>
                <w:rFonts w:ascii="Courier New" w:cs="Courier New" w:eastAsia="Courier New" w:hAnsi="Courier New"/>
                <w:sz w:val="17"/>
                <w:szCs w:val="17"/>
                <w:color w:val="auto"/>
              </w:rPr>
              <w:t>Accounting fees and expenses</w:t>
            </w:r>
          </w:p>
        </w:tc>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74,000</w:t>
            </w:r>
          </w:p>
        </w:tc>
      </w:tr>
    </w:tbl>
    <w:p>
      <w:pPr>
        <w:sectPr>
          <w:pgSz w:w="11900" w:h="16838" w:orient="portrait"/>
          <w:cols w:equalWidth="0" w:num="1">
            <w:col w:w="10219"/>
          </w:cols>
          <w:pgMar w:left="240" w:top="142"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20"/>
                <w:szCs w:val="20"/>
                <w:color w:val="auto"/>
              </w:rPr>
            </w:pPr>
            <w:r>
              <w:rPr>
                <w:rFonts w:ascii="Courier New" w:cs="Courier New" w:eastAsia="Courier New" w:hAnsi="Courier New"/>
                <w:sz w:val="17"/>
                <w:szCs w:val="17"/>
                <w:color w:val="auto"/>
              </w:rPr>
              <w:t>Nasdaq National Market listing fee</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22,500</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Printing and engraving expenses</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60,000</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Miscellaneous fees and expenses</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11,703</w:t>
            </w:r>
          </w:p>
        </w:tc>
      </w:tr>
      <w:tr>
        <w:trPr>
          <w:trHeight w:val="201"/>
        </w:trPr>
        <w:tc>
          <w:tcPr>
            <w:tcW w:w="534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ind w:left="960"/>
              <w:spacing w:after="0"/>
              <w:rPr>
                <w:sz w:val="20"/>
                <w:szCs w:val="20"/>
                <w:color w:val="auto"/>
              </w:rPr>
            </w:pPr>
            <w:r>
              <w:rPr>
                <w:rFonts w:ascii="Courier New" w:cs="Courier New" w:eastAsia="Courier New" w:hAnsi="Courier New"/>
                <w:sz w:val="17"/>
                <w:szCs w:val="17"/>
                <w:color w:val="auto"/>
              </w:rPr>
              <w:t>Total</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$450,000</w:t>
            </w:r>
          </w:p>
        </w:tc>
      </w:tr>
      <w:tr>
        <w:trPr>
          <w:trHeight w:val="201"/>
        </w:trPr>
        <w:tc>
          <w:tcPr>
            <w:tcW w:w="534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15.</w:t>
        <w:tab/>
        <w:t>INDEMNIFICATION OF DIRECTORS AND OFFICERS</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The Company has entered into indemnification agreements with certain officers and directors of the Company. Under these agreements, the Company agrees to hold harmless and indemnify each indemnitee generally to the full extent permitted by Section 145 of the Delaware General Corporation Law (the "DGCL") and against any and all liabilities, expenses, judgments, fines, penalties and costs in connection with any threatened, pending or completed action, suit or proceeding, whether civil, criminal, administrative or investigative to which the indemnitee is made a party by reason of the fact that the indemnitee has, is or at the time becomes a director or officer of the Company or any other entity at the request of the Company.</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Section 145 permits a corporation to indemnify certain persons, including officers and directors, who are (or are threatened to be made) parties to any threatened, pending or completed legal action (whether civil, criminal, threatened or investigative) for reason of their being officers or directors. The indemnity may include expenses, attorneys' fees, judgments, fines and reasonably incurred costs of settlement, provided the officer and director acted in good faith and in a manner he reasonably believed to be in or not opposed to the corporation's best interest and, in the case of criminal proceedings, he had no reasonable cause to believe that his conduct was illegal. The corporation may indemnify officers and directors in derivative actions (in which suit is brought by a shareholder on behalf of the corporation) under the same conditions, except that no indemnification is permitted without judicial approval if the officer or director is judged liable for negligence or misconduct in the performance of his duty to the corporation. If the officer or director is successful on the merits or otherwise in defense of any action referred to above, the corporation must indemnify him against the expenses and attorneys' fees he actually and reasonably incurred.</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365"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The Company has obtained liability insurance coverage for its officers and directors with respect to actions arising out of the performance of such officer's or director's duty in his or her capacity as such.</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EXHIBITS</w:t>
      </w: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1.1* Form of Underwriting Agreement</w:t>
      </w:r>
    </w:p>
    <w:p>
      <w:pPr>
        <w:spacing w:after="0" w:line="210" w:lineRule="exact"/>
        <w:rPr>
          <w:sz w:val="20"/>
          <w:szCs w:val="20"/>
          <w:color w:val="auto"/>
        </w:rPr>
      </w:pPr>
    </w:p>
    <w:p>
      <w:pPr>
        <w:ind w:left="1580" w:right="2979" w:hanging="523"/>
        <w:spacing w:after="0" w:line="254" w:lineRule="auto"/>
        <w:tabs>
          <w:tab w:leader="none" w:pos="1560" w:val="left"/>
        </w:tabs>
        <w:rPr>
          <w:sz w:val="20"/>
          <w:szCs w:val="20"/>
          <w:color w:val="auto"/>
        </w:rPr>
      </w:pPr>
      <w:r>
        <w:rPr>
          <w:rFonts w:ascii="Courier New" w:cs="Courier New" w:eastAsia="Courier New" w:hAnsi="Courier New"/>
          <w:sz w:val="17"/>
          <w:szCs w:val="17"/>
          <w:color w:val="auto"/>
        </w:rPr>
        <w:t>3.1</w:t>
        <w:tab/>
        <w:t>Restated Certificate of Incorporation of the Company. (incorporated by reference to Exhibit 3.1 of Company's Registration Statement on Form S-3 filed June 6, 2002)</w:t>
      </w:r>
    </w:p>
    <w:p>
      <w:pPr>
        <w:spacing w:after="0" w:line="194" w:lineRule="exact"/>
        <w:rPr>
          <w:sz w:val="20"/>
          <w:szCs w:val="20"/>
          <w:color w:val="auto"/>
        </w:rPr>
      </w:pPr>
    </w:p>
    <w:p>
      <w:pPr>
        <w:ind w:left="1580" w:right="1839" w:hanging="523"/>
        <w:spacing w:after="0" w:line="254" w:lineRule="auto"/>
        <w:tabs>
          <w:tab w:leader="none" w:pos="1560" w:val="left"/>
        </w:tabs>
        <w:rPr>
          <w:sz w:val="20"/>
          <w:szCs w:val="20"/>
          <w:color w:val="auto"/>
        </w:rPr>
      </w:pPr>
      <w:r>
        <w:rPr>
          <w:rFonts w:ascii="Courier New" w:cs="Courier New" w:eastAsia="Courier New" w:hAnsi="Courier New"/>
          <w:sz w:val="17"/>
          <w:szCs w:val="17"/>
          <w:color w:val="auto"/>
        </w:rPr>
        <w:t>3.2</w:t>
        <w:tab/>
        <w:t>Restated By-Laws of the Company. (incorporated by reference to Exhibit 3.2 of Company's Registration Statement on Form S-3 filed June 6, 2002)</w:t>
      </w:r>
    </w:p>
    <w:p>
      <w:pPr>
        <w:spacing w:after="0" w:line="194" w:lineRule="exact"/>
        <w:rPr>
          <w:sz w:val="20"/>
          <w:szCs w:val="20"/>
          <w:color w:val="auto"/>
        </w:rPr>
      </w:pPr>
    </w:p>
    <w:p>
      <w:pPr>
        <w:ind w:left="1580" w:right="1839" w:hanging="523"/>
        <w:spacing w:after="0" w:line="253" w:lineRule="auto"/>
        <w:tabs>
          <w:tab w:leader="none" w:pos="1560" w:val="left"/>
        </w:tabs>
        <w:rPr>
          <w:sz w:val="20"/>
          <w:szCs w:val="20"/>
          <w:color w:val="auto"/>
        </w:rPr>
      </w:pPr>
      <w:r>
        <w:rPr>
          <w:rFonts w:ascii="Courier New" w:cs="Courier New" w:eastAsia="Courier New" w:hAnsi="Courier New"/>
          <w:sz w:val="17"/>
          <w:szCs w:val="17"/>
          <w:color w:val="auto"/>
        </w:rPr>
        <w:t>4.1</w:t>
        <w:tab/>
        <w:t>The specimen certificate representing the Company's Common Stock, par value $0.01 per share. (incorporated by reference to Exhibit 4.1 of Company's Registration Statement on Form S-3 filed June 6, 2002)</w:t>
      </w:r>
    </w:p>
    <w:p>
      <w:pPr>
        <w:spacing w:after="0" w:line="195" w:lineRule="exact"/>
        <w:rPr>
          <w:sz w:val="20"/>
          <w:szCs w:val="20"/>
          <w:color w:val="auto"/>
        </w:rPr>
      </w:pPr>
    </w:p>
    <w:p>
      <w:pPr>
        <w:jc w:val="right"/>
        <w:ind w:right="1839"/>
        <w:spacing w:after="0"/>
        <w:tabs>
          <w:tab w:leader="none" w:pos="6780" w:val="left"/>
        </w:tabs>
        <w:rPr>
          <w:sz w:val="20"/>
          <w:szCs w:val="20"/>
          <w:color w:val="auto"/>
        </w:rPr>
      </w:pPr>
      <w:r>
        <w:rPr>
          <w:rFonts w:ascii="Courier New" w:cs="Courier New" w:eastAsia="Courier New" w:hAnsi="Courier New"/>
          <w:sz w:val="17"/>
          <w:szCs w:val="17"/>
          <w:color w:val="auto"/>
        </w:rPr>
        <w:t>4.2</w:t>
        <w:tab/>
        <w:t>Article IV, Article V (Sections 3 through 6), Article VI (Section</w:t>
      </w:r>
    </w:p>
    <w:p>
      <w:pPr>
        <w:spacing w:after="0" w:line="9" w:lineRule="exact"/>
        <w:rPr>
          <w:sz w:val="20"/>
          <w:szCs w:val="20"/>
          <w:color w:val="auto"/>
        </w:rPr>
      </w:pPr>
    </w:p>
    <w:p>
      <w:pPr>
        <w:ind w:left="1580" w:right="1839" w:hanging="2"/>
        <w:spacing w:after="0" w:line="257" w:lineRule="auto"/>
        <w:tabs>
          <w:tab w:leader="none" w:pos="189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Article VII (Sections 1 and 3) of the Restated Certificate of Incorporation of the Company (included in Exhibit 3.1).</w:t>
      </w:r>
    </w:p>
    <w:p>
      <w:pPr>
        <w:spacing w:after="0" w:line="192" w:lineRule="exact"/>
        <w:rPr>
          <w:sz w:val="20"/>
          <w:szCs w:val="20"/>
          <w:color w:val="auto"/>
        </w:rPr>
      </w:pPr>
    </w:p>
    <w:p>
      <w:pPr>
        <w:jc w:val="both"/>
        <w:ind w:left="1580" w:right="2039" w:hanging="523"/>
        <w:spacing w:after="0" w:line="254" w:lineRule="auto"/>
        <w:tabs>
          <w:tab w:leader="none" w:pos="1560" w:val="left"/>
        </w:tabs>
        <w:rPr>
          <w:sz w:val="20"/>
          <w:szCs w:val="20"/>
          <w:color w:val="auto"/>
        </w:rPr>
      </w:pPr>
      <w:r>
        <w:rPr>
          <w:rFonts w:ascii="Courier New" w:cs="Courier New" w:eastAsia="Courier New" w:hAnsi="Courier New"/>
          <w:sz w:val="17"/>
          <w:szCs w:val="17"/>
          <w:color w:val="auto"/>
        </w:rPr>
        <w:t>4.3</w:t>
        <w:tab/>
        <w:t>Article II (Sections 7 and 12), Article III (Sections 2 and 15) and Article VI of the Restated By-Laws of the Company (included in Exhibit 3.2).</w:t>
      </w:r>
    </w:p>
    <w:p>
      <w:pPr>
        <w:spacing w:after="0" w:line="396" w:lineRule="exact"/>
        <w:rPr>
          <w:sz w:val="20"/>
          <w:szCs w:val="20"/>
          <w:color w:val="auto"/>
        </w:rPr>
      </w:pPr>
    </w:p>
    <w:p>
      <w:pPr>
        <w:ind w:left="1580" w:right="2259" w:hanging="523"/>
        <w:spacing w:after="0" w:line="257" w:lineRule="auto"/>
        <w:tabs>
          <w:tab w:leader="none" w:pos="1560" w:val="left"/>
        </w:tabs>
        <w:rPr>
          <w:sz w:val="20"/>
          <w:szCs w:val="20"/>
          <w:color w:val="auto"/>
        </w:rPr>
      </w:pPr>
      <w:r>
        <w:rPr>
          <w:rFonts w:ascii="Courier New" w:cs="Courier New" w:eastAsia="Courier New" w:hAnsi="Courier New"/>
          <w:sz w:val="17"/>
          <w:szCs w:val="17"/>
          <w:color w:val="auto"/>
        </w:rPr>
        <w:t>5.1</w:t>
        <w:tab/>
        <w:t>Opinion of Blackwell Sanders Peper Martin LLP, counsel to the Company (filed herewith)</w:t>
      </w:r>
    </w:p>
    <w:p>
      <w:pPr>
        <w:spacing w:after="0" w:line="393" w:lineRule="exact"/>
        <w:rPr>
          <w:sz w:val="20"/>
          <w:szCs w:val="20"/>
          <w:color w:val="auto"/>
        </w:rPr>
      </w:pPr>
    </w:p>
    <w:p>
      <w:pPr>
        <w:ind w:left="1580" w:right="2559" w:hanging="523"/>
        <w:spacing w:after="0" w:line="257" w:lineRule="auto"/>
        <w:rPr>
          <w:sz w:val="20"/>
          <w:szCs w:val="20"/>
          <w:color w:val="auto"/>
        </w:rPr>
      </w:pPr>
      <w:r>
        <w:rPr>
          <w:rFonts w:ascii="Courier New" w:cs="Courier New" w:eastAsia="Courier New" w:hAnsi="Courier New"/>
          <w:sz w:val="17"/>
          <w:szCs w:val="17"/>
          <w:color w:val="auto"/>
        </w:rPr>
        <w:t>23.1 Consent of Blackwell Sanders Peper Martin LLP (included in Exhibit 5.1).</w:t>
      </w:r>
    </w:p>
    <w:p>
      <w:pPr>
        <w:sectPr>
          <w:pgSz w:w="11900" w:h="16838" w:orient="portrait"/>
          <w:cols w:equalWidth="0" w:num="1">
            <w:col w:w="10219"/>
          </w:cols>
          <w:pgMar w:left="240" w:top="142" w:right="1440" w:bottom="0" w:gutter="0" w:footer="0" w:header="0"/>
        </w:sectPr>
      </w:pPr>
    </w:p>
    <w:bookmarkStart w:id="14" w:name="page15"/>
    <w:bookmarkEnd w:id="14"/>
    <w:p>
      <w:pPr>
        <w:ind w:left="1060"/>
        <w:spacing w:after="0"/>
        <w:rPr>
          <w:sz w:val="20"/>
          <w:szCs w:val="20"/>
          <w:color w:val="auto"/>
        </w:rPr>
      </w:pPr>
      <w:r>
        <w:rPr>
          <w:rFonts w:ascii="Courier New" w:cs="Courier New" w:eastAsia="Courier New" w:hAnsi="Courier New"/>
          <w:sz w:val="17"/>
          <w:szCs w:val="17"/>
          <w:color w:val="auto"/>
        </w:rPr>
        <w:t>23.2 Consent of KPMG LLP, Independent Auditors.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23.3 Consent of PricewaterhouseCoopers LLP, Independent Auditors.</w:t>
      </w:r>
    </w:p>
    <w:p>
      <w:pPr>
        <w:spacing w:after="0" w:line="210" w:lineRule="exact"/>
        <w:rPr>
          <w:sz w:val="20"/>
          <w:szCs w:val="20"/>
          <w:color w:val="auto"/>
        </w:rPr>
      </w:pPr>
    </w:p>
    <w:p>
      <w:pPr>
        <w:ind w:left="1580" w:right="2679" w:hanging="525"/>
        <w:spacing w:after="0" w:line="257" w:lineRule="auto"/>
        <w:tabs>
          <w:tab w:leader="none" w:pos="158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 (included in the signature page to the Registration Statement).</w:t>
      </w:r>
    </w:p>
    <w:p>
      <w:pPr>
        <w:spacing w:after="0" w:line="192" w:lineRule="exact"/>
        <w:rPr>
          <w:sz w:val="20"/>
          <w:szCs w:val="20"/>
          <w:color w:val="auto"/>
        </w:rPr>
      </w:pPr>
    </w:p>
    <w:p>
      <w:pPr>
        <w:ind w:left="1580" w:right="2039" w:hanging="525"/>
        <w:spacing w:after="0" w:line="253" w:lineRule="auto"/>
        <w:tabs>
          <w:tab w:leader="none" w:pos="158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by post-effective amendment or pursuant to a report to be filed pursuant to Section 13 or 15(d) of the Securities Exchange Act of 1934, if applicable, and incorporated herein by reference</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17.</w:t>
        <w:tab/>
        <w:t>UNDERTAKINGS</w:t>
      </w:r>
    </w:p>
    <w:p>
      <w:pPr>
        <w:spacing w:after="0" w:line="200" w:lineRule="exact"/>
        <w:rPr>
          <w:sz w:val="20"/>
          <w:szCs w:val="20"/>
          <w:color w:val="auto"/>
        </w:rPr>
      </w:pPr>
    </w:p>
    <w:p>
      <w:pPr>
        <w:spacing w:after="0" w:line="212" w:lineRule="exact"/>
        <w:rPr>
          <w:sz w:val="20"/>
          <w:szCs w:val="20"/>
          <w:color w:val="auto"/>
        </w:rPr>
      </w:pPr>
    </w:p>
    <w:p>
      <w:pPr>
        <w:ind w:left="1360" w:hanging="410"/>
        <w:spacing w:after="0"/>
        <w:tabs>
          <w:tab w:leader="none" w:pos="13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10" w:lineRule="exact"/>
        <w:rPr>
          <w:rFonts w:ascii="Courier New" w:cs="Courier New" w:eastAsia="Courier New" w:hAnsi="Courier New"/>
          <w:sz w:val="17"/>
          <w:szCs w:val="17"/>
          <w:color w:val="auto"/>
        </w:rPr>
      </w:pPr>
    </w:p>
    <w:p>
      <w:pPr>
        <w:ind w:right="2139" w:firstLine="1893"/>
        <w:spacing w:after="0" w:line="257" w:lineRule="auto"/>
        <w:tabs>
          <w:tab w:leader="none" w:pos="2304"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1" w:lineRule="exact"/>
        <w:rPr>
          <w:rFonts w:ascii="Courier New" w:cs="Courier New" w:eastAsia="Courier New" w:hAnsi="Courier New"/>
          <w:sz w:val="17"/>
          <w:szCs w:val="17"/>
          <w:color w:val="auto"/>
        </w:rPr>
      </w:pPr>
    </w:p>
    <w:p>
      <w:pPr>
        <w:ind w:left="960" w:right="2139" w:firstLine="1875"/>
        <w:spacing w:after="0" w:line="257" w:lineRule="auto"/>
        <w:tabs>
          <w:tab w:leader="none" w:pos="3369"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1" w:lineRule="exact"/>
        <w:rPr>
          <w:rFonts w:ascii="Courier New" w:cs="Courier New" w:eastAsia="Courier New" w:hAnsi="Courier New"/>
          <w:sz w:val="17"/>
          <w:szCs w:val="17"/>
          <w:color w:val="auto"/>
        </w:rPr>
      </w:pPr>
    </w:p>
    <w:p>
      <w:pPr>
        <w:ind w:left="960" w:right="1839" w:firstLine="1875"/>
        <w:spacing w:after="0" w:line="251" w:lineRule="auto"/>
        <w:tabs>
          <w:tab w:leader="none" w:pos="3369"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1" w:lineRule="exact"/>
        <w:rPr>
          <w:rFonts w:ascii="Courier New" w:cs="Courier New" w:eastAsia="Courier New" w:hAnsi="Courier New"/>
          <w:sz w:val="17"/>
          <w:szCs w:val="17"/>
          <w:color w:val="auto"/>
        </w:rPr>
      </w:pPr>
    </w:p>
    <w:p>
      <w:pPr>
        <w:ind w:left="3460" w:hanging="625"/>
        <w:spacing w:after="0"/>
        <w:tabs>
          <w:tab w:leader="none" w:pos="3460" w:val="left"/>
        </w:tabs>
        <w:numPr>
          <w:ilvl w:val="2"/>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w:t>
      </w:r>
    </w:p>
    <w:p>
      <w:pPr>
        <w:spacing w:after="0" w:line="8" w:lineRule="exact"/>
        <w:rPr>
          <w:rFonts w:ascii="Courier New" w:cs="Courier New" w:eastAsia="Courier New" w:hAnsi="Courier New"/>
          <w:sz w:val="17"/>
          <w:szCs w:val="17"/>
          <w:color w:val="auto"/>
        </w:rPr>
      </w:pPr>
    </w:p>
    <w:p>
      <w:pPr>
        <w:ind w:left="960"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respect to the plan of distribution not previously disclosed in the registration statement or any material change to such information in the registration statement;</w:t>
      </w:r>
    </w:p>
    <w:p>
      <w:pPr>
        <w:spacing w:after="0" w:line="194"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provided, however, that paragraphs (a)(1)(i) and (a)(1)(ii) shall not apply if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97" w:lineRule="exact"/>
        <w:rPr>
          <w:sz w:val="20"/>
          <w:szCs w:val="20"/>
          <w:color w:val="auto"/>
        </w:rPr>
      </w:pPr>
    </w:p>
    <w:p>
      <w:pPr>
        <w:ind w:right="2039" w:firstLine="1893"/>
        <w:spacing w:after="0" w:line="252" w:lineRule="auto"/>
        <w:tabs>
          <w:tab w:leader="none" w:pos="2304"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Courier New" w:cs="Courier New" w:eastAsia="Courier New" w:hAnsi="Courier New"/>
          <w:sz w:val="17"/>
          <w:szCs w:val="17"/>
          <w:color w:val="auto"/>
        </w:rPr>
      </w:pPr>
    </w:p>
    <w:p>
      <w:pPr>
        <w:ind w:right="2039" w:firstLine="1893"/>
        <w:spacing w:after="0" w:line="254" w:lineRule="auto"/>
        <w:tabs>
          <w:tab w:leader="none" w:pos="2304"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395" w:lineRule="exact"/>
        <w:rPr>
          <w:rFonts w:ascii="Courier New" w:cs="Courier New" w:eastAsia="Courier New" w:hAnsi="Courier New"/>
          <w:sz w:val="17"/>
          <w:szCs w:val="17"/>
          <w:color w:val="auto"/>
        </w:rPr>
      </w:pPr>
    </w:p>
    <w:p>
      <w:pPr>
        <w:ind w:right="1839" w:firstLine="950"/>
        <w:spacing w:after="0" w:line="252"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the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5"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any</w:t>
      </w:r>
    </w:p>
    <w:p>
      <w:pPr>
        <w:sectPr>
          <w:pgSz w:w="11900" w:h="16838" w:orient="portrait"/>
          <w:cols w:equalWidth="0" w:num="1">
            <w:col w:w="10219"/>
          </w:cols>
          <w:pgMar w:left="240" w:top="142" w:right="1440" w:bottom="256" w:gutter="0" w:footer="0" w:header="0"/>
        </w:sectPr>
      </w:pP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0219"/>
          </w:cols>
          <w:pgMar w:left="240" w:top="142" w:right="1440" w:bottom="256" w:gutter="0" w:footer="0" w:header="0"/>
          <w:type w:val="continuous"/>
        </w:sectPr>
      </w:pPr>
    </w:p>
    <w:bookmarkStart w:id="15" w:name="page16"/>
    <w:bookmarkEnd w:id="15"/>
    <w:p>
      <w:pPr>
        <w:ind w:right="2520"/>
        <w:spacing w:after="0" w:line="251" w:lineRule="auto"/>
        <w:rPr>
          <w:sz w:val="20"/>
          <w:szCs w:val="20"/>
          <w:color w:val="auto"/>
        </w:rPr>
      </w:pPr>
      <w:r>
        <w:rPr>
          <w:rFonts w:ascii="Courier New" w:cs="Courier New" w:eastAsia="Courier New" w:hAnsi="Courier New"/>
          <w:sz w:val="17"/>
          <w:szCs w:val="17"/>
          <w:color w:val="auto"/>
        </w:rPr>
        <w:t>charter provision, by-law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72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12" w:lineRule="exact"/>
        <w:rPr>
          <w:sz w:val="20"/>
          <w:szCs w:val="20"/>
          <w:color w:val="auto"/>
        </w:rPr>
      </w:pPr>
    </w:p>
    <w:p>
      <w:pPr>
        <w:ind w:right="2520" w:firstLine="943"/>
        <w:spacing w:after="0" w:line="252"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November 22, 2002.</w:t>
      </w:r>
    </w:p>
    <w:p>
      <w:pPr>
        <w:spacing w:after="0" w:line="200" w:lineRule="exact"/>
        <w:rPr>
          <w:sz w:val="20"/>
          <w:szCs w:val="20"/>
          <w:color w:val="auto"/>
        </w:rPr>
      </w:pPr>
    </w:p>
    <w:p>
      <w:pPr>
        <w:spacing w:after="0" w:line="4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b w:val="1"/>
          <w:bCs w:val="1"/>
          <w:color w:val="auto"/>
        </w:rPr>
        <w:t>NN, Inc.</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By: /s/ Roderick R. Baty</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Roderick R. Baty</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Chairman, Chief Executive Officer and</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940" w:firstLine="943"/>
        <w:spacing w:after="0" w:line="254"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900"/>
          </w:cols>
          <w:pgMar w:left="240" w:top="343" w:right="759" w:bottom="453" w:gutter="0" w:footer="0" w:header="0"/>
        </w:sectPr>
      </w:pPr>
    </w:p>
    <w:p>
      <w:pPr>
        <w:spacing w:after="0" w:line="396"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Roderick R. Baty</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Title</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Chief Executive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Director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Executive Officer)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Date</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22, 2002</w:t>
      </w:r>
    </w:p>
    <w:p>
      <w:pPr>
        <w:spacing w:after="0" w:line="9" w:lineRule="exact"/>
        <w:rPr>
          <w:sz w:val="20"/>
          <w:szCs w:val="20"/>
          <w:color w:val="auto"/>
        </w:rPr>
      </w:pPr>
    </w:p>
    <w:p>
      <w:pPr>
        <w:sectPr>
          <w:pgSz w:w="11900" w:h="16838" w:orient="portrait"/>
          <w:cols w:equalWidth="0" w:num="3">
            <w:col w:w="3580" w:space="720"/>
            <w:col w:w="4100" w:space="720"/>
            <w:col w:w="1780"/>
          </w:cols>
          <w:pgMar w:left="240" w:top="343" w:right="759" w:bottom="453" w:gutter="0" w:footer="0" w:header="0"/>
          <w:type w:val="continuous"/>
        </w:sectPr>
      </w:pPr>
    </w:p>
    <w:p>
      <w:pPr>
        <w:ind w:left="220" w:hanging="213"/>
        <w:spacing w:after="0"/>
        <w:tabs>
          <w:tab w:leader="none" w:pos="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Roderick R. Baty</w:t>
      </w:r>
    </w:p>
    <w:p>
      <w:pPr>
        <w:sectPr>
          <w:pgSz w:w="11900" w:h="16838" w:orient="portrait"/>
          <w:cols w:equalWidth="0" w:num="1">
            <w:col w:w="10900"/>
          </w:cols>
          <w:pgMar w:left="240" w:top="343" w:right="759" w:bottom="4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L. Dyckman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0"/>
        <w:spacing w:after="0" w:line="251" w:lineRule="auto"/>
        <w:rPr>
          <w:sz w:val="20"/>
          <w:szCs w:val="20"/>
          <w:color w:val="auto"/>
        </w:rPr>
      </w:pPr>
      <w:r>
        <w:rPr>
          <w:rFonts w:ascii="Courier New" w:cs="Courier New" w:eastAsia="Courier New" w:hAnsi="Courier New"/>
          <w:sz w:val="17"/>
          <w:szCs w:val="17"/>
          <w:color w:val="auto"/>
        </w:rPr>
        <w:t>Vice President-Business Development and Chief Financial Officer (Principal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22, 2002</w:t>
      </w:r>
    </w:p>
    <w:p>
      <w:pPr>
        <w:spacing w:after="0" w:line="9" w:lineRule="exact"/>
        <w:rPr>
          <w:sz w:val="20"/>
          <w:szCs w:val="20"/>
          <w:color w:val="auto"/>
        </w:rPr>
      </w:pPr>
    </w:p>
    <w:p>
      <w:pPr>
        <w:sectPr>
          <w:pgSz w:w="11900" w:h="16838" w:orient="portrait"/>
          <w:cols w:equalWidth="0" w:num="3">
            <w:col w:w="3580" w:space="720"/>
            <w:col w:w="4100" w:space="720"/>
            <w:col w:w="1780"/>
          </w:cols>
          <w:pgMar w:left="240" w:top="343" w:right="759" w:bottom="453" w:gutter="0" w:footer="0" w:header="0"/>
          <w:type w:val="continuous"/>
        </w:sectPr>
      </w:pPr>
    </w:p>
    <w:p>
      <w:pPr>
        <w:ind w:left="220" w:hanging="213"/>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L. Dyckman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4720" w:type="dxa"/>
            <w:vAlign w:val="bottom"/>
          </w:tcPr>
          <w:p>
            <w:pPr>
              <w:ind w:left="160"/>
              <w:spacing w:after="0"/>
              <w:rPr>
                <w:sz w:val="20"/>
                <w:szCs w:val="20"/>
                <w:color w:val="auto"/>
              </w:rPr>
            </w:pPr>
            <w:r>
              <w:rPr>
                <w:rFonts w:ascii="Courier New" w:cs="Courier New" w:eastAsia="Courier New" w:hAnsi="Courier New"/>
                <w:sz w:val="17"/>
                <w:szCs w:val="17"/>
                <w:color w:val="auto"/>
              </w:rPr>
              <w:t>Treasurer, Secretary and Chief Accounting</w:t>
            </w:r>
          </w:p>
        </w:tc>
        <w:tc>
          <w:tcPr>
            <w:tcW w:w="2040" w:type="dxa"/>
            <w:vAlign w:val="bottom"/>
          </w:tcPr>
          <w:p>
            <w:pPr>
              <w:spacing w:after="0"/>
              <w:rPr>
                <w:sz w:val="17"/>
                <w:szCs w:val="17"/>
                <w:color w:val="auto"/>
              </w:rPr>
            </w:pPr>
          </w:p>
        </w:tc>
      </w:tr>
      <w:tr>
        <w:trPr>
          <w:trHeight w:val="201"/>
        </w:trPr>
        <w:tc>
          <w:tcPr>
            <w:tcW w:w="4140" w:type="dxa"/>
            <w:vAlign w:val="bottom"/>
          </w:tcPr>
          <w:p>
            <w:pPr>
              <w:spacing w:after="0"/>
              <w:rPr>
                <w:sz w:val="17"/>
                <w:szCs w:val="17"/>
                <w:color w:val="auto"/>
              </w:rPr>
            </w:pPr>
          </w:p>
        </w:tc>
        <w:tc>
          <w:tcPr>
            <w:tcW w:w="4720" w:type="dxa"/>
            <w:vAlign w:val="bottom"/>
          </w:tcPr>
          <w:p>
            <w:pPr>
              <w:ind w:left="160"/>
              <w:spacing w:after="0"/>
              <w:rPr>
                <w:sz w:val="20"/>
                <w:szCs w:val="20"/>
                <w:color w:val="auto"/>
              </w:rPr>
            </w:pPr>
            <w:r>
              <w:rPr>
                <w:rFonts w:ascii="Courier New" w:cs="Courier New" w:eastAsia="Courier New" w:hAnsi="Courier New"/>
                <w:sz w:val="17"/>
                <w:szCs w:val="17"/>
                <w:color w:val="auto"/>
              </w:rPr>
              <w:t>Officer (Principal Accounting Officer)</w:t>
            </w:r>
          </w:p>
        </w:tc>
        <w:tc>
          <w:tcPr>
            <w:tcW w:w="2040" w:type="dxa"/>
            <w:vAlign w:val="bottom"/>
          </w:tcPr>
          <w:p>
            <w:pPr>
              <w:spacing w:after="0"/>
              <w:rPr>
                <w:sz w:val="17"/>
                <w:szCs w:val="17"/>
                <w:color w:val="auto"/>
              </w:rPr>
            </w:pP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/s/ William C. Kelly, Jr.</w:t>
            </w:r>
          </w:p>
        </w:tc>
        <w:tc>
          <w:tcPr>
            <w:tcW w:w="4720" w:type="dxa"/>
            <w:vAlign w:val="bottom"/>
          </w:tcPr>
          <w:p>
            <w:pPr>
              <w:spacing w:after="0"/>
              <w:rPr>
                <w:sz w:val="17"/>
                <w:szCs w:val="17"/>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7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William C. Kelly, Jr.</w:t>
            </w:r>
          </w:p>
        </w:tc>
        <w:tc>
          <w:tcPr>
            <w:tcW w:w="47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3"/>
        </w:trPr>
        <w:tc>
          <w:tcPr>
            <w:tcW w:w="4140" w:type="dxa"/>
            <w:vAlign w:val="bottom"/>
          </w:tcPr>
          <w:p>
            <w:pPr>
              <w:spacing w:after="0"/>
              <w:rPr>
                <w:sz w:val="20"/>
                <w:szCs w:val="20"/>
                <w:color w:val="auto"/>
              </w:rPr>
            </w:pPr>
            <w:r>
              <w:rPr>
                <w:rFonts w:ascii="Courier New" w:cs="Courier New" w:eastAsia="Courier New" w:hAnsi="Courier New"/>
                <w:sz w:val="17"/>
                <w:szCs w:val="17"/>
                <w:color w:val="auto"/>
              </w:rPr>
              <w:t>Roderick R. Baty*</w:t>
            </w:r>
          </w:p>
        </w:tc>
        <w:tc>
          <w:tcPr>
            <w:tcW w:w="4720" w:type="dxa"/>
            <w:vAlign w:val="bottom"/>
          </w:tcPr>
          <w:p>
            <w:pPr>
              <w:spacing w:after="0"/>
              <w:rPr>
                <w:sz w:val="24"/>
                <w:szCs w:val="2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Richard D. Ennen*</w:t>
            </w:r>
          </w:p>
        </w:tc>
        <w:tc>
          <w:tcPr>
            <w:tcW w:w="4720" w:type="dxa"/>
            <w:vAlign w:val="bottom"/>
          </w:tcPr>
          <w:p>
            <w:pPr>
              <w:spacing w:after="0"/>
              <w:rPr>
                <w:sz w:val="17"/>
                <w:szCs w:val="17"/>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Michael D. Huff*</w:t>
            </w:r>
          </w:p>
        </w:tc>
        <w:tc>
          <w:tcPr>
            <w:tcW w:w="4720" w:type="dxa"/>
            <w:vAlign w:val="bottom"/>
          </w:tcPr>
          <w:p>
            <w:pPr>
              <w:ind w:left="160"/>
              <w:spacing w:after="0"/>
              <w:rPr>
                <w:sz w:val="20"/>
                <w:szCs w:val="20"/>
                <w:color w:val="auto"/>
              </w:rPr>
            </w:pPr>
            <w:r>
              <w:rPr>
                <w:rFonts w:ascii="Courier New" w:cs="Courier New" w:eastAsia="Courier New" w:hAnsi="Courier New"/>
                <w:sz w:val="17"/>
                <w:szCs w:val="17"/>
                <w:color w:val="auto"/>
              </w:rPr>
              <w:t>All of the</w:t>
            </w: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G. Ronald Morris*</w:t>
            </w:r>
          </w:p>
        </w:tc>
        <w:tc>
          <w:tcPr>
            <w:tcW w:w="4720" w:type="dxa"/>
            <w:vAlign w:val="bottom"/>
          </w:tcPr>
          <w:p>
            <w:pPr>
              <w:ind w:left="160"/>
              <w:spacing w:after="0"/>
              <w:rPr>
                <w:sz w:val="20"/>
                <w:szCs w:val="20"/>
                <w:color w:val="auto"/>
              </w:rPr>
            </w:pPr>
            <w:r>
              <w:rPr>
                <w:rFonts w:ascii="Courier New" w:cs="Courier New" w:eastAsia="Courier New" w:hAnsi="Courier New"/>
                <w:sz w:val="17"/>
                <w:szCs w:val="17"/>
                <w:color w:val="auto"/>
              </w:rPr>
              <w:t>Board of Directors</w:t>
            </w: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Michael E. Werner*</w:t>
            </w:r>
          </w:p>
        </w:tc>
        <w:tc>
          <w:tcPr>
            <w:tcW w:w="4720" w:type="dxa"/>
            <w:vAlign w:val="bottom"/>
          </w:tcPr>
          <w:p>
            <w:pPr>
              <w:spacing w:after="0"/>
              <w:rPr>
                <w:sz w:val="17"/>
                <w:szCs w:val="17"/>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Steven T. Warshaw*</w:t>
            </w:r>
          </w:p>
        </w:tc>
        <w:tc>
          <w:tcPr>
            <w:tcW w:w="4720" w:type="dxa"/>
            <w:vAlign w:val="bottom"/>
          </w:tcPr>
          <w:p>
            <w:pPr>
              <w:spacing w:after="0"/>
              <w:rPr>
                <w:sz w:val="17"/>
                <w:szCs w:val="17"/>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James L. Earsley*</w:t>
            </w:r>
          </w:p>
        </w:tc>
        <w:tc>
          <w:tcPr>
            <w:tcW w:w="4720" w:type="dxa"/>
            <w:vAlign w:val="bottom"/>
          </w:tcPr>
          <w:p>
            <w:pPr>
              <w:spacing w:after="0"/>
              <w:rPr>
                <w:sz w:val="17"/>
                <w:szCs w:val="17"/>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7"/>
                <w:szCs w:val="17"/>
                <w:color w:val="auto"/>
              </w:rPr>
              <w:t>November 22, 2002</w:t>
            </w:r>
          </w:p>
        </w:tc>
      </w:tr>
    </w:tbl>
    <w:p>
      <w:pPr>
        <w:sectPr>
          <w:pgSz w:w="11900" w:h="16838" w:orient="portrait"/>
          <w:cols w:equalWidth="0" w:num="1">
            <w:col w:w="10900"/>
          </w:cols>
          <w:pgMar w:left="240" w:top="343" w:right="759" w:bottom="453"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*By: /s/ Roderick R. Baty</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Roderick R. Baty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Attorney-in-fact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above-named directors pursuant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powers of attorney duly executed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b w:val="1"/>
          <w:bCs w:val="1"/>
          <w:color w:val="auto"/>
        </w:rPr>
        <w:t>Index of Exhibits</w:t>
      </w:r>
    </w:p>
    <w:p>
      <w:pPr>
        <w:sectPr>
          <w:pgSz w:w="11900" w:h="16838" w:orient="portrait"/>
          <w:cols w:equalWidth="0" w:num="1">
            <w:col w:w="10219"/>
          </w:cols>
          <w:pgMar w:left="240" w:top="34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Exhibit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Number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Document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b w:val="1"/>
          <w:bCs w:val="1"/>
          <w:color w:val="auto"/>
        </w:rPr>
        <w:t>--------</w:t>
      </w:r>
    </w:p>
    <w:p>
      <w:pPr>
        <w:spacing w:after="0" w:line="200" w:lineRule="exact"/>
        <w:rPr>
          <w:sz w:val="20"/>
          <w:szCs w:val="20"/>
          <w:color w:val="auto"/>
        </w:rPr>
      </w:pPr>
    </w:p>
    <w:p>
      <w:pPr>
        <w:sectPr>
          <w:pgSz w:w="11900" w:h="16838" w:orient="portrait"/>
          <w:cols w:equalWidth="0" w:num="2">
            <w:col w:w="960" w:space="720"/>
            <w:col w:w="8539"/>
          </w:cols>
          <w:pgMar w:left="240" w:top="343"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Form of Underwriting Agreement</w:t>
      </w:r>
    </w:p>
    <w:p>
      <w:pPr>
        <w:spacing w:after="0" w:line="210" w:lineRule="exact"/>
        <w:rPr>
          <w:sz w:val="20"/>
          <w:szCs w:val="20"/>
          <w:color w:val="auto"/>
        </w:rPr>
      </w:pPr>
    </w:p>
    <w:p>
      <w:pPr>
        <w:ind w:left="540" w:right="2139" w:hanging="523"/>
        <w:spacing w:after="0" w:line="254" w:lineRule="auto"/>
        <w:tabs>
          <w:tab w:leader="none" w:pos="520" w:val="left"/>
        </w:tabs>
        <w:rPr>
          <w:sz w:val="20"/>
          <w:szCs w:val="20"/>
          <w:color w:val="auto"/>
        </w:rPr>
      </w:pPr>
      <w:r>
        <w:rPr>
          <w:rFonts w:ascii="Courier New" w:cs="Courier New" w:eastAsia="Courier New" w:hAnsi="Courier New"/>
          <w:sz w:val="17"/>
          <w:szCs w:val="17"/>
          <w:color w:val="auto"/>
        </w:rPr>
        <w:t>3.1</w:t>
        <w:tab/>
        <w:t>Restated Certificate of Incorporation of the Company. (incorporated by reference to Exhibit 3.1 of Company's Registration Statement on Form S-3 filed June 6, 2002)</w:t>
      </w:r>
    </w:p>
    <w:p>
      <w:pPr>
        <w:spacing w:after="0" w:line="194" w:lineRule="exact"/>
        <w:rPr>
          <w:sz w:val="20"/>
          <w:szCs w:val="20"/>
          <w:color w:val="auto"/>
        </w:rPr>
      </w:pPr>
    </w:p>
    <w:p>
      <w:pPr>
        <w:ind w:left="540" w:right="1939" w:hanging="523"/>
        <w:spacing w:after="0" w:line="257" w:lineRule="auto"/>
        <w:tabs>
          <w:tab w:leader="none" w:pos="520" w:val="left"/>
        </w:tabs>
        <w:rPr>
          <w:sz w:val="20"/>
          <w:szCs w:val="20"/>
          <w:color w:val="auto"/>
        </w:rPr>
      </w:pPr>
      <w:r>
        <w:rPr>
          <w:rFonts w:ascii="Courier New" w:cs="Courier New" w:eastAsia="Courier New" w:hAnsi="Courier New"/>
          <w:sz w:val="17"/>
          <w:szCs w:val="17"/>
          <w:color w:val="auto"/>
        </w:rPr>
        <w:t>3.2</w:t>
        <w:tab/>
        <w:t>Restated By-Laws of the Company. (incorporated by reference to Exhibit 3.2 of Company's Registration Statement on Form S-3 filed June 6, 2002)</w:t>
      </w:r>
    </w:p>
    <w:p>
      <w:pPr>
        <w:spacing w:after="0" w:line="192" w:lineRule="exact"/>
        <w:rPr>
          <w:sz w:val="20"/>
          <w:szCs w:val="20"/>
          <w:color w:val="auto"/>
        </w:rPr>
      </w:pPr>
    </w:p>
    <w:p>
      <w:pPr>
        <w:ind w:left="540" w:right="1839" w:hanging="523"/>
        <w:spacing w:after="0" w:line="254" w:lineRule="auto"/>
        <w:tabs>
          <w:tab w:leader="none" w:pos="520" w:val="left"/>
        </w:tabs>
        <w:rPr>
          <w:sz w:val="20"/>
          <w:szCs w:val="20"/>
          <w:color w:val="auto"/>
        </w:rPr>
      </w:pPr>
      <w:r>
        <w:rPr>
          <w:rFonts w:ascii="Courier New" w:cs="Courier New" w:eastAsia="Courier New" w:hAnsi="Courier New"/>
          <w:sz w:val="17"/>
          <w:szCs w:val="17"/>
          <w:color w:val="auto"/>
        </w:rPr>
        <w:t>4.1</w:t>
        <w:tab/>
        <w:t>The specimen certificate representing the Company's Common Stock, par value $0.01 per share. (incorporated by reference to Exhibit 4.1 of Company's Registration Statement on Form S-3 filed June 6, 2002)</w:t>
      </w:r>
    </w:p>
    <w:p>
      <w:pPr>
        <w:spacing w:after="0" w:line="194" w:lineRule="exact"/>
        <w:rPr>
          <w:sz w:val="20"/>
          <w:szCs w:val="20"/>
          <w:color w:val="auto"/>
        </w:rPr>
      </w:pPr>
    </w:p>
    <w:p>
      <w:pPr>
        <w:ind w:left="540" w:right="1839" w:hanging="523"/>
        <w:spacing w:after="0" w:line="254" w:lineRule="auto"/>
        <w:tabs>
          <w:tab w:leader="none" w:pos="520" w:val="left"/>
        </w:tabs>
        <w:rPr>
          <w:sz w:val="20"/>
          <w:szCs w:val="20"/>
          <w:color w:val="auto"/>
        </w:rPr>
      </w:pPr>
      <w:r>
        <w:rPr>
          <w:rFonts w:ascii="Courier New" w:cs="Courier New" w:eastAsia="Courier New" w:hAnsi="Courier New"/>
          <w:sz w:val="17"/>
          <w:szCs w:val="17"/>
          <w:color w:val="auto"/>
        </w:rPr>
        <w:t>4.2</w:t>
        <w:tab/>
        <w:t>Article IV, Article V (Sections 3 through 6), Article VI (Section 2) and Article VII (Sections 1 and 3) of the Restated Certificate of Incorporation of the Company (included in Exhibit 3.1).</w:t>
      </w:r>
    </w:p>
    <w:p>
      <w:pPr>
        <w:spacing w:after="0" w:line="194" w:lineRule="exact"/>
        <w:rPr>
          <w:sz w:val="20"/>
          <w:szCs w:val="20"/>
          <w:color w:val="auto"/>
        </w:rPr>
      </w:pPr>
    </w:p>
    <w:p>
      <w:pPr>
        <w:ind w:left="540" w:right="1839" w:hanging="523"/>
        <w:spacing w:after="0" w:line="257" w:lineRule="auto"/>
        <w:tabs>
          <w:tab w:leader="none" w:pos="520" w:val="left"/>
        </w:tabs>
        <w:rPr>
          <w:sz w:val="20"/>
          <w:szCs w:val="20"/>
          <w:color w:val="auto"/>
        </w:rPr>
      </w:pPr>
      <w:r>
        <w:rPr>
          <w:rFonts w:ascii="Courier New" w:cs="Courier New" w:eastAsia="Courier New" w:hAnsi="Courier New"/>
          <w:sz w:val="17"/>
          <w:szCs w:val="17"/>
          <w:color w:val="auto"/>
        </w:rPr>
        <w:t>4.3</w:t>
        <w:tab/>
        <w:t>Article II (Sections 7 and 12), Article III (Sections 2 and 15) and Article VI of the Restated By-Laws of the Company (included in Exhibit 3.2).</w:t>
      </w:r>
    </w:p>
    <w:p>
      <w:pPr>
        <w:spacing w:after="0" w:line="192" w:lineRule="exact"/>
        <w:rPr>
          <w:sz w:val="20"/>
          <w:szCs w:val="20"/>
          <w:color w:val="auto"/>
        </w:rPr>
      </w:pPr>
    </w:p>
    <w:p>
      <w:pPr>
        <w:ind w:left="540" w:right="2459" w:hanging="523"/>
        <w:spacing w:after="0" w:line="257" w:lineRule="auto"/>
        <w:tabs>
          <w:tab w:leader="none" w:pos="520" w:val="left"/>
        </w:tabs>
        <w:rPr>
          <w:sz w:val="20"/>
          <w:szCs w:val="20"/>
          <w:color w:val="auto"/>
        </w:rPr>
      </w:pPr>
      <w:r>
        <w:rPr>
          <w:rFonts w:ascii="Courier New" w:cs="Courier New" w:eastAsia="Courier New" w:hAnsi="Courier New"/>
          <w:sz w:val="17"/>
          <w:szCs w:val="17"/>
          <w:color w:val="auto"/>
        </w:rPr>
        <w:t>5.1</w:t>
        <w:tab/>
        <w:t>Opinion of Blackwell Sanders Peper Martin LLP, counsel to the Company (filed herewith).</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23.1 Consent of Blackwell Sanders Peper Martin LLP (included in Exhibit 5.1).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23.2 Consent of KPMG LLP, Independent Auditors.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23.3 Consent of PricewaterhouseCoopers LLP, Independent Auditors.</w:t>
      </w:r>
    </w:p>
    <w:p>
      <w:pPr>
        <w:spacing w:after="0" w:line="210" w:lineRule="exact"/>
        <w:rPr>
          <w:sz w:val="20"/>
          <w:szCs w:val="20"/>
          <w:color w:val="auto"/>
        </w:rPr>
      </w:pPr>
    </w:p>
    <w:p>
      <w:pPr>
        <w:ind w:left="540" w:right="2359" w:hanging="533"/>
        <w:spacing w:after="0" w:line="257" w:lineRule="auto"/>
        <w:tabs>
          <w:tab w:leader="none" w:pos="5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 (included in the signature page to the Registration Statement).</w:t>
      </w:r>
    </w:p>
    <w:p>
      <w:pPr>
        <w:spacing w:after="0" w:line="192" w:lineRule="exact"/>
        <w:rPr>
          <w:sz w:val="20"/>
          <w:szCs w:val="20"/>
          <w:color w:val="auto"/>
        </w:rPr>
      </w:pPr>
    </w:p>
    <w:p>
      <w:pPr>
        <w:ind w:left="540" w:right="1839" w:hanging="533"/>
        <w:spacing w:after="0" w:line="254" w:lineRule="auto"/>
        <w:tabs>
          <w:tab w:leader="none" w:pos="5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by post-effective amendment or pursuant to a report to be filed pursuant to Section 13 or 15(d) of the Securities Exchange Act of 1934, if applicable, and incorporated herein by reference</w:t>
      </w:r>
    </w:p>
    <w:p>
      <w:pPr>
        <w:sectPr>
          <w:pgSz w:w="11900" w:h="16838" w:orient="portrait"/>
          <w:cols w:equalWidth="0" w:num="1">
            <w:col w:w="10219"/>
          </w:cols>
          <w:pgMar w:left="240" w:top="343" w:right="1440" w:bottom="1440" w:gutter="0" w:footer="0" w:header="0"/>
          <w:type w:val="continuous"/>
        </w:sectPr>
      </w:pPr>
    </w:p>
    <w:bookmarkStart w:id="17" w:name="page18"/>
    <w:bookmarkEnd w:id="17"/>
    <w:p>
      <w:pPr>
        <w:ind w:left="7120"/>
        <w:spacing w:after="0"/>
        <w:rPr>
          <w:sz w:val="20"/>
          <w:szCs w:val="20"/>
          <w:color w:val="auto"/>
        </w:rPr>
      </w:pPr>
      <w:r>
        <w:rPr>
          <w:rFonts w:ascii="Courier New" w:cs="Courier New" w:eastAsia="Courier New" w:hAnsi="Courier New"/>
          <w:sz w:val="17"/>
          <w:szCs w:val="17"/>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LETTERHEAD OF BLACKWELL SANDERS PEPER MARTIN LLP</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November 22,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NN,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 Waters Edge Drive</w:t>
      </w:r>
    </w:p>
    <w:p>
      <w:pPr>
        <w:spacing w:after="0" w:line="9"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7"/>
          <w:szCs w:val="17"/>
          <w:color w:val="auto"/>
        </w:rPr>
        <w:t>Johnson City, Tennessee</w:t>
        <w:tab/>
        <w:t>37604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We have acted as counsel to NN, Inc., a Delaware corporation (the "Company"), in connection with the filing of a registration statement by the Company on Form S-3, as amended (the "Registration Statement"), filed with the Securities and Exchange Commission relating to (i) the proposed public offering of up to $36,000,000 in aggregate amount of the Company's common stock, par value $.01 per share (the "Common Stock"), that may be offered and sold by the Company, and (ii) the proposed resale by certain beneficial owners (the "Selling Stockholders") of up to an aggregate of 4,033,749 shares of Common Stock (the "Selling Stockholder Shares"), from time to time, as set forth in the prospectus, including the prospectus supplement, which forms a part of the Registration Statement (the "Prospectus"), and as may be set forth in one or more supplements to the Prospectus (each, a "Prospectus Supplement"). This opinion letter is furnished to you at your request to enable you to fulfill the requirements of Item 601(b)(5) of Regulation S-K, 17 C.F.R. (ss.) 229.601(b)(5), in connection with the Registration Statement.</w:t>
      </w:r>
    </w:p>
    <w:p>
      <w:pPr>
        <w:spacing w:after="0" w:line="20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In connection with the foregoing, we have examined such documents, corporate records and other instruments as we have deemed necessary or appropriate in connection with this opinion. We have assumed that the issuance, sale, amount, and terms of the shares of Common Stock to be offered and sold by the Company from time to time will be duly authorized and established by proper action of the Board of Directors of the Company, consistent with the procedure and terms described in the Registration Statement and in accordance with the Certificate of Incorporation, Bylaws and applicable Delaware law (each, a "Board Action").</w:t>
      </w:r>
    </w:p>
    <w:p>
      <w:pPr>
        <w:spacing w:after="0" w:line="200" w:lineRule="exact"/>
        <w:rPr>
          <w:sz w:val="20"/>
          <w:szCs w:val="20"/>
          <w:color w:val="auto"/>
        </w:rPr>
      </w:pPr>
    </w:p>
    <w:p>
      <w:pPr>
        <w:spacing w:after="0" w:line="203" w:lineRule="exact"/>
        <w:rPr>
          <w:sz w:val="20"/>
          <w:szCs w:val="20"/>
          <w:color w:val="auto"/>
        </w:rPr>
      </w:pPr>
    </w:p>
    <w:p>
      <w:pPr>
        <w:ind w:right="2359" w:firstLine="943"/>
        <w:spacing w:after="0" w:line="257" w:lineRule="auto"/>
        <w:rPr>
          <w:sz w:val="20"/>
          <w:szCs w:val="20"/>
          <w:color w:val="auto"/>
        </w:rPr>
      </w:pPr>
      <w:r>
        <w:rPr>
          <w:rFonts w:ascii="Courier New" w:cs="Courier New" w:eastAsia="Courier New" w:hAnsi="Courier New"/>
          <w:sz w:val="17"/>
          <w:szCs w:val="17"/>
          <w:color w:val="auto"/>
        </w:rPr>
        <w:t>Based upon, subject to and limited by the foregoing, we are of the opinion that:</w:t>
      </w:r>
    </w:p>
    <w:p>
      <w:pPr>
        <w:spacing w:after="0" w:line="192" w:lineRule="exact"/>
        <w:rPr>
          <w:sz w:val="20"/>
          <w:szCs w:val="20"/>
          <w:color w:val="auto"/>
        </w:rPr>
      </w:pPr>
    </w:p>
    <w:p>
      <w:pPr>
        <w:ind w:right="1839" w:firstLine="950"/>
        <w:spacing w:after="0" w:line="254" w:lineRule="auto"/>
        <w:tabs>
          <w:tab w:leader="none" w:pos="1362"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effectiveness of the Registration Statement and following (i) Board Action authorizing an issuance of Common Stock to be offered and sold by the Company, 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75" w:lineRule="exact"/>
        <w:rPr>
          <w:rFonts w:ascii="Courier New" w:cs="Courier New" w:eastAsia="Courier New" w:hAnsi="Courier New"/>
          <w:sz w:val="17"/>
          <w:szCs w:val="17"/>
          <w:color w:val="auto"/>
        </w:rPr>
      </w:pPr>
    </w:p>
    <w:p>
      <w:pPr>
        <w:ind w:right="2039" w:firstLine="7"/>
        <w:spacing w:after="0" w:line="252" w:lineRule="auto"/>
        <w:tabs>
          <w:tab w:leader="none" w:pos="524"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and delivery of certificates for Common Stock against payment therefor in accordance with the terms of such Board Action and any applicable underwriting agreement or purchase agreement, and as contemplated by the Registration Statement and/or the applicable Prospectus Supplement, the shares of Common Stock to be offered and sold by the Company will be validly issued, fully paid and nonassessable; and</w:t>
      </w:r>
    </w:p>
    <w:p>
      <w:pPr>
        <w:spacing w:after="0" w:line="196" w:lineRule="exact"/>
        <w:rPr>
          <w:rFonts w:ascii="Courier New" w:cs="Courier New" w:eastAsia="Courier New" w:hAnsi="Courier New"/>
          <w:sz w:val="17"/>
          <w:szCs w:val="17"/>
          <w:color w:val="auto"/>
        </w:rPr>
      </w:pPr>
    </w:p>
    <w:p>
      <w:pPr>
        <w:ind w:right="1939" w:firstLine="950"/>
        <w:spacing w:after="0" w:line="257" w:lineRule="auto"/>
        <w:tabs>
          <w:tab w:leader="none" w:pos="1362"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Selling Stockholder Shares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-1554480</wp:posOffset>
            </wp:positionV>
            <wp:extent cx="7272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172"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This opinion letter has been prepared for your use in connection with the Registration Statement and speaks as of the date hereof. We assume no obligation to advise you of any changes in the foregoing subsequent to the delivery of this opinion letter.</w:t>
      </w:r>
    </w:p>
    <w:p>
      <w:pPr>
        <w:spacing w:after="0" w:line="195"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We consent to the filing of this opinion as an exhibit to the Registration Statement and to the reference under the caption "Legal Matters" in the Prospectus included in the Registration Statement.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Very truly yours,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/s/ Blackwell Sanders Peper Martin LLP</w:t>
      </w:r>
    </w:p>
    <w:p>
      <w:pPr>
        <w:sectPr>
          <w:pgSz w:w="11900" w:h="16838" w:orient="portrait"/>
          <w:cols w:equalWidth="0" w:num="1">
            <w:col w:w="10219"/>
          </w:cols>
          <w:pgMar w:left="240" w:top="343" w:right="1440" w:bottom="256" w:gutter="0" w:footer="0" w:header="0"/>
        </w:sectPr>
      </w:pPr>
    </w:p>
    <w:bookmarkStart w:id="18" w:name="page19"/>
    <w:bookmarkEnd w:id="18"/>
    <w:p>
      <w:pPr>
        <w:ind w:left="2940"/>
        <w:spacing w:after="0"/>
        <w:rPr>
          <w:sz w:val="20"/>
          <w:szCs w:val="20"/>
          <w:color w:val="auto"/>
        </w:rPr>
      </w:pPr>
      <w:r>
        <w:rPr>
          <w:rFonts w:ascii="Courier New" w:cs="Courier New" w:eastAsia="Courier New" w:hAnsi="Courier New"/>
          <w:sz w:val="17"/>
          <w:szCs w:val="17"/>
          <w:color w:val="auto"/>
        </w:rPr>
        <w:t>[LETTERHEAD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b w:val="1"/>
          <w:bCs w:val="1"/>
          <w:color w:val="auto"/>
        </w:rPr>
        <w:t>Independent Auditors' Consent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NN, Inc.</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consent to the use of our report dated February 28, 2002, with respect to the consolidated balance sheets of NN, Inc. as of December 31, 2001 and 2000, and the related consolidated statements of income and comprehensive income, consolidated statements of changes in stockholders' equity, and consolidated statements of cash flows for the years then ended, incorporated herein by reference and to the reference to our firm under the heading "Experts" in the prospectus. Our report refers to a change in the Company's method of accounting for derivative instruments and hedging activities in 2001.</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KPMG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Charlotte, North Carolina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22, 2002</w:t>
      </w:r>
    </w:p>
    <w:p>
      <w:pPr>
        <w:sectPr>
          <w:pgSz w:w="11900" w:h="16838" w:orient="portrait"/>
          <w:cols w:equalWidth="0" w:num="1">
            <w:col w:w="10219"/>
          </w:cols>
          <w:pgMar w:left="240" w:top="343" w:right="1440" w:bottom="1440" w:gutter="0" w:footer="0" w:header="0"/>
        </w:sectPr>
      </w:pPr>
    </w:p>
    <w:bookmarkStart w:id="19" w:name="page20"/>
    <w:bookmarkEnd w:id="19"/>
    <w:p>
      <w:pPr>
        <w:jc w:val="right"/>
        <w:ind w:right="1839"/>
        <w:spacing w:after="0"/>
        <w:rPr>
          <w:sz w:val="20"/>
          <w:szCs w:val="20"/>
          <w:color w:val="auto"/>
        </w:rPr>
      </w:pPr>
      <w:r>
        <w:rPr>
          <w:rFonts w:ascii="Courier New" w:cs="Courier New" w:eastAsia="Courier New" w:hAnsi="Courier New"/>
          <w:sz w:val="17"/>
          <w:szCs w:val="17"/>
          <w:b w:val="1"/>
          <w:bCs w:val="1"/>
          <w:color w:val="auto"/>
        </w:rPr>
        <w:t>Exhibit 23.3</w:t>
      </w:r>
    </w:p>
    <w:p>
      <w:pPr>
        <w:spacing w:after="0" w:line="21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u w:val="single" w:color="auto"/>
          <w:color w:val="auto"/>
        </w:rPr>
        <w:t>CONSENT OF INDEPENDENT ACCOUNTANTS</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We hereby consent to the incorporation by reference in this Registration Statement on Form S-3 of our report dated February 4, 2000 relating to the December 31, 1999 consolidated financial statements of NN, Inc. (formerly known as NN Ball &amp; Roller, Inc.), which appears in NN, Inc.'s Annual Report on Form</w:t>
      </w:r>
    </w:p>
    <w:p>
      <w:pPr>
        <w:ind w:right="2039"/>
        <w:spacing w:after="0" w:line="257" w:lineRule="auto"/>
        <w:rPr>
          <w:sz w:val="20"/>
          <w:szCs w:val="20"/>
          <w:color w:val="auto"/>
        </w:rPr>
      </w:pPr>
      <w:r>
        <w:rPr>
          <w:rFonts w:ascii="Courier New" w:cs="Courier New" w:eastAsia="Courier New" w:hAnsi="Courier New"/>
          <w:sz w:val="17"/>
          <w:szCs w:val="17"/>
          <w:color w:val="auto"/>
        </w:rPr>
        <w:t>10-K for the year ended December 31, 2001. We also consent to the reference to us under the heading "Experts" in such Registration Statement.</w:t>
      </w:r>
    </w:p>
    <w:p>
      <w:pPr>
        <w:spacing w:after="0" w:line="39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PricewaterhouseCoopers LLP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Charlotte, North Carolina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21, 2002</w:t>
      </w:r>
    </w:p>
    <w:sectPr>
      <w:pgSz w:w="11900" w:h="16838" w:orient="portrait"/>
      <w:cols w:equalWidth="0" w:num="1">
        <w:col w:w="10219"/>
      </w:cols>
      <w:pgMar w:left="240" w:top="3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o"/>
      <w:numFmt w:val="bullet"/>
      <w:start w:val="1"/>
    </w:lvl>
  </w:abstractNum>
  <w:abstractNum w:abstractNumId="3">
    <w:nsid w:val="7FDCC233"/>
    <w:multiLevelType w:val="hybridMultilevel"/>
    <w:lvl w:ilvl="0">
      <w:lvlJc w:val="left"/>
      <w:lvlText w:val="%1"/>
      <w:numFmt w:val="upperLetter"/>
      <w:start w:val="40"/>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8"/>
    </w:lvl>
  </w:abstractNum>
  <w:abstractNum w:abstractNumId="6">
    <w:nsid w:val="6B68079A"/>
    <w:multiLevelType w:val="hybridMultilevel"/>
    <w:lvl w:ilvl="0">
      <w:lvlJc w:val="left"/>
      <w:lvlText w:val="o"/>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o"/>
      <w:numFmt w:val="bullet"/>
      <w:start w:val="1"/>
    </w:lvl>
  </w:abstractNum>
  <w:abstractNum w:abstractNumId="9">
    <w:nsid w:val="519B500D"/>
    <w:multiLevelType w:val="hybridMultilevel"/>
    <w:lvl w:ilvl="0">
      <w:lvlJc w:val="left"/>
      <w:lvlText w:val="o"/>
      <w:numFmt w:val="bullet"/>
      <w:start w:val="1"/>
    </w:lvl>
  </w:abstractNum>
  <w:abstractNum w:abstractNumId="10">
    <w:nsid w:val="431BD7B7"/>
    <w:multiLevelType w:val="hybridMultilevel"/>
    <w:lvl w:ilvl="0">
      <w:lvlJc w:val="left"/>
      <w:lvlText w:val="o"/>
      <w:numFmt w:val="bullet"/>
      <w:start w:val="1"/>
    </w:lvl>
  </w:abstractNum>
  <w:abstractNum w:abstractNumId="11">
    <w:nsid w:val="3F2DBA31"/>
    <w:multiLevelType w:val="hybridMultilevel"/>
    <w:lvl w:ilvl="0">
      <w:lvlJc w:val="left"/>
      <w:lvlText w:val="o"/>
      <w:numFmt w:val="bullet"/>
      <w:start w:val="1"/>
    </w:lvl>
  </w:abstractNum>
  <w:abstractNum w:abstractNumId="12">
    <w:nsid w:val="7C83E458"/>
    <w:multiLevelType w:val="hybridMultilevel"/>
    <w:lvl w:ilvl="0">
      <w:lvlJc w:val="left"/>
      <w:lvlText w:val="o"/>
      <w:numFmt w:val="bullet"/>
      <w:start w:val="1"/>
    </w:lvl>
  </w:abstractNum>
  <w:abstractNum w:abstractNumId="13">
    <w:nsid w:val="257130A3"/>
    <w:multiLevelType w:val="hybridMultilevel"/>
    <w:lvl w:ilvl="0">
      <w:lvlJc w:val="left"/>
      <w:lvlText w:val="%1)"/>
      <w:numFmt w:val="decimal"/>
      <w:start w:val="2"/>
    </w:lvl>
  </w:abstractNum>
  <w:abstractNum w:abstractNumId="14">
    <w:nsid w:val="62BBD95A"/>
    <w:multiLevelType w:val="hybridMultilevel"/>
    <w:lvl w:ilvl="0">
      <w:lvlJc w:val="left"/>
      <w:lvlText w:val="%1"/>
      <w:numFmt w:val="decimal"/>
      <w:start w:val="24"/>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333AB105"/>
    <w:multiLevelType w:val="hybridMultilevel"/>
    <w:lvl w:ilvl="0">
      <w:lvlJc w:val="left"/>
      <w:lvlText w:val="%1"/>
      <w:numFmt w:val="lowerLetter"/>
      <w:start w:val="1"/>
    </w:lvl>
    <w:lvl w:ilvl="1">
      <w:lvlJc w:val="left"/>
      <w:lvlText w:val="(%2)"/>
      <w:numFmt w:val="decimal"/>
      <w:start w:val="2"/>
    </w:lvl>
  </w:abstractNum>
  <w:abstractNum w:abstractNumId="18">
    <w:nsid w:val="721DA317"/>
    <w:multiLevelType w:val="hybridMultilevel"/>
    <w:lvl w:ilvl="0">
      <w:lvlJc w:val="left"/>
      <w:lvlText w:val="(%1)"/>
      <w:numFmt w:val="lowerLetter"/>
      <w:start w:val="2"/>
    </w:lvl>
    <w:lvl w:ilvl="1">
      <w:lvlJc w:val="left"/>
      <w:lvlText w:val="%2"/>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24"/>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lowerLetter"/>
      <w:start w:val="1"/>
    </w:lvl>
    <w:lvl w:ilvl="1">
      <w:lvlJc w:val="left"/>
      <w:lvlText w:val="(%2)"/>
      <w:numFmt w:val="lowerLetter"/>
      <w:start w:val="1"/>
    </w:lvl>
  </w:abstractNum>
  <w:abstractNum w:abstractNumId="24">
    <w:nsid w:val="79838CB2"/>
    <w:multiLevelType w:val="hybridMultilevel"/>
    <w:lvl w:ilvl="0">
      <w:lvlJc w:val="left"/>
      <w:lvlText w:val="(%1)"/>
      <w:numFmt w:val="lowerLetter"/>
      <w:start w:val="35"/>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2019-12-11T22:52:32Z</dcterms:created>
  <dcterms:modified xsi:type="dcterms:W3CDTF">2019-12-11T22:52:32Z</dcterms:modified>
</cp:coreProperties>
</file>