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May 20, 2019 (May 16,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422910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40" w:type="dxa"/>
            <w:vAlign w:val="bottom"/>
          </w:tcPr>
          <w:p>
            <w:pPr>
              <w:jc w:val="center"/>
              <w:ind w:right="2239"/>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000-23486</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3"/>
              </w:rPr>
              <w:t>6210 Ardrey Kell Road</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40" w:type="dxa"/>
            <w:vAlign w:val="bottom"/>
          </w:tcPr>
          <w:p>
            <w:pPr>
              <w:jc w:val="center"/>
              <w:ind w:left="1239"/>
              <w:spacing w:after="0"/>
              <w:rPr>
                <w:sz w:val="20"/>
                <w:szCs w:val="20"/>
                <w:color w:val="auto"/>
              </w:rPr>
            </w:pPr>
            <w:r>
              <w:rPr>
                <w:rFonts w:ascii="Arial" w:cs="Arial" w:eastAsia="Arial" w:hAnsi="Arial"/>
                <w:sz w:val="18"/>
                <w:szCs w:val="18"/>
                <w:b w:val="1"/>
                <w:bCs w:val="1"/>
                <w:color w:val="auto"/>
                <w:w w:val="93"/>
              </w:rPr>
              <w:t>Charlotte, North Carolina</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28277</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229235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180" w:type="dxa"/>
            <w:vAlign w:val="bottom"/>
            <w:vMerge w:val="restart"/>
          </w:tcPr>
          <w:p>
            <w:pPr>
              <w:jc w:val="center"/>
              <w:ind w:left="459"/>
              <w:spacing w:after="0"/>
              <w:rPr>
                <w:sz w:val="20"/>
                <w:szCs w:val="20"/>
                <w:color w:val="auto"/>
              </w:rPr>
            </w:pPr>
            <w:r>
              <w:rPr>
                <w:rFonts w:ascii="Arial" w:cs="Arial" w:eastAsia="Arial" w:hAnsi="Arial"/>
                <w:sz w:val="14"/>
                <w:szCs w:val="14"/>
                <w:b w:val="1"/>
                <w:bCs w:val="1"/>
                <w:color w:val="auto"/>
                <w:w w:val="89"/>
              </w:rPr>
              <w:t>Title of each class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7"/>
              </w:rPr>
              <w:t>Trading</w:t>
            </w:r>
          </w:p>
        </w:tc>
        <w:tc>
          <w:tcPr>
            <w:tcW w:w="3160" w:type="dxa"/>
            <w:vAlign w:val="bottom"/>
          </w:tcPr>
          <w:p>
            <w:pPr>
              <w:jc w:val="center"/>
              <w:ind w:right="322"/>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1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symbol</w:t>
            </w:r>
          </w:p>
        </w:tc>
        <w:tc>
          <w:tcPr>
            <w:tcW w:w="3160" w:type="dxa"/>
            <w:vAlign w:val="bottom"/>
          </w:tcPr>
          <w:p>
            <w:pPr>
              <w:jc w:val="center"/>
              <w:ind w:right="322"/>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180" w:type="dxa"/>
            <w:vAlign w:val="bottom"/>
            <w:tcBorders>
              <w:top w:val="single" w:sz="8" w:color="auto"/>
            </w:tcBorders>
          </w:tcPr>
          <w:p>
            <w:pPr>
              <w:jc w:val="center"/>
              <w:ind w:left="439"/>
              <w:spacing w:after="0"/>
              <w:rPr>
                <w:sz w:val="20"/>
                <w:szCs w:val="20"/>
                <w:color w:val="auto"/>
              </w:rPr>
            </w:pPr>
            <w:r>
              <w:rPr>
                <w:rFonts w:ascii="Arial" w:cs="Arial" w:eastAsia="Arial" w:hAnsi="Arial"/>
                <w:sz w:val="18"/>
                <w:szCs w:val="18"/>
                <w:b w:val="1"/>
                <w:bCs w:val="1"/>
                <w:color w:val="auto"/>
                <w:w w:val="90"/>
              </w:rPr>
              <w:t>Common Stock, par value $0.01</w:t>
            </w: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NNBR</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tcPr>
          <w:p>
            <w:pPr>
              <w:jc w:val="center"/>
              <w:ind w:right="322"/>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414"/>
        </w:trPr>
        <w:tc>
          <w:tcPr>
            <w:tcW w:w="3180" w:type="dxa"/>
            <w:vAlign w:val="bottom"/>
          </w:tcPr>
          <w:p>
            <w:pPr>
              <w:spacing w:after="0"/>
              <w:rPr>
                <w:sz w:val="24"/>
                <w:szCs w:val="24"/>
                <w:color w:val="auto"/>
              </w:rPr>
            </w:pPr>
          </w:p>
        </w:tc>
        <w:tc>
          <w:tcPr>
            <w:tcW w:w="46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3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88"/>
              </w:rPr>
              <w:t>None</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1"/>
              </w:rPr>
              <w:t>(Title of class)</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368" w:right="41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234950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right="3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40" w:firstLine="881"/>
        <w:spacing w:after="0" w:line="302" w:lineRule="auto"/>
        <w:rPr>
          <w:sz w:val="20"/>
          <w:szCs w:val="20"/>
          <w:color w:val="auto"/>
        </w:rPr>
      </w:pPr>
      <w:r>
        <w:rPr>
          <w:rFonts w:ascii="Arial" w:cs="Arial" w:eastAsia="Arial" w:hAnsi="Arial"/>
          <w:sz w:val="16"/>
          <w:szCs w:val="16"/>
          <w:color w:val="auto"/>
        </w:rPr>
        <w:t>On March 13, 2019, the Board of Directors (the “Board”) of NN, Inc. (the “Company”) adopted and approved the Company’s 2019 Omnibus Incentive Plan (the “Plan”), subject to stockholder approval. The Plan was submitted to the Company’s stockholders at the annual meeting of stockholders held on May 16, 2019 (the “Annual Meeting”). At the Annual Meeting, the Company’s stockholders approved the Plan, and it became effective as of that date. The results of the stockholder vote on the Plan are set forth below under Item 5.07 of this Current Report on Form 8-K.</w:t>
      </w:r>
    </w:p>
    <w:p>
      <w:pPr>
        <w:spacing w:after="0" w:line="154"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A description of the material terms of the Plan is set forth under the caption “Proposal IV: Approval of the 2019 Omnibus Incentive Plan— Summary of the Plan” in the Company’s Definitive Proxy Statement on Schedule 14A, filed with the Securities and Exchange Commission on April 8, 2019, and is incorporated herein by reference. The description of the Plan therein is a summary and is qualified in its entirety by the full text of the Plan, a copy of which is incorporated by reference to Exhibit 10.1 to this Current Report on Form 8-K.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120" w:firstLine="881"/>
        <w:spacing w:after="0" w:line="287" w:lineRule="auto"/>
        <w:rPr>
          <w:sz w:val="20"/>
          <w:szCs w:val="20"/>
          <w:color w:val="auto"/>
        </w:rPr>
      </w:pPr>
      <w:r>
        <w:rPr>
          <w:rFonts w:ascii="Arial" w:cs="Arial" w:eastAsia="Arial" w:hAnsi="Arial"/>
          <w:sz w:val="16"/>
          <w:szCs w:val="16"/>
          <w:color w:val="auto"/>
        </w:rPr>
        <w:t>On February 25, 2019, the Board adopted and approved, subject to stockholder approval: (i) an amendment to the Company’s Restated Certificate of Incorporation to eliminate the classification of the Board over a two-year period so that beginning at the 2021 annual meeting of stockholders all directors will be elected for one-year terms (the “Declassification Amendment”); and (ii) an amendment to the Company’s Restated Certificate of Incorporation to increase the number of authorized shares of the Company’s common stock, $.01 par value per share, from 45,000,000 to 90,000,000 (the “Share Increase Amendment”). The Declassification Amendment and the Share Increase Amendment were submitted to and approved by the Company’s stockholders at the Annual Meeting. The results of the respective stockholder votes on the Declassification Amendment and Share Increase Amendment are set forth below under Item 5.07 of this Current Report on Form 8-K. Consistent therewith, on May 16, 2019, the Company filed with the Secretary of State of the State of Delaware: (i) a Certificate of Amendment to the Company’s Restated Certificate of Incorporation to effectuate the Declassification Amendment (the “Certificate of Amendment–Declassification”); and (ii) a Certificate of Amendment to the Company’s Restated Certificate of Incorporation to effectuate the Share Increase Amendment (the “Certificate of Amendment–Share Increase”). The Board also previously adopted and approved an amendment with conforming changes to the Company’s Amended and Restated Bylaws to fully implement the Declassification Amendment, which became effective upon the filing of the Certificate of Amendment–Declassification (the “Bylaws Amendment”).</w:t>
      </w:r>
    </w:p>
    <w:p>
      <w:pPr>
        <w:spacing w:after="0" w:line="169"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The foregoing general descriptions of the Certificate of Amendment–Declassification, the Certificate of Amendment–Share Increase and the Bylaws Amendment are qualified in their entirety by reference to the full text of the Certificate of Amendment–Declassification, the Certificate of Amendment–Share Increase and the Bylaws Amendment, copies of which are filed as Exhibit 3.1, Exhibit 3.2 and Exhibit 3.3 to this Current Report on Form 8-K, respectively, and are incorporated by reference herein.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As of March 19, 2019, the record date for the Annual Meeting, a total of 42,366,961 shares of the Company’s common stock were outstanding and entitled to vote on all matters presented to the Company’s stockholders at the Annual Meeting. At the Annual Meeting, the Company’s stockholders considered the following proposals:</w:t>
      </w:r>
    </w:p>
    <w:p>
      <w:pPr>
        <w:spacing w:after="0" w:line="87" w:lineRule="exact"/>
        <w:rPr>
          <w:sz w:val="20"/>
          <w:szCs w:val="20"/>
          <w:color w:val="auto"/>
        </w:rPr>
      </w:pPr>
    </w:p>
    <w:p>
      <w:pPr>
        <w:ind w:left="1420" w:right="100" w:hanging="538"/>
        <w:spacing w:after="0" w:line="277"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two Class III directors to serve for a term of one year if the Declassification Amendment is approved, or for a term of three years if the Declassification Amendment is not approved;</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Declassification Amendment;</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Share Increase Amendment;</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2019 Plan;</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cast an advisory (non-binding) vote to approve the compensation of the Company’s named executive officers; and</w:t>
      </w:r>
    </w:p>
    <w:p>
      <w:pPr>
        <w:spacing w:after="0" w:line="130" w:lineRule="exact"/>
        <w:rPr>
          <w:rFonts w:ascii="Arial" w:cs="Arial" w:eastAsia="Arial" w:hAnsi="Arial"/>
          <w:sz w:val="18"/>
          <w:szCs w:val="18"/>
          <w:color w:val="auto"/>
        </w:rPr>
      </w:pPr>
    </w:p>
    <w:p>
      <w:pPr>
        <w:ind w:left="1420" w:right="360" w:hanging="538"/>
        <w:spacing w:after="0" w:line="277"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cast an advisory vote to ratify the selection of PricewaterhouseCoopers LLP as the Company’s registered independent public accounting firm for the fiscal year ending December 31, 2019.</w:t>
      </w:r>
    </w:p>
    <w:p>
      <w:pPr>
        <w:sectPr>
          <w:pgSz w:w="11900" w:h="16838" w:orient="portrait"/>
          <w:cols w:equalWidth="0" w:num="1">
            <w:col w:w="11000"/>
          </w:cols>
          <w:pgMar w:left="440" w:top="270" w:right="459" w:bottom="1440" w:gutter="0" w:footer="0" w:header="0"/>
        </w:sectPr>
      </w:pPr>
    </w:p>
    <w:bookmarkStart w:id="3" w:name="page4"/>
    <w:bookmarkEnd w:id="3"/>
    <w:p>
      <w:pPr>
        <w:ind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final voting results for each proposal are described below. For beneficial owners holding the Company’s common stock at a bank or brokerage institution, a “broker non-vote” occurred if the owner failed to give voting instructions, and the bank or broker was otherwise restricted from voting on the owner’s behalf.</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Two Class III directors were elected to serve for a term of one year. The results of the election were as follows:</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jc w:val="right"/>
              <w:ind w:right="256"/>
              <w:spacing w:after="0"/>
              <w:rPr>
                <w:sz w:val="20"/>
                <w:szCs w:val="20"/>
                <w:color w:val="auto"/>
              </w:rPr>
            </w:pPr>
            <w:r>
              <w:rPr>
                <w:rFonts w:ascii="Arial" w:cs="Arial" w:eastAsia="Arial" w:hAnsi="Arial"/>
                <w:sz w:val="14"/>
                <w:szCs w:val="14"/>
                <w:b w:val="1"/>
                <w:bCs w:val="1"/>
                <w:color w:val="auto"/>
              </w:rPr>
              <w:t>For</w:t>
            </w:r>
          </w:p>
        </w:tc>
        <w:tc>
          <w:tcPr>
            <w:tcW w:w="13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Against</w:t>
            </w:r>
          </w:p>
        </w:tc>
        <w:tc>
          <w:tcPr>
            <w:tcW w:w="800" w:type="dxa"/>
            <w:vAlign w:val="bottom"/>
          </w:tcPr>
          <w:p>
            <w:pPr>
              <w:jc w:val="right"/>
              <w:ind w:right="36"/>
              <w:spacing w:after="0"/>
              <w:rPr>
                <w:sz w:val="20"/>
                <w:szCs w:val="20"/>
                <w:color w:val="auto"/>
              </w:rPr>
            </w:pPr>
            <w:r>
              <w:rPr>
                <w:rFonts w:ascii="Arial" w:cs="Arial" w:eastAsia="Arial" w:hAnsi="Arial"/>
                <w:sz w:val="14"/>
                <w:szCs w:val="14"/>
                <w:b w:val="1"/>
                <w:bCs w:val="1"/>
                <w:color w:val="auto"/>
              </w:rPr>
              <w:t>Withheld</w:t>
            </w:r>
          </w:p>
        </w:tc>
        <w:tc>
          <w:tcPr>
            <w:tcW w:w="15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Broker Non-Votes</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David K. Floyd</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33,560,355</w:t>
            </w: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1,046,539</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3,834,983</w:t>
            </w:r>
          </w:p>
        </w:tc>
        <w:tc>
          <w:tcPr>
            <w:tcW w:w="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Janice E. Stipp</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34,123,402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483,492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3,834,983</w:t>
            </w:r>
          </w:p>
        </w:tc>
        <w:tc>
          <w:tcPr>
            <w:tcW w:w="4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w:t>
      </w:r>
    </w:p>
    <w:p>
      <w:pPr>
        <w:spacing w:after="0" w:line="117"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The Declassification Amendment was approved. The aggregate votes cast for or against, as well as abstentions and broker non-votes, were as follows:</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Against</w:t>
            </w:r>
          </w:p>
        </w:tc>
        <w:tc>
          <w:tcPr>
            <w:tcW w:w="2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Abstentions</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22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rPr>
              <w:t>34,069,715</w:t>
            </w:r>
          </w:p>
        </w:tc>
        <w:tc>
          <w:tcPr>
            <w:tcW w:w="14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220,683</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17,722</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3,834,983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3</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Authorized Share Amendment was approved. The aggregate votes cast for or against, as well as abstentions, were as follows:</w:t>
      </w:r>
    </w:p>
    <w:p>
      <w:pPr>
        <w:spacing w:after="0" w:line="244" w:lineRule="exact"/>
        <w:rPr>
          <w:sz w:val="20"/>
          <w:szCs w:val="20"/>
          <w:color w:val="auto"/>
        </w:rPr>
      </w:pPr>
    </w:p>
    <w:tbl>
      <w:tblPr>
        <w:tblLayout w:type="fixed"/>
        <w:tblInd w:w="1340" w:type="dxa"/>
        <w:tblCellMar>
          <w:top w:w="0" w:type="dxa"/>
          <w:left w:w="0" w:type="dxa"/>
          <w:bottom w:w="0" w:type="dxa"/>
          <w:right w:w="0" w:type="dxa"/>
        </w:tblCellMar>
      </w:tblPr>
      <w:tr>
        <w:trPr>
          <w:trHeight w:val="185"/>
        </w:trPr>
        <w:tc>
          <w:tcPr>
            <w:tcW w:w="2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Against</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88"/>
              </w:rPr>
              <w:t>Abstentions</w:t>
            </w:r>
          </w:p>
        </w:tc>
      </w:tr>
      <w:tr>
        <w:trPr>
          <w:trHeight w:val="210"/>
        </w:trPr>
        <w:tc>
          <w:tcPr>
            <w:tcW w:w="284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rPr>
              <w:t>33,605,018</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4,482,387</w:t>
            </w:r>
          </w:p>
        </w:tc>
        <w:tc>
          <w:tcPr>
            <w:tcW w:w="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rPr>
              <w:t>55,698</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4</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2019 Plan was approved. The aggregate votes cast for or against, as well as abstentions and broker non-votes, were as follows:</w:t>
      </w:r>
    </w:p>
    <w:p>
      <w:pPr>
        <w:spacing w:after="0" w:line="255"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Against</w:t>
            </w:r>
          </w:p>
        </w:tc>
        <w:tc>
          <w:tcPr>
            <w:tcW w:w="2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Abstentions</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22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rPr>
              <w:t>31,214,771</w:t>
            </w:r>
          </w:p>
        </w:tc>
        <w:tc>
          <w:tcPr>
            <w:tcW w:w="14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rPr>
              <w:t>2,958,027</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rPr>
              <w:t>135,322</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3,834,983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5</w:t>
      </w:r>
    </w:p>
    <w:p>
      <w:pPr>
        <w:spacing w:after="0" w:line="117" w:lineRule="exact"/>
        <w:rPr>
          <w:sz w:val="20"/>
          <w:szCs w:val="20"/>
          <w:color w:val="auto"/>
        </w:rPr>
      </w:pPr>
    </w:p>
    <w:p>
      <w:pPr>
        <w:ind w:right="800" w:firstLine="441"/>
        <w:spacing w:after="0" w:line="277" w:lineRule="auto"/>
        <w:rPr>
          <w:sz w:val="20"/>
          <w:szCs w:val="20"/>
          <w:color w:val="auto"/>
        </w:rPr>
      </w:pPr>
      <w:r>
        <w:rPr>
          <w:rFonts w:ascii="Arial" w:cs="Arial" w:eastAsia="Arial" w:hAnsi="Arial"/>
          <w:sz w:val="18"/>
          <w:szCs w:val="18"/>
          <w:color w:val="auto"/>
        </w:rPr>
        <w:t>The advisory (non-binding) vote on the executive compensation of the Company’s named executive officers was in favor of executive compensation. The results were as follows:</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Against</w:t>
            </w:r>
          </w:p>
        </w:tc>
        <w:tc>
          <w:tcPr>
            <w:tcW w:w="2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Abstentions</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22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rPr>
              <w:t>28,959,854</w:t>
            </w:r>
          </w:p>
        </w:tc>
        <w:tc>
          <w:tcPr>
            <w:tcW w:w="14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rPr>
              <w:t>4,926,664</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rPr>
              <w:t>421,602</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3,834,983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6</w:t>
      </w:r>
    </w:p>
    <w:p>
      <w:pPr>
        <w:spacing w:after="0" w:line="11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Audit Committee’s selection of PricewaterhouseCoopers LLP as the Company’s registered independent public accounting firm for the fiscal year ending December 31, 2019 was ratified. The results of the vote were as follows:</w:t>
      </w:r>
    </w:p>
    <w:p>
      <w:pPr>
        <w:spacing w:after="0" w:line="189" w:lineRule="exact"/>
        <w:rPr>
          <w:sz w:val="20"/>
          <w:szCs w:val="20"/>
          <w:color w:val="auto"/>
        </w:rPr>
      </w:pPr>
    </w:p>
    <w:tbl>
      <w:tblPr>
        <w:tblLayout w:type="fixed"/>
        <w:tblInd w:w="1340" w:type="dxa"/>
        <w:tblCellMar>
          <w:top w:w="0" w:type="dxa"/>
          <w:left w:w="0" w:type="dxa"/>
          <w:bottom w:w="0" w:type="dxa"/>
          <w:right w:w="0" w:type="dxa"/>
        </w:tblCellMar>
      </w:tblPr>
      <w:tr>
        <w:trPr>
          <w:trHeight w:val="185"/>
        </w:trPr>
        <w:tc>
          <w:tcPr>
            <w:tcW w:w="2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Against</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88"/>
              </w:rPr>
              <w:t>Abstentions</w:t>
            </w:r>
          </w:p>
        </w:tc>
      </w:tr>
      <w:tr>
        <w:trPr>
          <w:trHeight w:val="210"/>
        </w:trPr>
        <w:tc>
          <w:tcPr>
            <w:tcW w:w="284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rPr>
              <w:t>37,876,761</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253,905</w:t>
            </w:r>
          </w:p>
        </w:tc>
        <w:tc>
          <w:tcPr>
            <w:tcW w:w="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rPr>
              <w:t>12,437</w:t>
            </w:r>
          </w:p>
        </w:tc>
      </w:tr>
    </w:tbl>
    <w:p>
      <w:pPr>
        <w:sectPr>
          <w:pgSz w:w="11900" w:h="16838" w:orient="portrait"/>
          <w:cols w:equalWidth="0" w:num="1">
            <w:col w:w="10900"/>
          </w:cols>
          <w:pgMar w:left="440" w:top="274" w:right="5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35" w:lineRule="exact"/>
        <w:rPr>
          <w:sz w:val="20"/>
          <w:szCs w:val="20"/>
          <w:color w:val="auto"/>
        </w:rPr>
      </w:pPr>
    </w:p>
    <w:p>
      <w:pPr>
        <w:ind w:left="440" w:hanging="436"/>
        <w:spacing w:after="0"/>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6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jc w:val="right"/>
              <w:ind w:right="82"/>
              <w:spacing w:after="0"/>
              <w:rPr>
                <w:sz w:val="20"/>
                <w:szCs w:val="20"/>
                <w:color w:val="auto"/>
              </w:rPr>
            </w:pPr>
            <w:r>
              <w:rPr>
                <w:rFonts w:ascii="Arial" w:cs="Arial" w:eastAsia="Arial" w:hAnsi="Arial"/>
                <w:sz w:val="14"/>
                <w:szCs w:val="14"/>
                <w:b w:val="1"/>
                <w:bCs w:val="1"/>
                <w:color w:val="auto"/>
              </w:rPr>
              <w:t>No.</w:t>
            </w:r>
          </w:p>
        </w:tc>
        <w:tc>
          <w:tcPr>
            <w:tcW w:w="5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00" w:type="dxa"/>
            <w:vAlign w:val="bottom"/>
          </w:tcPr>
          <w:p>
            <w:pPr>
              <w:jc w:val="right"/>
              <w:ind w:right="122"/>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69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Certificate of Amendment to Restated Certificate of Incorporation of NN, Inc. (Declassification)</w:t>
              </w:r>
            </w:hyperlink>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2"/>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68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Certificate of Amendment to Restated Certificate of Incorporation of NN, Inc. (Share Increase)</w:t>
              </w:r>
            </w:hyperlink>
          </w:p>
        </w:tc>
        <w:tc>
          <w:tcPr>
            <w:tcW w:w="2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2"/>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4"/>
                <w:szCs w:val="24"/>
                <w:color w:val="auto"/>
              </w:rPr>
            </w:pPr>
          </w:p>
        </w:tc>
        <w:tc>
          <w:tcPr>
            <w:tcW w:w="9100" w:type="dxa"/>
            <w:vAlign w:val="bottom"/>
            <w:gridSpan w:val="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Amendment to Amended and Restated Bylaws of NN, Inc.</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22"/>
              <w:spacing w:after="0"/>
              <w:rPr>
                <w:sz w:val="20"/>
                <w:szCs w:val="20"/>
                <w:color w:val="auto"/>
              </w:rPr>
            </w:pPr>
            <w:r>
              <w:rPr>
                <w:rFonts w:ascii="Arial" w:cs="Arial" w:eastAsia="Arial" w:hAnsi="Arial"/>
                <w:sz w:val="18"/>
                <w:szCs w:val="18"/>
                <w:color w:val="auto"/>
                <w:w w:val="85"/>
              </w:rPr>
              <w:t>10.1</w:t>
            </w:r>
          </w:p>
        </w:tc>
        <w:tc>
          <w:tcPr>
            <w:tcW w:w="520" w:type="dxa"/>
            <w:vAlign w:val="bottom"/>
          </w:tcPr>
          <w:p>
            <w:pPr>
              <w:spacing w:after="0"/>
              <w:rPr>
                <w:sz w:val="24"/>
                <w:szCs w:val="24"/>
                <w:color w:val="auto"/>
              </w:rPr>
            </w:pPr>
          </w:p>
        </w:tc>
        <w:tc>
          <w:tcPr>
            <w:tcW w:w="9100" w:type="dxa"/>
            <w:vAlign w:val="bottom"/>
            <w:gridSpan w:val="7"/>
          </w:tcPr>
          <w:p>
            <w:pPr>
              <w:spacing w:after="0"/>
              <w:rPr>
                <w:rFonts w:ascii="Arial" w:cs="Arial" w:eastAsia="Arial" w:hAnsi="Arial"/>
                <w:sz w:val="18"/>
                <w:szCs w:val="18"/>
                <w:color w:val="0000EE"/>
                <w:w w:val="92"/>
              </w:rPr>
            </w:pPr>
            <w:hyperlink r:id="rId22">
              <w:r>
                <w:rPr>
                  <w:rFonts w:ascii="Arial" w:cs="Arial" w:eastAsia="Arial" w:hAnsi="Arial"/>
                  <w:sz w:val="18"/>
                  <w:szCs w:val="18"/>
                  <w:color w:val="0000EE"/>
                  <w:w w:val="92"/>
                </w:rPr>
                <w:t xml:space="preserve">NN, Inc. 2019 Omnibus Incentive Plan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Appendix C to NN, Inc.’s Definitive Proxy Statement 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100" w:type="dxa"/>
            <w:vAlign w:val="bottom"/>
            <w:gridSpan w:val="7"/>
          </w:tcPr>
          <w:p>
            <w:pPr>
              <w:spacing w:after="0"/>
              <w:rPr>
                <w:sz w:val="20"/>
                <w:szCs w:val="20"/>
                <w:color w:val="auto"/>
              </w:rPr>
            </w:pPr>
            <w:r>
              <w:rPr>
                <w:rFonts w:ascii="Arial" w:cs="Arial" w:eastAsia="Arial" w:hAnsi="Arial"/>
                <w:sz w:val="18"/>
                <w:szCs w:val="18"/>
                <w:color w:val="auto"/>
              </w:rPr>
              <w:t>Schedule 14A filed with the Securities and Exchange Commission on April 8, 2019).</w:t>
            </w:r>
          </w:p>
        </w:tc>
        <w:tc>
          <w:tcPr>
            <w:tcW w:w="0" w:type="dxa"/>
            <w:vAlign w:val="bottom"/>
          </w:tcPr>
          <w:p>
            <w:pPr>
              <w:spacing w:after="0"/>
              <w:rPr>
                <w:sz w:val="1"/>
                <w:szCs w:val="1"/>
                <w:color w:val="auto"/>
              </w:rPr>
            </w:pPr>
          </w:p>
        </w:tc>
      </w:tr>
    </w:tbl>
    <w:p>
      <w:pPr>
        <w:sectPr>
          <w:pgSz w:w="11900" w:h="16838" w:orient="portrait"/>
          <w:cols w:equalWidth="0" w:num="1">
            <w:col w:w="10140"/>
          </w:cols>
          <w:pgMar w:left="440" w:top="270" w:right="1319" w:bottom="1440" w:gutter="0" w:footer="0" w:header="0"/>
        </w:sectPr>
      </w:pPr>
    </w:p>
    <w:bookmarkStart w:id="5" w:name="page6"/>
    <w:bookmarkEnd w:id="5"/>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20,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20"/>
          </w:cols>
          <w:pgMar w:left="440" w:top="270" w:right="7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228600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Pursuant to Section 242 of the General</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237490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NN, INC.</w:t>
      </w:r>
      <w:r>
        <w:rPr>
          <w:rFonts w:ascii="Arial" w:cs="Arial" w:eastAsia="Arial" w:hAnsi="Arial"/>
          <w:sz w:val="17"/>
          <w:szCs w:val="17"/>
          <w:color w:val="auto"/>
        </w:rPr>
        <w:t>, a corporation organized and existing under the laws of the State of Delaware (the “</w:t>
      </w:r>
      <w:r>
        <w:rPr>
          <w:rFonts w:ascii="Arial" w:cs="Arial" w:eastAsia="Arial" w:hAnsi="Arial"/>
          <w:sz w:val="17"/>
          <w:szCs w:val="17"/>
          <w:u w:val="single" w:color="auto"/>
          <w:color w:val="auto"/>
        </w:rPr>
        <w:t>Corporation</w:t>
      </w:r>
      <w:r>
        <w:rPr>
          <w:rFonts w:ascii="Arial" w:cs="Arial" w:eastAsia="Arial" w:hAnsi="Arial"/>
          <w:sz w:val="17"/>
          <w:szCs w:val="17"/>
          <w:color w:val="auto"/>
        </w:rPr>
        <w:t>”), hereby certifies as follows:</w:t>
      </w:r>
    </w:p>
    <w:p>
      <w:pPr>
        <w:spacing w:after="0" w:line="1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Section 3 of Article V of the Restated Certificate of Incorporation of the Corporation is hereby amended in its entirety to read as follows:</w:t>
      </w:r>
    </w:p>
    <w:p>
      <w:pPr>
        <w:spacing w:after="0" w:line="117" w:lineRule="exact"/>
        <w:rPr>
          <w:sz w:val="20"/>
          <w:szCs w:val="20"/>
          <w:color w:val="auto"/>
        </w:rPr>
      </w:pPr>
    </w:p>
    <w:p>
      <w:pPr>
        <w:ind w:left="1000" w:right="80"/>
        <w:spacing w:after="0" w:line="287" w:lineRule="auto"/>
        <w:rPr>
          <w:sz w:val="20"/>
          <w:szCs w:val="20"/>
          <w:color w:val="auto"/>
        </w:rPr>
      </w:pPr>
      <w:r>
        <w:rPr>
          <w:rFonts w:ascii="Arial" w:cs="Arial" w:eastAsia="Arial" w:hAnsi="Arial"/>
          <w:sz w:val="16"/>
          <w:szCs w:val="16"/>
          <w:color w:val="auto"/>
        </w:rPr>
        <w:t>“Until the election of directors at the 2021 annual meeting of stockholders of the Corporation, the directors, other than those who may be elected by the holders of any series of Preferred Stock under specified circumstances, shall be divided, with respect to the time for which they severally hold office, into three classes, as nearly equal in number as is reasonably possible. Each director elected at or prior to the 2018 annual meeting of stockholders shall be elected for a term expiring on the date of the third annual meeting of stockholders following the annual meeting of stockholders at which the director was elected. Each director elected at the 2019 annual meeting of stockholders shall be elected for a one-year term expiring at the 2020 annual meeting of stockholders. Each director elected at the 2020 annual meeting of stockholders shall be elected for a one-year term expiring at the 2021 annual meeting of stockholders. At the 2021 annual meeting of stockholders and each annual meeting of stockholders thereafter, all directors shall be elected for a one-year term expiring at the next annual meeting of stockholders. Directors elected to succeed those directors whose terms then expire shall be elected for a term of office to expire at the succeeding annual meeting of stockholders after their election, with each director to hold office until his or her successor shall have been duly elected and qualified.”</w:t>
      </w:r>
    </w:p>
    <w:p>
      <w:pPr>
        <w:sectPr>
          <w:pgSz w:w="11900" w:h="16838" w:orient="portrait"/>
          <w:cols w:equalWidth="0" w:num="1">
            <w:col w:w="10580"/>
          </w:cols>
          <w:pgMar w:left="880" w:top="121" w:right="439" w:bottom="1440" w:gutter="0" w:footer="0" w:header="0"/>
        </w:sectPr>
      </w:pPr>
    </w:p>
    <w:bookmarkStart w:id="7" w:name="page8"/>
    <w:bookmarkEnd w:id="7"/>
    <w:p>
      <w:pPr>
        <w:ind w:left="-440" w:right="500" w:firstLine="444"/>
        <w:spacing w:after="0" w:line="277" w:lineRule="auto"/>
        <w:tabs>
          <w:tab w:leader="none" w:pos="357"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second paragraph of Section 5 of Article V of the Restated Certificate of Incorporation of the Corporation is hereby amended in its entirety to read as follows.</w:t>
      </w:r>
    </w:p>
    <w:p>
      <w:pPr>
        <w:spacing w:after="0" w:line="62" w:lineRule="exact"/>
        <w:rPr>
          <w:sz w:val="20"/>
          <w:szCs w:val="20"/>
          <w:color w:val="auto"/>
        </w:rPr>
      </w:pPr>
    </w:p>
    <w:p>
      <w:pPr>
        <w:ind w:left="1000" w:right="20"/>
        <w:spacing w:after="0" w:line="257" w:lineRule="auto"/>
        <w:rPr>
          <w:sz w:val="20"/>
          <w:szCs w:val="20"/>
          <w:color w:val="auto"/>
        </w:rPr>
      </w:pPr>
      <w:r>
        <w:rPr>
          <w:rFonts w:ascii="Arial" w:cs="Arial" w:eastAsia="Arial" w:hAnsi="Arial"/>
          <w:sz w:val="18"/>
          <w:szCs w:val="18"/>
          <w:color w:val="auto"/>
        </w:rPr>
        <w:t>“Directors so chosen shall hold office for a term expiring at the annual meeting of stockholders at which the term of office to which they have been elected expires pursuant to Section 3 of this Article V and until such director’s successor shall have been duly elected and qualified. No decrease in the authorized number of directors constituting the Board of Directors shall shorten the term of any incumbent director. For the purpose of this Certificate of Incorporation, “Whole Board” shall mean the total number of directors which the Corporation would have if there were no vacancies.”</w:t>
      </w:r>
    </w:p>
    <w:p>
      <w:pPr>
        <w:spacing w:after="0" w:line="188" w:lineRule="exact"/>
        <w:rPr>
          <w:sz w:val="20"/>
          <w:szCs w:val="20"/>
          <w:color w:val="auto"/>
        </w:rPr>
      </w:pPr>
    </w:p>
    <w:p>
      <w:pPr>
        <w:ind w:left="-440" w:right="480" w:firstLine="444"/>
        <w:spacing w:after="0" w:line="277" w:lineRule="auto"/>
        <w:tabs>
          <w:tab w:leader="none" w:pos="35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amendment to the Restated Certificate of Incorporation effected hereby has been duly adopted in accordance with the provisions of Section 242 of the General Corporation Law of the State of Delaware.</w:t>
      </w:r>
    </w:p>
    <w:p>
      <w:pPr>
        <w:spacing w:after="0" w:line="170" w:lineRule="exact"/>
        <w:rPr>
          <w:rFonts w:ascii="Arial" w:cs="Arial" w:eastAsia="Arial" w:hAnsi="Arial"/>
          <w:sz w:val="18"/>
          <w:szCs w:val="18"/>
          <w:color w:val="auto"/>
        </w:rPr>
      </w:pPr>
    </w:p>
    <w:p>
      <w:pPr>
        <w:ind w:left="320" w:hanging="316"/>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Certificate of Amendment will become effective when filed with the Secretary of State of the State of Delaware.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Corporation has caused this certificate to be signed by its duly authorized officer this 16th day of May, 2019.</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 Heiter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Matthew S. Heiter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Senior Vice President, General Counsel</w:t>
            </w:r>
          </w:p>
        </w:tc>
      </w:tr>
    </w:tbl>
    <w:p>
      <w:pPr>
        <w:sectPr>
          <w:pgSz w:w="11900" w:h="16838" w:orient="portrait"/>
          <w:cols w:equalWidth="0" w:num="1">
            <w:col w:w="10600"/>
          </w:cols>
          <w:pgMar w:left="880" w:top="274" w:right="419" w:bottom="1440" w:gutter="0" w:footer="0" w:header="0"/>
        </w:sectPr>
      </w:pPr>
    </w:p>
    <w:bookmarkStart w:id="8" w:name="page9"/>
    <w:bookmarkEnd w:id="8"/>
    <w:p>
      <w:pPr>
        <w:jc w:val="right"/>
        <w:ind w:right="2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Pursuant to Section 242 of the General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237490</wp:posOffset>
            </wp:positionV>
            <wp:extent cx="1466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NN, INC.</w:t>
      </w:r>
      <w:r>
        <w:rPr>
          <w:rFonts w:ascii="Arial" w:cs="Arial" w:eastAsia="Arial" w:hAnsi="Arial"/>
          <w:sz w:val="17"/>
          <w:szCs w:val="17"/>
          <w:color w:val="auto"/>
        </w:rPr>
        <w:t>, a corporation organized and existing under the laws of the State of Delaware (the “</w:t>
      </w:r>
      <w:r>
        <w:rPr>
          <w:rFonts w:ascii="Arial" w:cs="Arial" w:eastAsia="Arial" w:hAnsi="Arial"/>
          <w:sz w:val="17"/>
          <w:szCs w:val="17"/>
          <w:u w:val="single" w:color="auto"/>
          <w:color w:val="auto"/>
        </w:rPr>
        <w:t>Corporation</w:t>
      </w:r>
      <w:r>
        <w:rPr>
          <w:rFonts w:ascii="Arial" w:cs="Arial" w:eastAsia="Arial" w:hAnsi="Arial"/>
          <w:sz w:val="17"/>
          <w:szCs w:val="17"/>
          <w:color w:val="auto"/>
        </w:rPr>
        <w:t>”), hereby certifies as follows:</w:t>
      </w:r>
    </w:p>
    <w:p>
      <w:pPr>
        <w:spacing w:after="0" w:line="133" w:lineRule="exact"/>
        <w:rPr>
          <w:sz w:val="20"/>
          <w:szCs w:val="20"/>
          <w:color w:val="auto"/>
        </w:rPr>
      </w:pPr>
    </w:p>
    <w:p>
      <w:pPr>
        <w:ind w:right="20" w:firstLine="444"/>
        <w:spacing w:after="0" w:line="277" w:lineRule="auto"/>
        <w:tabs>
          <w:tab w:leader="none" w:pos="7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first sentence of Section 1 of Article IV of the Restated Certificate of Incorporation of the Corporation is hereby amended in its entirety to read as follows:</w:t>
      </w:r>
    </w:p>
    <w:p>
      <w:pPr>
        <w:spacing w:after="0" w:line="62" w:lineRule="exact"/>
        <w:rPr>
          <w:sz w:val="20"/>
          <w:szCs w:val="20"/>
          <w:color w:val="auto"/>
        </w:rPr>
      </w:pPr>
    </w:p>
    <w:p>
      <w:pPr>
        <w:jc w:val="both"/>
        <w:ind w:left="1440" w:right="60"/>
        <w:spacing w:after="0" w:line="264" w:lineRule="auto"/>
        <w:rPr>
          <w:sz w:val="20"/>
          <w:szCs w:val="20"/>
          <w:color w:val="auto"/>
        </w:rPr>
      </w:pPr>
      <w:r>
        <w:rPr>
          <w:rFonts w:ascii="Arial" w:cs="Arial" w:eastAsia="Arial" w:hAnsi="Arial"/>
          <w:sz w:val="18"/>
          <w:szCs w:val="18"/>
          <w:color w:val="auto"/>
        </w:rPr>
        <w:t>“The total number of shares of capital stock that the Corporation shall have the authority to issue is 95,000,000 shares, consisting of 90,000,000 shares of common stock, par value $.01 per share (“Common Stock”), and 5,000,000 shares of preferred stock, par value $.01 per share (“Preferred Stock”).”</w:t>
      </w:r>
    </w:p>
    <w:p>
      <w:pPr>
        <w:spacing w:after="0" w:line="181" w:lineRule="exact"/>
        <w:rPr>
          <w:sz w:val="20"/>
          <w:szCs w:val="20"/>
          <w:color w:val="auto"/>
        </w:rPr>
      </w:pPr>
    </w:p>
    <w:p>
      <w:pPr>
        <w:ind w:right="520" w:firstLine="444"/>
        <w:spacing w:after="0" w:line="277" w:lineRule="auto"/>
        <w:tabs>
          <w:tab w:leader="none" w:pos="7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amendment to the Restated Certificate of Incorporation effected hereby has been duly adopted in accordance with the provisions of Section 242 of the General Corporation Law of the State of Delaware.</w:t>
      </w:r>
    </w:p>
    <w:p>
      <w:pPr>
        <w:spacing w:after="0" w:line="170" w:lineRule="exact"/>
        <w:rPr>
          <w:rFonts w:ascii="Arial" w:cs="Arial" w:eastAsia="Arial" w:hAnsi="Arial"/>
          <w:sz w:val="18"/>
          <w:szCs w:val="18"/>
          <w:color w:val="auto"/>
        </w:rPr>
      </w:pPr>
    </w:p>
    <w:p>
      <w:pPr>
        <w:ind w:left="760" w:hanging="316"/>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Certificate of Amendment will become effective when filed with the Secretary of State of the State of Delaware.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Corporation has caused this certificate to be signed by its duly authorized officer this 16th day of May, 2019.</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 Heiter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Matthew S. Heiter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Senior Vice President, General Counsel</w:t>
            </w:r>
          </w:p>
        </w:tc>
      </w:tr>
    </w:tbl>
    <w:p>
      <w:pPr>
        <w:sectPr>
          <w:pgSz w:w="11900" w:h="16838" w:orient="portrait"/>
          <w:cols w:equalWidth="0" w:num="1">
            <w:col w:w="11040"/>
          </w:cols>
          <w:pgMar w:left="440" w:top="121" w:right="4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11" w:lineRule="exact"/>
        <w:rPr>
          <w:sz w:val="20"/>
          <w:szCs w:val="20"/>
          <w:color w:val="auto"/>
        </w:rPr>
      </w:pPr>
    </w:p>
    <w:p>
      <w:pPr>
        <w:ind w:right="520" w:firstLine="444"/>
        <w:spacing w:after="0" w:line="277" w:lineRule="auto"/>
        <w:tabs>
          <w:tab w:leader="none" w:pos="756"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2.1 of Article II of the Amended and Restated Bylaws (the “Bylaws”) of NN, Inc., a Delaware corporation (the “Company”), is hereby amended to read, in its entirety, as follows:</w:t>
      </w:r>
    </w:p>
    <w:p>
      <w:pPr>
        <w:spacing w:after="0" w:line="62" w:lineRule="exact"/>
        <w:rPr>
          <w:sz w:val="20"/>
          <w:szCs w:val="20"/>
          <w:color w:val="auto"/>
        </w:rPr>
      </w:pPr>
    </w:p>
    <w:p>
      <w:pPr>
        <w:ind w:left="880" w:right="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Number; Qualifications</w:t>
      </w:r>
      <w:r>
        <w:rPr>
          <w:rFonts w:ascii="Arial" w:cs="Arial" w:eastAsia="Arial" w:hAnsi="Arial"/>
          <w:sz w:val="16"/>
          <w:szCs w:val="16"/>
          <w:color w:val="auto"/>
        </w:rPr>
        <w:t>. The Board of Directors shall consist of one or more members, the number of which shall be fixed from time to time by resolution of the Board of Directors. Until the election of directors at the 2021 annual meeting of stockholders of the Corporation, the directors, other than those who may be elected by the holders of any series of Preferred Stock under specified circumstances, shall be divided, with respect to the time for which they severally hold office, into three classes, as nearly equal in number as is reasonably possible. Each director elected at or prior to the 2018 annual meeting of stockholders shall be elected for a term expiring on the date of the third annual meeting of stockholders following the annual meeting of stockholders at which the director was elected. Each director elected at the 2019 annual meeting of stockholders shall be elected for a one-year term expiring at the 2020 annual meeting of stockholders. Each director elected at the 2020 annual meeting of stockholders shall be elected for a one-year term expiring at the 2021 annual meeting of stockholders. At the 2021 annual meeting of stockholders and each annual meeting of stockholders thereafter, all directors shall be elected for a one-year term expiring at the next annual meeting of stockholders. Directors elected to succeed those directors whose terms then expire shall be elected for a term of office to expire at the succeeding annual meeting of stockholders after their election, with each director to hold office until his or her successor shall have been duly elected and qualified. No decrease in the authorized number of directors constituting the Board of Directors shall shorten the term of any incumbent director.”</w:t>
      </w:r>
    </w:p>
    <w:p>
      <w:pPr>
        <w:spacing w:after="0" w:line="175"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This Amendment shall be effective as of May 16,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22" Type="http://schemas.openxmlformats.org/officeDocument/2006/relationships/hyperlink" Target="http://www.sec.gov/Archives/edgar/data/918541/000119312519100697/d716172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2019-12-28T11:53:40Z</dcterms:created>
  <dcterms:modified xsi:type="dcterms:W3CDTF">2019-12-28T11:53:40Z</dcterms:modified>
</cp:coreProperties>
</file>