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Arial" w:cs="Arial" w:eastAsia="Arial" w:hAnsi="Arial"/>
          <w:sz w:val="14"/>
          <w:szCs w:val="14"/>
          <w:b w:val="1"/>
          <w:bCs w:val="1"/>
          <w:color w:val="auto"/>
        </w:rPr>
        <w:t>(I.R.S. Employer</w:t>
      </w:r>
    </w:p>
    <w:p>
      <w:pPr>
        <w:jc w:val="center"/>
        <w:ind w:right="20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80"/>
          </w:cols>
          <w:pgMar w:left="240" w:top="230" w:right="2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36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20"/>
            <w:col w:w="6120" w:space="720"/>
            <w:col w:w="176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400"/>
            <w:col w:w="160" w:space="100"/>
            <w:col w:w="5860" w:space="720"/>
            <w:col w:w="1960" w:space="5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180" w:space="160"/>
            <w:col w:w="280" w:space="80"/>
            <w:col w:w="160" w:space="180"/>
            <w:col w:w="238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As of May 5, 2014, there were 17,749,277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Page No.</w:t>
            </w:r>
          </w:p>
        </w:tc>
      </w:tr>
      <w:tr>
        <w:trPr>
          <w:trHeight w:val="264"/>
        </w:trPr>
        <w:tc>
          <w:tcPr>
            <w:tcW w:w="226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8520" w:type="dxa"/>
            <w:vAlign w:val="bottom"/>
            <w:gridSpan w:val="14"/>
          </w:tcPr>
          <w:p>
            <w:pPr>
              <w:spacing w:after="0"/>
              <w:rPr>
                <w:sz w:val="22"/>
                <w:szCs w:val="22"/>
                <w:color w:val="auto"/>
              </w:rPr>
            </w:pPr>
          </w:p>
        </w:tc>
        <w:tc>
          <w:tcPr>
            <w:tcW w:w="540" w:type="dxa"/>
            <w:vAlign w:val="bottom"/>
          </w:tcPr>
          <w:p>
            <w:pPr>
              <w:spacing w:after="0"/>
              <w:rPr>
                <w:sz w:val="22"/>
                <w:szCs w:val="22"/>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Comprehensive Income for the three months ended March 31, 2014 and 2013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at March 31, 2014 and December 31, 2013 (unaudited)</w:t>
              </w:r>
            </w:hyperlink>
          </w:p>
        </w:tc>
        <w:tc>
          <w:tcPr>
            <w:tcW w:w="2380" w:type="dxa"/>
            <w:vAlign w:val="bottom"/>
            <w:tcBorders>
              <w:top w:val="single" w:sz="8" w:color="0000EE"/>
            </w:tcBorders>
            <w:gridSpan w:val="3"/>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 of Changes in Stockholders’ Equity for the three months ended March 31, 2014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2014 and 2013 (unaudited)</w:t>
              </w:r>
            </w:hyperlink>
          </w:p>
        </w:tc>
        <w:tc>
          <w:tcPr>
            <w:tcW w:w="740" w:type="dxa"/>
            <w:vAlign w:val="bottom"/>
            <w:tcBorders>
              <w:top w:val="single" w:sz="8" w:color="0000EE"/>
            </w:tcBorders>
          </w:tcPr>
          <w:p>
            <w:pPr>
              <w:spacing w:after="0"/>
              <w:rPr>
                <w:sz w:val="24"/>
                <w:szCs w:val="24"/>
                <w:color w:val="auto"/>
              </w:rPr>
            </w:pPr>
          </w:p>
        </w:tc>
        <w:tc>
          <w:tcPr>
            <w:tcW w:w="58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1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54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780" w:type="dxa"/>
            <w:vAlign w:val="bottom"/>
            <w:gridSpan w:val="20"/>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54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46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44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802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848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860" w:type="dxa"/>
            <w:vAlign w:val="bottom"/>
            <w:gridSpan w:val="12"/>
          </w:tcPr>
          <w:p>
            <w:pPr>
              <w:ind w:left="4660"/>
              <w:spacing w:after="0"/>
              <w:rPr>
                <w:sz w:val="20"/>
                <w:szCs w:val="20"/>
                <w:color w:val="auto"/>
              </w:rPr>
            </w:pPr>
            <w:r>
              <w:rPr>
                <w:rFonts w:ascii="Arial" w:cs="Arial" w:eastAsia="Arial" w:hAnsi="Arial"/>
                <w:sz w:val="18"/>
                <w:szCs w:val="18"/>
                <w:color w:val="auto"/>
              </w:rPr>
              <w:t>1</w:t>
            </w: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70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jc w:val="center"/>
              <w:ind w:right="107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000" w:type="dxa"/>
            <w:vAlign w:val="bottom"/>
            <w:gridSpan w:val="3"/>
          </w:tcPr>
          <w:p>
            <w:pPr>
              <w:jc w:val="center"/>
              <w:ind w:right="6870"/>
              <w:spacing w:after="0"/>
              <w:rPr>
                <w:sz w:val="20"/>
                <w:szCs w:val="20"/>
                <w:color w:val="auto"/>
              </w:rPr>
            </w:pPr>
            <w:r>
              <w:rPr>
                <w:rFonts w:ascii="Arial" w:cs="Arial" w:eastAsia="Arial" w:hAnsi="Arial"/>
                <w:sz w:val="18"/>
                <w:szCs w:val="18"/>
                <w:b w:val="1"/>
                <w:bCs w:val="1"/>
                <w:color w:val="auto"/>
                <w:w w:val="88"/>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5"/>
              </w:rPr>
              <w:t>NN,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Condensed Consolidated Statements of Comprehensive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6"/>
        </w:trPr>
        <w:tc>
          <w:tcPr>
            <w:tcW w:w="970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100" w:type="dxa"/>
            <w:vAlign w:val="bottom"/>
          </w:tcPr>
          <w:p>
            <w:pPr>
              <w:spacing w:after="0"/>
              <w:rPr>
                <w:sz w:val="15"/>
                <w:szCs w:val="15"/>
                <w:color w:val="auto"/>
              </w:rPr>
            </w:pPr>
          </w:p>
        </w:tc>
        <w:tc>
          <w:tcPr>
            <w:tcW w:w="16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97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Net sales</w:t>
            </w:r>
          </w:p>
        </w:tc>
        <w:tc>
          <w:tcPr>
            <w:tcW w:w="6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102,528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Cost of products sold (exclusive of depreciation and amortization shown separately below)</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80,283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74,517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3,877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9700" w:type="dxa"/>
            <w:vAlign w:val="bottom"/>
            <w:gridSpan w:val="5"/>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1520" w:type="dxa"/>
            <w:vAlign w:val="bottom"/>
          </w:tcPr>
          <w:p>
            <w:pPr>
              <w:spacing w:after="0"/>
              <w:rPr>
                <w:sz w:val="9"/>
                <w:szCs w:val="9"/>
                <w:color w:val="auto"/>
              </w:rPr>
            </w:pPr>
          </w:p>
        </w:tc>
        <w:tc>
          <w:tcPr>
            <w:tcW w:w="6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324"/>
        </w:trPr>
        <w:tc>
          <w:tcPr>
            <w:tcW w:w="9700" w:type="dxa"/>
            <w:vAlign w:val="bottom"/>
            <w:gridSpan w:val="5"/>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0" w:type="dxa"/>
            <w:vAlign w:val="bottom"/>
            <w:gridSpan w:val="3"/>
          </w:tcPr>
          <w:p>
            <w:pPr>
              <w:ind w:left="380"/>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gridSpan w:val="4"/>
            <w:vMerge w:val="restart"/>
          </w:tcPr>
          <w:p>
            <w:pPr>
              <w:jc w:val="center"/>
              <w:ind w:right="6230"/>
              <w:spacing w:after="0"/>
              <w:rPr>
                <w:sz w:val="20"/>
                <w:szCs w:val="20"/>
                <w:color w:val="auto"/>
              </w:rPr>
            </w:pPr>
            <w:r>
              <w:rPr>
                <w:rFonts w:ascii="Arial" w:cs="Arial" w:eastAsia="Arial" w:hAnsi="Arial"/>
                <w:sz w:val="18"/>
                <w:szCs w:val="18"/>
                <w:color w:val="auto"/>
                <w:w w:val="88"/>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4"/>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gridSpan w:val="4"/>
            <w:vMerge w:val="restart"/>
          </w:tcPr>
          <w:p>
            <w:pPr>
              <w:jc w:val="center"/>
              <w:ind w:right="6230"/>
              <w:spacing w:after="0"/>
              <w:rPr>
                <w:sz w:val="20"/>
                <w:szCs w:val="20"/>
                <w:color w:val="auto"/>
              </w:rPr>
            </w:pPr>
            <w:r>
              <w:rPr>
                <w:rFonts w:ascii="Arial" w:cs="Arial" w:eastAsia="Arial" w:hAnsi="Arial"/>
                <w:sz w:val="18"/>
                <w:szCs w:val="18"/>
                <w:color w:val="auto"/>
                <w:w w:val="88"/>
              </w:rPr>
              <w:t>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4"/>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3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3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 of allowance for doubtful accounts of $458 and $445, respectively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74,165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146,377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36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125,742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121,089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286,989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45,816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13,752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69,384</w:t>
            </w:r>
          </w:p>
        </w:tc>
        <w:tc>
          <w:tcPr>
            <w:tcW w:w="0" w:type="dxa"/>
            <w:vAlign w:val="bottom"/>
          </w:tcPr>
          <w:p>
            <w:pPr>
              <w:spacing w:after="0"/>
              <w:rPr>
                <w:sz w:val="1"/>
                <w:szCs w:val="1"/>
                <w:color w:val="auto"/>
              </w:rPr>
            </w:pPr>
          </w:p>
        </w:tc>
      </w:tr>
      <w:tr>
        <w:trPr>
          <w:trHeight w:val="324"/>
        </w:trPr>
        <w:tc>
          <w:tcPr>
            <w:tcW w:w="9360" w:type="dxa"/>
            <w:vAlign w:val="bottom"/>
            <w:gridSpan w:val="3"/>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3,936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10,299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129,967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36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157,022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152,760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286,989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3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5"/>
              </w:rPr>
              <w:t>Common Stock</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Number Of</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Value</w:t>
            </w:r>
          </w:p>
        </w:tc>
        <w:tc>
          <w:tcPr>
            <w:tcW w:w="180" w:type="dxa"/>
            <w:vAlign w:val="bottom"/>
          </w:tcPr>
          <w:p>
            <w:pPr>
              <w:spacing w:after="0"/>
              <w:rPr>
                <w:sz w:val="10"/>
                <w:szCs w:val="10"/>
                <w:color w:val="auto"/>
              </w:rPr>
            </w:pPr>
          </w:p>
        </w:tc>
        <w:tc>
          <w:tcPr>
            <w:tcW w:w="13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Additional Paid</w:t>
            </w:r>
          </w:p>
        </w:tc>
        <w:tc>
          <w:tcPr>
            <w:tcW w:w="9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3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gridSpan w:val="2"/>
            <w:vMerge w:val="continue"/>
          </w:tcPr>
          <w:p>
            <w:pPr>
              <w:spacing w:after="0"/>
              <w:rPr>
                <w:sz w:val="14"/>
                <w:szCs w:val="14"/>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Capital</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4"/>
                <w:szCs w:val="14"/>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2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176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7"/>
              </w:rPr>
              <w:t>63,126</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$65,929</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11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5,238</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Dividends declared</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Shares issued for option exercises</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358</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option expense</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377</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880" w:type="dxa"/>
            <w:vAlign w:val="bottom"/>
            <w:gridSpan w:val="2"/>
          </w:tcPr>
          <w:p>
            <w:pPr>
              <w:ind w:left="360"/>
              <w:spacing w:after="0"/>
              <w:rPr>
                <w:sz w:val="20"/>
                <w:szCs w:val="20"/>
                <w:color w:val="auto"/>
              </w:rPr>
            </w:pPr>
            <w:r>
              <w:rPr>
                <w:rFonts w:ascii="Arial" w:cs="Arial" w:eastAsia="Arial" w:hAnsi="Arial"/>
                <w:sz w:val="18"/>
                <w:szCs w:val="18"/>
                <w:color w:val="auto"/>
              </w:rPr>
              <w:t>Restricted stock 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56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loss</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Balance, March 31, 2014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17,749</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7"/>
              </w:rPr>
              <w:t>64,023</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69,932</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22,890</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157,022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77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gridSpan w:val="3"/>
            <w:vMerge w:val="continue"/>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Operating Activities:</w:t>
            </w:r>
          </w:p>
        </w:tc>
        <w:tc>
          <w:tcPr>
            <w:tcW w:w="62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used by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700"/>
              <w:spacing w:after="0"/>
              <w:rPr>
                <w:sz w:val="20"/>
                <w:szCs w:val="20"/>
                <w:color w:val="auto"/>
              </w:rPr>
            </w:pPr>
            <w:r>
              <w:rPr>
                <w:rFonts w:ascii="Arial" w:cs="Arial" w:eastAsia="Arial" w:hAnsi="Arial"/>
                <w:sz w:val="18"/>
                <w:szCs w:val="18"/>
                <w:color w:val="auto"/>
              </w:rPr>
              <w:t>Loss on disposal of assets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(15,257)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1060"/>
              <w:spacing w:after="0"/>
              <w:rPr>
                <w:sz w:val="20"/>
                <w:szCs w:val="20"/>
                <w:color w:val="auto"/>
              </w:rPr>
            </w:pPr>
            <w:r>
              <w:rPr>
                <w:rFonts w:ascii="Arial" w:cs="Arial" w:eastAsia="Arial" w:hAnsi="Arial"/>
                <w:sz w:val="18"/>
                <w:szCs w:val="18"/>
                <w:color w:val="auto"/>
              </w:rPr>
              <w:t>Inventories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5,241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tcPr>
          <w:p>
            <w:pPr>
              <w:ind w:left="1060"/>
              <w:spacing w:after="0"/>
              <w:rPr>
                <w:sz w:val="20"/>
                <w:szCs w:val="20"/>
                <w:color w:val="auto"/>
              </w:rPr>
            </w:pPr>
            <w:r>
              <w:rPr>
                <w:rFonts w:ascii="Arial" w:cs="Arial" w:eastAsia="Arial" w:hAnsi="Arial"/>
                <w:sz w:val="18"/>
                <w:szCs w:val="18"/>
                <w:color w:val="auto"/>
              </w:rPr>
              <w:t>Other assets and liabilities</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used by operating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Cash paid to acquire business, net of cash received</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(7,312)</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used by investing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(9,490)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short-term debt,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3,275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Principal payments on capital lease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10,000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 net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provided (used) by financing activities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12,363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23"/>
        </w:trPr>
        <w:tc>
          <w:tcPr>
            <w:tcW w:w="772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 flows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Cash at Beginning of Period</w:t>
            </w:r>
          </w:p>
        </w:tc>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accompanying condensed consolidated financial statements of NN, Inc. have not been audited, except that the condensed consolidated balance sheet at December 31, 2013 was derived from our audited consolidated financial statements. In our opinion, these financial statements reflect all adjustments necessary to fairly state the results of operations for the three month periods ended March 31, 2014 and 2013, our financial position at March 31, 2014 and December 31, 2013, and the cash flows for the three month periods ended March 31, 2014 and 2013 on a basis consistent with our audited financial statements.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8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2013 which we filed with the Securities and Exchange Commission on March 14, 2014. The results for the three month period ended March 31, 2014 are not necessarily indicative of results for the year ending December 31, 2014 or any other future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January 30, 2014, we purchased the majority of the operating assets of VS Industries, VS Precision, LLC and VS Precision SA de DV (collectively referred to as “VS Industries”) from the secured creditors of VS Industries for $5,580 in cash. In addition, we incurred fees from third parties as part of the purchase of $500, which were expensed as incurred in Selling, general and administrative within the Condensed Consolidated Statements of Comprehensive Income. The results of the operations of VS Industries have been consolidated with NN, Inc. since the date of acquisition and VS has contributed revenues and net loss of approximately $1,800 and $(450), respectively, from the date of acquisition to March 31, 2014. The pro forma impact of the VS Industries acquisition is not presented, as it is not considered material to our consolidated financial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VS Industries is a precision metal components manufacturer that supplies customers in a variety of industries including electric motors, HVAC, power tools, automotive and medical. The acquisition of VS Industries will provide us with a complementary, but broader product offering and will allow penetration into adjacent markets. VS Industries has two locations in Wheeling, Illinois and Juarez, Mexico.</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summarized the estimated fair values of assets acquired and liabilities assumed at the date of acquisition. We are in the process of finalizing fair market valuations of certain tangible and intangible assets in addition to finalizing the valuation of certain assumed liabilities. We expect this process to be complete during the second quarter of 2014 and plan to disclose the final allocation within our quarterly report on Form 10-Q for the second quarter of 2014.</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3360" w:type="dxa"/>
            <w:vAlign w:val="bottom"/>
            <w:gridSpan w:val="2"/>
          </w:tcPr>
          <w:p>
            <w:pPr>
              <w:spacing w:after="0"/>
              <w:rPr>
                <w:sz w:val="20"/>
                <w:szCs w:val="20"/>
                <w:color w:val="auto"/>
              </w:rPr>
            </w:pPr>
            <w:r>
              <w:rPr>
                <w:rFonts w:ascii="Arial" w:cs="Arial" w:eastAsia="Arial" w:hAnsi="Arial"/>
                <w:sz w:val="14"/>
                <w:szCs w:val="14"/>
                <w:color w:val="auto"/>
              </w:rPr>
              <w:t>As of January 30, 2014</w:t>
            </w:r>
          </w:p>
        </w:tc>
        <w:tc>
          <w:tcPr>
            <w:tcW w:w="3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202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6,902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4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60" w:type="dxa"/>
            <w:vAlign w:val="bottom"/>
            <w:gridSpan w:val="2"/>
          </w:tcPr>
          <w:p>
            <w:pPr>
              <w:ind w:left="720"/>
              <w:spacing w:after="0"/>
              <w:rPr>
                <w:sz w:val="20"/>
                <w:szCs w:val="20"/>
                <w:color w:val="auto"/>
              </w:rPr>
            </w:pPr>
            <w:r>
              <w:rPr>
                <w:rFonts w:ascii="Arial" w:cs="Arial" w:eastAsia="Arial" w:hAnsi="Arial"/>
                <w:sz w:val="18"/>
                <w:szCs w:val="18"/>
                <w:color w:val="auto"/>
              </w:rPr>
              <w:t>Net asset acquired</w:t>
            </w:r>
          </w:p>
        </w:tc>
        <w:tc>
          <w:tcPr>
            <w:tcW w:w="38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800" w:type="dxa"/>
            <w:vAlign w:val="bottom"/>
            <w:vMerge w:val="restart"/>
          </w:tcPr>
          <w:p>
            <w:pPr>
              <w:jc w:val="right"/>
              <w:ind w:right="3150"/>
              <w:spacing w:after="0"/>
              <w:rPr>
                <w:sz w:val="20"/>
                <w:szCs w:val="20"/>
                <w:color w:val="auto"/>
              </w:rPr>
            </w:pPr>
            <w:r>
              <w:rPr>
                <w:rFonts w:ascii="Arial" w:cs="Arial" w:eastAsia="Arial" w:hAnsi="Arial"/>
                <w:sz w:val="18"/>
                <w:szCs w:val="18"/>
                <w:color w:val="auto"/>
              </w:rPr>
              <w:t>6</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intangible assets subject to amortization are for customer contracts and proprietary software totaling $75. The intangible assets subject to amortization have a weighted average life of approximately 10 years. Based on the Company’s analysis, all of the goodwill and intangible assets will be deductible and amortized over 15 years for federal tax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2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$ 16,195</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Work in process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10,744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30,510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$ 57,449</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54,530</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March 31, 2014 and December 31, 2013 totaled $5,785 and $4,735, respectively.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121" w:lineRule="exact"/>
        <w:rPr>
          <w:sz w:val="20"/>
          <w:szCs w:val="20"/>
          <w:color w:val="auto"/>
        </w:rPr>
      </w:pPr>
    </w:p>
    <w:p>
      <w:pPr>
        <w:jc w:val="both"/>
        <w:ind w:right="200"/>
        <w:spacing w:after="0" w:line="276" w:lineRule="auto"/>
        <w:rPr>
          <w:sz w:val="20"/>
          <w:szCs w:val="20"/>
          <w:color w:val="auto"/>
        </w:rPr>
      </w:pPr>
      <w:r>
        <w:rPr>
          <w:rFonts w:ascii="Arial" w:cs="Arial" w:eastAsia="Arial" w:hAnsi="Arial"/>
          <w:sz w:val="17"/>
          <w:szCs w:val="17"/>
          <w:color w:val="auto"/>
        </w:rPr>
        <w:t>The difference between the basic weighted average shares outstanding and the diluted weighted average shares outstanding for all periods reported are the effect of dilutive stock options calculated using the treasury stock method. The dilutive shares for the three month periods ended March 31, 2014 and 2013 were 306 and 107, respectively. Excluded from the dilutive shares outstanding for the three month period ended March 31, 2014 were 986 of anti-dilutive options which had exercise prices ranging from $8.54 to $19.63. There were 1,425 anti-dilutive options with exercise prices ranging from $8.54 to $14.13 excluded from the dilutive shares outstanding for the three month period ended March 31, 2013.</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2013. We evaluate segment performance based on segment net income (loss). The 2013 segment net income (loss) amounts were amended to remove interest costs, net of taxes formerly allocated to the segments prior to the third quarter of 2013. We account for inter-segment sales and transfers at current market prices. We did not have any significant inter-segment transactions during the three month periods ended March 31, 2014 and 2013.</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Metal Bearing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Precision</w:t>
            </w: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Plastic and</w:t>
            </w:r>
          </w:p>
        </w:tc>
        <w:tc>
          <w:tcPr>
            <w:tcW w:w="120" w:type="dxa"/>
            <w:vAlign w:val="bottom"/>
          </w:tcPr>
          <w:p>
            <w:pPr>
              <w:spacing w:after="0"/>
              <w:rPr>
                <w:sz w:val="14"/>
                <w:szCs w:val="14"/>
                <w:color w:val="auto"/>
              </w:rPr>
            </w:pPr>
          </w:p>
        </w:tc>
        <w:tc>
          <w:tcPr>
            <w:tcW w:w="12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Rubber</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4"/>
            <w:vMerge w:val="restart"/>
          </w:tcPr>
          <w:p>
            <w:pPr>
              <w:spacing w:after="0"/>
              <w:rPr>
                <w:sz w:val="20"/>
                <w:szCs w:val="20"/>
                <w:color w:val="auto"/>
              </w:rPr>
            </w:pPr>
            <w:r>
              <w:rPr>
                <w:rFonts w:ascii="Arial" w:cs="Arial" w:eastAsia="Arial" w:hAnsi="Arial"/>
                <w:sz w:val="14"/>
                <w:szCs w:val="14"/>
                <w:color w:val="auto"/>
              </w:rPr>
              <w:t>(In Thousands of Dollars)</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Segment</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3820" w:type="dxa"/>
            <w:vAlign w:val="bottom"/>
            <w:tcBorders>
              <w:top w:val="single" w:sz="8" w:color="CCEEFF"/>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March 31, 2014</w:t>
            </w: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24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70,900</w:t>
            </w:r>
          </w:p>
        </w:tc>
        <w:tc>
          <w:tcPr>
            <w:tcW w:w="32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23,738</w:t>
            </w: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7,890</w:t>
            </w:r>
          </w:p>
        </w:tc>
        <w:tc>
          <w:tcPr>
            <w:tcW w:w="4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89"/>
              </w:rPr>
              <w:t>102,528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5,956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5,238</w:t>
            </w:r>
          </w:p>
        </w:tc>
        <w:tc>
          <w:tcPr>
            <w:tcW w:w="0" w:type="dxa"/>
            <w:vAlign w:val="bottom"/>
          </w:tcPr>
          <w:p>
            <w:pPr>
              <w:spacing w:after="0"/>
              <w:rPr>
                <w:sz w:val="1"/>
                <w:szCs w:val="1"/>
                <w:color w:val="auto"/>
              </w:rPr>
            </w:pPr>
          </w:p>
        </w:tc>
      </w:tr>
      <w:tr>
        <w:trPr>
          <w:trHeight w:val="324"/>
        </w:trPr>
        <w:tc>
          <w:tcPr>
            <w:tcW w:w="532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206,825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54,812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16,939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8,413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286,989</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Metal Bearing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Precision</w:t>
            </w:r>
          </w:p>
        </w:tc>
        <w:tc>
          <w:tcPr>
            <w:tcW w:w="12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Plastic and</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Rubber</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gridSpan w:val="4"/>
            <w:vMerge w:val="restart"/>
          </w:tcPr>
          <w:p>
            <w:pPr>
              <w:spacing w:after="0"/>
              <w:rPr>
                <w:sz w:val="20"/>
                <w:szCs w:val="20"/>
                <w:color w:val="auto"/>
              </w:rPr>
            </w:pPr>
            <w:r>
              <w:rPr>
                <w:rFonts w:ascii="Arial" w:cs="Arial" w:eastAsia="Arial" w:hAnsi="Arial"/>
                <w:sz w:val="14"/>
                <w:szCs w:val="14"/>
                <w:color w:val="auto"/>
              </w:rPr>
              <w:t>(In Thousands of Dollars)</w:t>
            </w: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Components</w:t>
            </w:r>
          </w:p>
        </w:tc>
        <w:tc>
          <w:tcPr>
            <w:tcW w:w="2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2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and</w:t>
            </w: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4"/>
                <w:szCs w:val="14"/>
                <w:color w:val="auto"/>
              </w:rPr>
            </w:pPr>
          </w:p>
        </w:tc>
        <w:tc>
          <w:tcPr>
            <w:tcW w:w="1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Segment</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3820" w:type="dxa"/>
            <w:vAlign w:val="bottom"/>
            <w:tcBorders>
              <w:top w:val="single" w:sz="8" w:color="CCEEFF"/>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rPr>
              <w:t>March 31, 2013</w:t>
            </w: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24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63,688</w:t>
            </w:r>
          </w:p>
        </w:tc>
        <w:tc>
          <w:tcPr>
            <w:tcW w:w="320" w:type="dxa"/>
            <w:vAlign w:val="bottom"/>
            <w:tcBorders>
              <w:top w:val="single" w:sz="8" w:color="CCEEFF"/>
            </w:tcBorders>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2"/>
          </w:tcPr>
          <w:p>
            <w:pPr>
              <w:jc w:val="right"/>
              <w:ind w:right="460"/>
              <w:spacing w:after="0"/>
              <w:rPr>
                <w:sz w:val="20"/>
                <w:szCs w:val="20"/>
                <w:color w:val="auto"/>
              </w:rPr>
            </w:pPr>
            <w:r>
              <w:rPr>
                <w:rFonts w:ascii="Arial" w:cs="Arial" w:eastAsia="Arial" w:hAnsi="Arial"/>
                <w:sz w:val="18"/>
                <w:szCs w:val="18"/>
                <w:color w:val="auto"/>
              </w:rPr>
              <w:t>20,743</w:t>
            </w: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9,366</w:t>
            </w:r>
          </w:p>
        </w:tc>
        <w:tc>
          <w:tcPr>
            <w:tcW w:w="4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93,797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324"/>
        </w:trPr>
        <w:tc>
          <w:tcPr>
            <w:tcW w:w="532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192,768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43,774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19,945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8,160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264,647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Post-Employment Benefit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post-employment benefits to employees at our Pinerolo and Veenendaal Plants that are either required by law or are local labor practice.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described below.</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certain plans that cover our Veenendaal Plant employees that provide awards for employees who achieve 25 or 40 years of service and awards for employees upon retirement. The plans are unfunded and the benefits are based on years of service and rate of compensation at the time the award is paid.</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amounts shown in the table below represent the combined actual liabilities at March 31, 2014 and December 31, 2013, reported as a component of Other non-current liabilities in the Condensed Consolidated Balance Sheets.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Amounts accrued</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w w:val="95"/>
              </w:rPr>
              <w:t>Payments to employees/government managed plan</w:t>
            </w:r>
          </w:p>
        </w:tc>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20" w:type="dxa"/>
            <w:vAlign w:val="bottom"/>
            <w:vMerge w:val="restart"/>
          </w:tcPr>
          <w:p>
            <w:pPr>
              <w:jc w:val="right"/>
              <w:ind w:right="1936"/>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and Short-Term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and short-term debt at March 31, 2014 and December 31, 2013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Borrowings under our $100,000 revolving credit facility bearing interest at a</w:t>
            </w: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floating rate equal to LIBOR (0.1875% at March 31, 2014) plus an applicable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margin of 1.25% at March 31, 2014, expiring October 26, 2017.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$ 24,038</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520" w:type="dxa"/>
            <w:vAlign w:val="bottom"/>
            <w:gridSpan w:val="2"/>
          </w:tcPr>
          <w:p>
            <w:pPr>
              <w:spacing w:after="0"/>
              <w:rPr>
                <w:sz w:val="20"/>
                <w:szCs w:val="20"/>
                <w:color w:val="auto"/>
              </w:rPr>
            </w:pPr>
            <w:r>
              <w:rPr>
                <w:rFonts w:ascii="Arial" w:cs="Arial" w:eastAsia="Arial" w:hAnsi="Arial"/>
                <w:sz w:val="18"/>
                <w:szCs w:val="18"/>
                <w:color w:val="auto"/>
              </w:rPr>
              <w:t>Borrowings under our $40,000 aggregate principal amount of fixed rate notes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bearing interest at a fixed rate of 4.89% maturing on April 26, 2014. Annual</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principal payments of $5,714 began on April 26, 2008 and extend through the</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date of maturity.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5,714</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our $20,000 aggregate principal amount of fixed rate notes</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bearing interest at a fixed rate of 4.64% maturing on December 20, 2018. Annual</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of $4,000 will begin on December 22, 2014 and extend</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through the date of maturity.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49,752</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 of long-term debt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Long-term debt, excluding current maturities of long-term debt</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$ 36,000</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$100,000 revolving credit facility may be expanded upon our request with approval of the lenders by up to $35,000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give the lenders the right to accelerate the maturity of the debt. The facility has a $10,000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March 31, 2014 and December 31, 2013, $1,510 and $1,617, respectively of net capitalized loan origination costs related to the revolving credit facility were recorded on the condensed consolidated balance sheet within other non-current assets.</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$40,000 and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We incurred costs as a result of issuing these notes which have been recorded on the condensed consolidated balance sheet within other non-current assets and are being amortized over the term of the notes. The unamortized balance at March 31, 2014 and December 31, 2013 was $32 and $34, respectively.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three month period ended March 31, 2014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Metal Bearing</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Precision</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Metal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2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2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Components</w:t>
            </w:r>
          </w:p>
        </w:tc>
        <w:tc>
          <w:tcPr>
            <w:tcW w:w="64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Components</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0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Segment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Segment</w:t>
            </w: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Balance as of January</w:t>
            </w:r>
          </w:p>
        </w:tc>
        <w:tc>
          <w:tcPr>
            <w:tcW w:w="4520" w:type="dxa"/>
            <w:vAlign w:val="bottom"/>
            <w:tcBorders>
              <w:top w:val="single" w:sz="8" w:color="CCEEFF"/>
            </w:tcBorders>
            <w:shd w:val="clear" w:color="auto" w:fill="CCEEFF"/>
          </w:tcPr>
          <w:p>
            <w:pPr>
              <w:jc w:val="right"/>
              <w:ind w:right="3770"/>
              <w:spacing w:after="0"/>
              <w:rPr>
                <w:sz w:val="20"/>
                <w:szCs w:val="20"/>
                <w:color w:val="auto"/>
              </w:rPr>
            </w:pPr>
            <w:r>
              <w:rPr>
                <w:rFonts w:ascii="Arial" w:cs="Arial" w:eastAsia="Arial" w:hAnsi="Arial"/>
                <w:sz w:val="18"/>
                <w:szCs w:val="18"/>
                <w:color w:val="auto"/>
              </w:rPr>
              <w:t>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Currency translation impacts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 acquired in acquisition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Balance as of March 31, 2014</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245</w:t>
            </w:r>
          </w:p>
        </w:tc>
        <w:tc>
          <w:tcPr>
            <w:tcW w:w="6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As of March 31, 2014, there are no indications of impairment at the remaining reporting unit with a goodwill balance.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goodwill in the Precision Metal Components Segment was acquired during the three months ended March 31, 2014 with the acquisition of VS Industries (see Note 2 of the Notes to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Precision Metal Components Segment has an indefinite lived intangible asset not subject to amortization of $900 related to the value of the trade names of Whirlaway. The intangible asset balance is tested for impairment on an annual basis during the fourth quarter and between annual tests if a triggering event occurs. There are no indicators of impairment for the intangible asset as of March 31, 2014.</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the Precision Metal Components Segment acquired a customer contract intangible asset and proprietary software intangible assets related to the acquisition of VS Industries during the three months ended of March 31, 2014 of $75. These intangible assets have a weighted average useful life of 10 years and are subject to amortization of approximately $8 a year (see Note 2 of the Notes to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Shared-Based Compensation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three month periods ended March 31, 2014 and 2013, approximately $539 and $430, respectively, of compensation expense was recognized in selling, general and administrative expense for all share-based awards. During the three month period ended March 31, 2014, there were 93 share awards and 96 options awards to non-executive directors, officers and certain other key employees.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restricted shares granted during the three month periods ended March 31, 2014 and 2013, vest pro-rata over three years. During the three month periods ended March 31, 2014 and 2013, we incurred $162 and $163, respectively, in expense related to restricted stock. The fair value of the shares issued was determined by using the grant date closing price of our common stock.</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incurred $377 and $267 of stock option expense in the three month periods ended March 31, 2014 and 2013, respectively. The fair value of our options cannot be determined by market value, as our options are not traded in an open market. Accordingly, the Black Scholes financial pricing model is utilized to estimate the fair value.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three month period ended March 31,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8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Shares (000)</w:t>
            </w:r>
          </w:p>
        </w:tc>
        <w:tc>
          <w:tcPr>
            <w:tcW w:w="30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140" w:type="dxa"/>
            <w:vAlign w:val="bottom"/>
            <w:gridSpan w:val="3"/>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6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19.63</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12.62</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12.62</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March 31, 2014</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Exercisable at March 31,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6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7,474</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March 31,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the three month periods ended March 31, 2014 and 2013, our effective tax rates were 32% and 33%, respectively, which were consistent with the U.S. federal statutory tax rate of 34%. The difference between the U.S. federal statutory tax rate of 34% and our effective tax rates for the three months ended March 31, 2014 and 2013 was primarily due to the effective tax rate being impacted by non-U.S. based earnings being taxed at lower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we do not foresee any significant changes to our unrecognized tax benefits within the next twelve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$200 and $200 at March 31, 2014 and December 31, 2013, respectively, which we believe are adequate to cover all probable liabilities to be incurred by all of the cases in the aggregate.</w:t>
      </w:r>
    </w:p>
    <w:p>
      <w:pPr>
        <w:spacing w:after="0" w:line="17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As discussed more fully in our Annual Report on Form 10-K filed March 14, 2014, the ultimate impact on NN of our wholly owned German subsidiary Kugelfertigung Eltmann GbmH (“Eltmann” or “Eltmann Plant”) filing for bankruptcy will depend on the findings of the bankruptcy court. We do not expect any further significant impacts on our condensed consolidated financial statements as a result of the liquidation of this subsidiary.</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values of our fixed rate long-term borrowings are calculated by using a discounted cash flow analysis factoring in current market borrowing rates for similar types of borrowing arrangements considering our credit profile. The carrying value of our variable rate long-term borrowings is a reasonable approximation of fair value due to the variable interest rates. The fair value of our fixed rate and variable rate borrowings is determined using Level 2 inputs under the U.S. GAAP fair value hierarchy. The carrying amounts and fair values of our long-term debt are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960" w:type="dxa"/>
            <w:vAlign w:val="bottom"/>
            <w:gridSpan w:val="5"/>
          </w:tcPr>
          <w:p>
            <w:pPr>
              <w:ind w:left="300"/>
              <w:spacing w:after="0"/>
              <w:rPr>
                <w:sz w:val="20"/>
                <w:szCs w:val="20"/>
                <w:color w:val="auto"/>
              </w:rPr>
            </w:pPr>
            <w:r>
              <w:rPr>
                <w:rFonts w:ascii="Arial" w:cs="Arial" w:eastAsia="Arial" w:hAnsi="Arial"/>
                <w:sz w:val="14"/>
                <w:szCs w:val="14"/>
                <w:b w:val="1"/>
                <w:bCs w:val="1"/>
                <w:color w:val="auto"/>
              </w:rPr>
              <w:t>March 31, 2014</w:t>
            </w:r>
          </w:p>
        </w:tc>
        <w:tc>
          <w:tcPr>
            <w:tcW w:w="1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Arial" w:cs="Arial" w:eastAsia="Arial" w:hAnsi="Arial"/>
                <w:sz w:val="14"/>
                <w:szCs w:val="14"/>
                <w:color w:val="auto"/>
                <w:w w:val="94"/>
              </w:rPr>
              <w:t>(In Thousands of Dollars)</w:t>
            </w:r>
          </w:p>
        </w:tc>
        <w:tc>
          <w:tcPr>
            <w:tcW w:w="210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vMerge w:val="continue"/>
          </w:tcPr>
          <w:p>
            <w:pPr>
              <w:spacing w:after="0"/>
              <w:rPr>
                <w:sz w:val="14"/>
                <w:szCs w:val="14"/>
                <w:color w:val="auto"/>
              </w:rPr>
            </w:pPr>
          </w:p>
        </w:tc>
        <w:tc>
          <w:tcPr>
            <w:tcW w:w="2100" w:type="dxa"/>
            <w:vAlign w:val="bottom"/>
            <w:tcBorders>
              <w:bottom w:val="single" w:sz="8" w:color="CCEEFF"/>
            </w:tcBorders>
            <w:vMerge w:val="continue"/>
          </w:tcPr>
          <w:p>
            <w:pPr>
              <w:spacing w:after="0"/>
              <w:rPr>
                <w:sz w:val="14"/>
                <w:szCs w:val="14"/>
                <w:color w:val="auto"/>
              </w:rPr>
            </w:pPr>
          </w:p>
        </w:tc>
        <w:tc>
          <w:tcPr>
            <w:tcW w:w="3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long-term debt</w:t>
            </w:r>
          </w:p>
        </w:tc>
        <w:tc>
          <w:tcPr>
            <w:tcW w:w="3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$24,038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$24,038</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$10,763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4040" w:type="dxa"/>
            <w:vAlign w:val="bottom"/>
            <w:gridSpan w:val="3"/>
          </w:tcPr>
          <w:p>
            <w:pPr>
              <w:ind w:left="3260"/>
              <w:spacing w:after="0"/>
              <w:rPr>
                <w:sz w:val="20"/>
                <w:szCs w:val="20"/>
                <w:color w:val="auto"/>
              </w:rPr>
            </w:pPr>
            <w:r>
              <w:rPr>
                <w:rFonts w:ascii="Arial" w:cs="Arial" w:eastAsia="Arial" w:hAnsi="Arial"/>
                <w:sz w:val="18"/>
                <w:szCs w:val="18"/>
                <w:color w:val="auto"/>
              </w:rPr>
              <w:t>$25,714</w:t>
            </w: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$26,001</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$25,714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$26,507</w:t>
            </w:r>
          </w:p>
        </w:tc>
        <w:tc>
          <w:tcPr>
            <w:tcW w:w="0" w:type="dxa"/>
            <w:vAlign w:val="bottom"/>
          </w:tcPr>
          <w:p>
            <w:pPr>
              <w:spacing w:after="0"/>
              <w:rPr>
                <w:sz w:val="1"/>
                <w:szCs w:val="1"/>
                <w:color w:val="auto"/>
              </w:rPr>
            </w:pPr>
          </w:p>
        </w:tc>
      </w:tr>
      <w:tr>
        <w:trPr>
          <w:trHeight w:val="350"/>
        </w:trPr>
        <w:tc>
          <w:tcPr>
            <w:tcW w:w="1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60" w:type="dxa"/>
            <w:vAlign w:val="bottom"/>
          </w:tcPr>
          <w:p>
            <w:pPr>
              <w:jc w:val="right"/>
              <w:ind w:right="143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6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93" w:lineRule="auto"/>
        <w:rPr>
          <w:sz w:val="20"/>
          <w:szCs w:val="20"/>
          <w:color w:val="auto"/>
        </w:rPr>
      </w:pPr>
      <w:r>
        <w:rPr>
          <w:rFonts w:ascii="Arial" w:cs="Arial" w:eastAsia="Arial" w:hAnsi="Arial"/>
          <w:sz w:val="16"/>
          <w:szCs w:val="16"/>
          <w:color w:val="auto"/>
        </w:rPr>
        <w:t>We wish to caution readers that this report contains, and our future filings, press releases and oral statements made by our authorized representatives may contain, forward-looking statements that involve certain risks and uncertainties. Readers can identify these forward-looking statements by the use of such verbs as “expects”, “anticipates”, “believes” or similar verbs or conjugations of such verbs. Our actual results could differ materially from those expressed in such forward-looking statements due to important factors bearing on our business, many of which already have been discussed in this filing and in our prior filings. The differences could be caused by a number of factors or combination of factors including the risk factors discussed in “Item 1A Risk Factors” of our Annual Report on Form 10-K for the year ended December 31, 2013 which we filed with the Securities and Exchange Commission on March 14,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to the Three Months Ended March 31,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00" w:type="dxa"/>
            <w:vAlign w:val="bottom"/>
            <w:gridSpan w:val="7"/>
          </w:tcPr>
          <w:p>
            <w:pPr>
              <w:ind w:left="360"/>
              <w:spacing w:after="0"/>
              <w:rPr>
                <w:sz w:val="20"/>
                <w:szCs w:val="20"/>
                <w:color w:val="auto"/>
              </w:rPr>
            </w:pPr>
            <w:r>
              <w:rPr>
                <w:rFonts w:ascii="Arial" w:cs="Arial" w:eastAsia="Arial" w:hAnsi="Arial"/>
                <w:sz w:val="14"/>
                <w:szCs w:val="14"/>
                <w:b w:val="1"/>
                <w:bCs w:val="1"/>
                <w:color w:val="auto"/>
              </w:rPr>
              <w:t>Consolidated NN, Inc.</w:t>
            </w: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102,528</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93,797</w:t>
            </w:r>
          </w:p>
        </w:tc>
        <w:tc>
          <w:tcPr>
            <w:tcW w:w="4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87"/>
              </w:rPr>
              <w:t>$8,731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Price/ material inflation pass-through/mix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(2,707)</w:t>
            </w:r>
          </w:p>
        </w:tc>
        <w:tc>
          <w:tcPr>
            <w:tcW w:w="0" w:type="dxa"/>
            <w:vAlign w:val="bottom"/>
          </w:tcPr>
          <w:p>
            <w:pPr>
              <w:spacing w:after="0"/>
              <w:rPr>
                <w:sz w:val="1"/>
                <w:szCs w:val="1"/>
                <w:color w:val="auto"/>
              </w:rPr>
            </w:pPr>
          </w:p>
        </w:tc>
      </w:tr>
      <w:tr>
        <w:trPr>
          <w:trHeight w:val="324"/>
        </w:trPr>
        <w:tc>
          <w:tcPr>
            <w:tcW w:w="6900" w:type="dxa"/>
            <w:vAlign w:val="bottom"/>
            <w:gridSpan w:val="2"/>
          </w:tcPr>
          <w:p>
            <w:pPr>
              <w:spacing w:after="0"/>
              <w:rPr>
                <w:sz w:val="20"/>
                <w:szCs w:val="20"/>
                <w:color w:val="auto"/>
              </w:rPr>
            </w:pPr>
            <w:r>
              <w:rPr>
                <w:rFonts w:ascii="Arial" w:cs="Arial" w:eastAsia="Arial" w:hAnsi="Arial"/>
                <w:sz w:val="18"/>
                <w:szCs w:val="18"/>
                <w:color w:val="auto"/>
                <w:w w:val="95"/>
              </w:rPr>
              <w:t>Cost of products sold (exclusive of depreciation and amortization shown separately below)</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80,283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3"/>
              </w:rPr>
              <w:t>74,517</w:t>
            </w:r>
          </w:p>
        </w:tc>
        <w:tc>
          <w:tcPr>
            <w:tcW w:w="144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5,766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340"/>
              <w:spacing w:after="0"/>
              <w:rPr>
                <w:sz w:val="20"/>
                <w:szCs w:val="20"/>
                <w:color w:val="auto"/>
              </w:rPr>
            </w:pPr>
            <w:r>
              <w:rPr>
                <w:rFonts w:ascii="Arial" w:cs="Arial" w:eastAsia="Arial" w:hAnsi="Arial"/>
                <w:sz w:val="18"/>
                <w:szCs w:val="18"/>
                <w:i w:val="1"/>
                <w:iCs w:val="1"/>
                <w:color w:val="auto"/>
              </w:rPr>
              <w:t>Inflation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(780)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9,106</w:t>
            </w: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3,877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4,531</w:t>
            </w:r>
          </w:p>
        </w:tc>
        <w:tc>
          <w:tcPr>
            <w:tcW w:w="14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785</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w:t>
            </w:r>
          </w:p>
        </w:tc>
        <w:tc>
          <w:tcPr>
            <w:tcW w:w="14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579</w:t>
            </w: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7,691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4,275</w:t>
            </w:r>
          </w:p>
        </w:tc>
        <w:tc>
          <w:tcPr>
            <w:tcW w:w="4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3,416</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1,404</w:t>
            </w: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5,238</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2,871</w:t>
            </w:r>
          </w:p>
        </w:tc>
        <w:tc>
          <w:tcPr>
            <w:tcW w:w="4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2,367</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during the first quarter of 2014 from the first quarter of 2013 principally due to increased volumes resulting from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demand for our products in the European, North American and Asian automotive markets and from higher demand in the European heavy truck market. The growth with our customers in the above automotive markets, over the prior year quarter, was generally consistent with the overall growth in automotive production in those geographic regions. However, we have continued to benefit from improved market share with certain customers and adjacent market expansion. Additionally, our sales increased with the additional sales added by the acquisition of the majority of the assets of VS Industries during the first quarter of 2014.</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reduction in price and raw material pass-through (when compared with the prior year quarter of 2013) was driven mainly by lower levels of material inflation in our businesses which led to lower pass-through to our customers and due to contractual price decreases for certain long-term sales programs. The unfavorable sales impact related to mix was due to certain automotive and heavy truck products sold during the first quarter of 2014 being lower priced than our average product assortment sold during the first quarter of 2013.</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shown separately below). </w:t>
      </w:r>
      <w:r>
        <w:rPr>
          <w:rFonts w:ascii="Arial" w:cs="Arial" w:eastAsia="Arial" w:hAnsi="Arial"/>
          <w:sz w:val="17"/>
          <w:szCs w:val="17"/>
          <w:color w:val="auto"/>
        </w:rPr>
        <w:t>Cost of products sold was primarily impacted by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costs at those units that experienced higher sales volumes, as discussed above. Additionally, cost of products sold increased related to the additional sales added with the acquisition of the majority of the assets of VS Industries. Partially offsetting the increase in cost of products sold were benefits from specific continuous improvement projects undertaken subsequent to the first quarter of 2013.</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The majority of the increase was due to $0.5 million in professional fees incurred related to the acquisition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the assets of VS Industries. In addition, VS Industries added $0.2 million in costs to selling, general and administrative.</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Included in other expense, net, during the first quarter of 2013, was $0.7 million related to foreign exchange losses on inter-company</w:t>
      </w:r>
      <w:r>
        <w:rPr>
          <w:rFonts w:ascii="Arial" w:cs="Arial" w:eastAsia="Arial" w:hAnsi="Arial"/>
          <w:sz w:val="18"/>
          <w:szCs w:val="18"/>
          <w:i w:val="1"/>
          <w:iCs w:val="1"/>
          <w:color w:val="auto"/>
        </w:rPr>
        <w:t xml:space="preserve"> </w:t>
      </w:r>
      <w:r>
        <w:rPr>
          <w:rFonts w:ascii="Arial" w:cs="Arial" w:eastAsia="Arial" w:hAnsi="Arial"/>
          <w:sz w:val="18"/>
          <w:szCs w:val="18"/>
          <w:color w:val="auto"/>
        </w:rPr>
        <w:t>loans. During the first quarter of 2014, inter-company loans generated foreign exchange losses of less than $0.1 million. The gains or losses are a function of the appreciation or depreciation of the Euro versus the U.S. Dollar.</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difference between the effective tax rate of 32% for the first quarter of 2014 versus the effective rate of 33%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2013 was primarily due to generating a larger portion of our pre-tax profits overseas where our effective taxes are lower.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14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bottom w:val="single" w:sz="8" w:color="CCEEFF"/>
            </w:tcBorders>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70,900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63,688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39"/>
              <w:spacing w:after="0"/>
              <w:rPr>
                <w:sz w:val="20"/>
                <w:szCs w:val="20"/>
                <w:color w:val="auto"/>
              </w:rPr>
            </w:pPr>
            <w:r>
              <w:rPr>
                <w:rFonts w:ascii="Arial" w:cs="Arial" w:eastAsia="Arial" w:hAnsi="Arial"/>
                <w:sz w:val="18"/>
                <w:szCs w:val="18"/>
                <w:b w:val="1"/>
                <w:bCs w:val="1"/>
                <w:color w:val="auto"/>
                <w:w w:val="87"/>
              </w:rPr>
              <w:t>$7,212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(2,913)</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4,024</w:t>
            </w:r>
          </w:p>
        </w:tc>
        <w:tc>
          <w:tcPr>
            <w:tcW w:w="1620" w:type="dxa"/>
            <w:vAlign w:val="bottom"/>
            <w:gridSpan w:val="2"/>
            <w:shd w:val="clear" w:color="auto" w:fill="CCEEFF"/>
          </w:tcPr>
          <w:p>
            <w:pPr>
              <w:jc w:val="right"/>
              <w:ind w:right="839"/>
              <w:spacing w:after="0"/>
              <w:rPr>
                <w:sz w:val="20"/>
                <w:szCs w:val="20"/>
                <w:color w:val="auto"/>
              </w:rPr>
            </w:pPr>
            <w:r>
              <w:rPr>
                <w:rFonts w:ascii="Arial" w:cs="Arial" w:eastAsia="Arial" w:hAnsi="Arial"/>
                <w:sz w:val="18"/>
                <w:szCs w:val="18"/>
                <w:b w:val="1"/>
                <w:bCs w:val="1"/>
                <w:color w:val="auto"/>
              </w:rPr>
              <w:t>$1,932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Net sales increased during the first quarter of 2014 from the first quarter of 2013 principally due to increased sales volumes resulting from greater demand for our products in the European, North American and Asian automotive markets, better overall market penetration with our customers and from higher demand in the European heavy truck market. The reduction in price and raw material pass-through was driven mainly by lower levels of material inflation in our businesses which led to lower pass-through to our customers. The unfavorable sales impact related to mix was due to certain automotive and heavy truck products sold during the first quarter of 2014 being lower priced than our average product assortment sold during the first quarter of 2013.</w:t>
      </w:r>
    </w:p>
    <w:p>
      <w:pPr>
        <w:spacing w:after="0" w:line="158"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The main driver of the increased segment net income was the $1.7 million incremental net income from the increased sales volumes. Additionally, the segment benefited from $0.8 million in additional net income from continuous improvement projects. These benefits were partially offset by price/mix negatively impacting net income by $0.7 million.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7"/>
          </w:tcPr>
          <w:p>
            <w:pPr>
              <w:jc w:val="right"/>
              <w:ind w:right="114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71"/>
        </w:trPr>
        <w:tc>
          <w:tcPr>
            <w:tcW w:w="4400" w:type="dxa"/>
            <w:vAlign w:val="bottom"/>
            <w:gridSpan w:val="3"/>
            <w:vMerge w:val="continue"/>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Borders>
              <w:top w:val="single" w:sz="8" w:color="auto"/>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23,738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20,743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ind w:right="773"/>
              <w:spacing w:after="0"/>
              <w:rPr>
                <w:sz w:val="20"/>
                <w:szCs w:val="20"/>
                <w:color w:val="auto"/>
              </w:rPr>
            </w:pPr>
            <w:r>
              <w:rPr>
                <w:rFonts w:ascii="Arial" w:cs="Arial" w:eastAsia="Arial" w:hAnsi="Arial"/>
                <w:sz w:val="18"/>
                <w:szCs w:val="18"/>
                <w:b w:val="1"/>
                <w:bCs w:val="1"/>
                <w:color w:val="auto"/>
                <w:w w:val="84"/>
              </w:rPr>
              <w:t>2,995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i w:val="1"/>
                <w:iCs w:val="1"/>
                <w:color w:val="auto"/>
              </w:rPr>
              <w:t>Volume</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Acquisitions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1,843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i w:val="1"/>
                <w:iCs w:val="1"/>
                <w:color w:val="auto"/>
              </w:rPr>
              <w:t>Price/mix/inflation</w:t>
            </w: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(89)</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1,049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773"/>
              <w:spacing w:after="0"/>
              <w:rPr>
                <w:sz w:val="20"/>
                <w:szCs w:val="20"/>
                <w:color w:val="auto"/>
              </w:rPr>
            </w:pPr>
            <w:r>
              <w:rPr>
                <w:rFonts w:ascii="Arial" w:cs="Arial" w:eastAsia="Arial" w:hAnsi="Arial"/>
                <w:sz w:val="18"/>
                <w:szCs w:val="18"/>
                <w:b w:val="1"/>
                <w:bCs w:val="1"/>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increased sales volumes in the first quarter of 2014 were due to greater demand with certain customers in the North American automotive market generally in line with the overall growth in automotive production and greater demand with our HVAC customer. Additionally, sales increased due to sales added with the acquisition of the majority of the assets of VS Industries during the first quarter of 2014. The main driver of the increased segment net income was the impact of $0.6 million in additional segment net income from increased sales volumes experienced during the quarter.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11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7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1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CCEEFF"/>
            </w:tcBorders>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7,890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9,366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ind w:right="794"/>
              <w:spacing w:after="0"/>
              <w:rPr>
                <w:sz w:val="20"/>
                <w:szCs w:val="20"/>
                <w:color w:val="auto"/>
              </w:rPr>
            </w:pPr>
            <w:r>
              <w:rPr>
                <w:rFonts w:ascii="Arial" w:cs="Arial" w:eastAsia="Arial" w:hAnsi="Arial"/>
                <w:sz w:val="18"/>
                <w:szCs w:val="18"/>
                <w:b w:val="1"/>
                <w:bCs w:val="1"/>
                <w:color w:val="auto"/>
                <w:w w:val="91"/>
              </w:rPr>
              <w:t>(1,476)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(1,662)</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186</w:t>
            </w:r>
          </w:p>
        </w:tc>
        <w:tc>
          <w:tcPr>
            <w:tcW w:w="0" w:type="dxa"/>
            <w:vAlign w:val="bottom"/>
          </w:tcPr>
          <w:p>
            <w:pPr>
              <w:spacing w:after="0"/>
              <w:rPr>
                <w:sz w:val="1"/>
                <w:szCs w:val="1"/>
                <w:color w:val="auto"/>
              </w:rPr>
            </w:pPr>
          </w:p>
        </w:tc>
      </w:tr>
      <w:tr>
        <w:trPr>
          <w:trHeight w:val="324"/>
        </w:trPr>
        <w:tc>
          <w:tcPr>
            <w:tcW w:w="7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794"/>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Sales were down due to lower volume from certain sales programs ending. Segment net income was down $0.4 million due to the negative effects of lower sales volumes and not being able to fully offset fixed production costs as sales declined. Benefits from continuous improvement projects had a favorable $0.2 million impact on net income partially offsetting the unfavorable volume effects.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December 31, 2013 to March 31, 2014, our total assets increased $24.6 million and our current assets increased $20.7 million. Foreign exchange translation impacted the balance sheet in comparing changes in account balances from December 31, 2013 to March 31, 2014 by decreasing total assets $1.0 million and current assets $0.4 million.</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comparing the December 31, 2013 to March 31, 2014 balance sheets, it should be noted that we acquired $8.5 million assets and assumed $2.9 million in liabilities in relation to the acquisition of the majority of the assets of VS Industries.</w:t>
      </w:r>
    </w:p>
    <w:p>
      <w:pPr>
        <w:spacing w:after="0" w:line="17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Beyond the acquisition, the increase in total assets was due to a $15.3 million increase in accounts receivables from a 23% increase in sales volume experienced in March/February of 2014 compared with sales levels in December/November of 2013. The days sales outstanding at March 31, 2014 were consistent with days sales outstanding at December 31, 2013.</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December 31, 2013 to March 31, 2014, our total liabilities increased $20.3 million. The majority of the increase was from a $13.3 million increase in long-term and current maturities of long-term debt due to the increase in accounts receivables as discussed above. Additionally, the acquisition of the majority of the assets of VS Industries caused debt to increase by approximately $7.3 million. Additionally, accounts payable increased $5.1 million driven by higher levels of spending for raw materials and production supplies due to increased production levels in the first quarter of 2014 compared to the fourth quarter of 2013.</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and current maturities of long-term debt, was $66.6 million at March 31, 2014 as compared to $56.3 million at December 31, 2013. The ratio of current assets to current liabilities increased from 1.81:1 at December 31, 2013 to 1.84:1 at March 31, 2014. The increase in working capital was due primarily to the increase in accounts receivable partially offset by the related increases in accounts payable and current maturities of long-term debt, as discussed above.</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used by operations was $1.3 million for the first three months of 2014 compared with cash used by operations of $2.5 million for the same period in 2013. The favorable variance was principally due to the increase in net income in 2014 versus 2013.</w:t>
      </w:r>
    </w:p>
    <w:p>
      <w:pPr>
        <w:spacing w:after="0" w:line="17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Cash used by investing activities was $9.5 million for the first three months of 2014 compared with cash used by investing activities of $3.2 million for the same period in 2013. The difference was primarily due to the $7.3 million spent on acquiring the majority of the assets of VS Industries.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financing activities was $12.4 million for the first three months of 2014, compared with cash used by financing activities of $5.9 million for the same period in 2013. The difference was primarily related to using debt in the first quarter of 2014 to fund working capital expansion and the acquisition of the majority of the assets of VS Industries. In the first quarter of 2013, we reduced our cash balances to fund working capital expansion and pay down our debt.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Amounts outstanding under our $100.0 million credit facility and our $60.0 million of fixed rate notes as of March 31, 2013 were $24.0 million (including</w:t>
      </w:r>
    </w:p>
    <w:p>
      <w:pPr>
        <w:spacing w:after="0" w:line="35"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$4.0 million under our swing line of credit) and $25.7 million, respectively. As of March 31, 2014, we can borrow up to an additional $75.1 million under the $100.0 million credit facility (including $6.0 million under our swing line of credit) subject to limitations based on existing financial covenants. The $75.1 million of availability is net of $0.9 million of outstanding letters of credit at March 31, 2014, which are considered as usage of the facility.</w:t>
      </w:r>
    </w:p>
    <w:p>
      <w:pPr>
        <w:spacing w:after="0" w:line="17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were in compliance with all covenants related to our $100.0 million credit facility and our $60.0 million in fixed rate notes as of March 31, 2014. The specific covenants to which we are subject and the actual results achieved for the three month period ended March 31, 2014 are stated below:</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Covenants</w:t>
            </w:r>
          </w:p>
        </w:tc>
        <w:tc>
          <w:tcPr>
            <w:tcW w:w="606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Required Covenant Level</w:t>
            </w:r>
          </w:p>
        </w:tc>
        <w:tc>
          <w:tcPr>
            <w:tcW w:w="42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Actual Level</w:t>
            </w:r>
          </w:p>
        </w:tc>
        <w:tc>
          <w:tcPr>
            <w:tcW w:w="0" w:type="dxa"/>
            <w:vAlign w:val="bottom"/>
          </w:tcPr>
          <w:p>
            <w:pPr>
              <w:spacing w:after="0"/>
              <w:rPr>
                <w:sz w:val="1"/>
                <w:szCs w:val="1"/>
                <w:color w:val="auto"/>
              </w:rPr>
            </w:pPr>
          </w:p>
        </w:tc>
      </w:tr>
      <w:tr>
        <w:trPr>
          <w:trHeight w:val="171"/>
        </w:trPr>
        <w:tc>
          <w:tcPr>
            <w:tcW w:w="2880" w:type="dxa"/>
            <w:vAlign w:val="bottom"/>
            <w:gridSpan w:val="2"/>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Interest coverage</w:t>
            </w:r>
          </w:p>
        </w:tc>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ratio</w:t>
            </w:r>
          </w:p>
        </w:tc>
        <w:tc>
          <w:tcPr>
            <w:tcW w:w="6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Not to be less than 3.00 to 1.00 as of the last day of any fiscal quarter</w:t>
            </w:r>
          </w:p>
        </w:tc>
        <w:tc>
          <w:tcPr>
            <w:tcW w:w="4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12.26 to 1.00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6060" w:type="dxa"/>
            <w:vAlign w:val="bottom"/>
          </w:tcPr>
          <w:p>
            <w:pPr>
              <w:spacing w:after="0"/>
              <w:rPr>
                <w:sz w:val="20"/>
                <w:szCs w:val="20"/>
                <w:color w:val="auto"/>
              </w:rPr>
            </w:pPr>
            <w:r>
              <w:rPr>
                <w:rFonts w:ascii="Arial" w:cs="Arial" w:eastAsia="Arial" w:hAnsi="Arial"/>
                <w:sz w:val="18"/>
                <w:szCs w:val="18"/>
                <w:color w:val="auto"/>
              </w:rPr>
              <w:t>Not to be less than 1.00 to 1.00 as of the last day of any fiscal quarter</w:t>
            </w: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 to 1.00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Leverage ratio</w:t>
            </w: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7"/>
              </w:rPr>
              <w:t>Not to exceed 2.75 to 1.00 for the most recently completed four fiscal quarters</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 to 1.00</w:t>
            </w:r>
          </w:p>
        </w:tc>
        <w:tc>
          <w:tcPr>
            <w:tcW w:w="0" w:type="dxa"/>
            <w:vAlign w:val="bottom"/>
          </w:tcPr>
          <w:p>
            <w:pPr>
              <w:spacing w:after="0"/>
              <w:rPr>
                <w:sz w:val="1"/>
                <w:szCs w:val="1"/>
                <w:color w:val="auto"/>
              </w:rPr>
            </w:pP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6060" w:type="dxa"/>
            <w:vAlign w:val="bottom"/>
          </w:tcPr>
          <w:p>
            <w:pPr>
              <w:spacing w:after="0"/>
              <w:rPr>
                <w:sz w:val="20"/>
                <w:szCs w:val="20"/>
                <w:color w:val="auto"/>
              </w:rPr>
            </w:pPr>
            <w:r>
              <w:rPr>
                <w:rFonts w:ascii="Arial" w:cs="Arial" w:eastAsia="Arial" w:hAnsi="Arial"/>
                <w:sz w:val="18"/>
                <w:szCs w:val="18"/>
                <w:color w:val="auto"/>
              </w:rPr>
              <w:t>Not to invest more than $25.4 million during the fiscal year 2014</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  2.2 million</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Many of our locations use the Euro as their functional currency. In 2014, the fluctuation of the Euro against the U.S. Dollar favorably impacted revenue and net income. As of March 31, 2014, no currency hedges were in place. Changes in value of the U.S. Dollar and/or Euro against foreign currencies could impair our ability to compete with international competitors for foreign as well as domestic sales.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made planned capital expenditures totaling $2.2 million as of March 31, 2014. During 2014, we expect to spend up to $23.0 million on capital expenditures, the majority of which relate to new or expanded business. Due to the timing of capital projects we expect that spending in the second half of the year will be heavier than the first half. We believe that funds generated from operations and borrowings from our credit facilities will be sufficient to finance our capital expenditures and working capital needs through March 2015. We base this assertion on our current availability for borrowing of up to $75.1 million and our forecasted positive cash flow from operations for the remainder of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critical accounting policies, including the assumptions and judgments underlying them, are disclosed in our Annual Report on Form 10-K for the year ended December 31, 2013, including those policies as discussed in Note 1 to the Annual Report. There have been no changes to these policies during the three month period ended March 31, 2014.</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March 31, 2014, we had $24.0 million outstanding under our variable rate revolving credit facilities and $25.7 million of fixed rate notes outstanding. See Note7 of the Notes to Condensed Consolidated Financial Statements. At March 31, 2014, a one-percent increase in the interest rate charged on our outstanding variable rate borrowings would result in interest expense increasing annually by approximately $0.2 million.</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March 31, 2014.</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disclosure controls and procedures pursuant to Rule 13a-15 and 15d-15 of the Securities Exchange Act of 1934 (the “Exchange Act”). Based upon that evaluation, the Chief Executive Officer and Chief Financial Officer, concluded that our disclosure controls and procedures are effective as of March 31, 2014, the end of the period covered by this quarterly report.</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have been no changes in the fiscal quarter ended March 31, 2014 in our internal control over financial reporting that have materially affected, or are reasonably likely to materially affect, our internal control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$0.2 million and $0.2 million at March 31, 2014 and December 31, 2013, respectively, which we believe are adequate to cover all probable liabilities to be incurred by all of the cases in the aggregate.</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discussed more fully in our Annual Report on Form 10-K filed March 14, 2014, the ultimate impact on NN of our wholly owned German subsidiary Kugelfertigung Eltmann GbmH (“Eltmann” or “Eltmann Plant”) filing for bankruptcy will depend on the findings of the bankruptcy court. We do not expect any further significant impacts on our condensed consolidated financial statements as a result of the liquidation of this subsidiary.</w:t>
      </w:r>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2013 under Item 1.A. “Risk Factors.” There have been no material changes to these risk factors since December 31, 2013.</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withheld the following shares of common stock to satisfy tax withholding obligations during the first quarter of 2014. These shares may be deemed to be “issuer purchases” of shares that are required to be disclosed pursuant to this Item.</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Total Number of</w:t>
            </w:r>
          </w:p>
        </w:tc>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80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720" w:type="dxa"/>
            <w:vAlign w:val="bottom"/>
            <w:vMerge w:val="restart"/>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8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the Plan or</w:t>
            </w: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tcPr>
          <w:p>
            <w:pPr>
              <w:spacing w:after="0"/>
              <w:rPr>
                <w:sz w:val="14"/>
                <w:szCs w:val="14"/>
                <w:color w:val="auto"/>
              </w:rPr>
            </w:pPr>
          </w:p>
        </w:tc>
        <w:tc>
          <w:tcPr>
            <w:tcW w:w="272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 Purchased</w:t>
            </w:r>
            <w:r>
              <w:rPr>
                <w:rFonts w:ascii="Arial" w:cs="Arial" w:eastAsia="Arial" w:hAnsi="Arial"/>
                <w:sz w:val="12"/>
                <w:szCs w:val="12"/>
                <w:b w:val="1"/>
                <w:bCs w:val="1"/>
                <w:color w:val="auto"/>
                <w:w w:val="89"/>
              </w:rPr>
              <w:t>(1)</w:t>
            </w: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 Share</w:t>
            </w:r>
          </w:p>
        </w:tc>
        <w:tc>
          <w:tcPr>
            <w:tcW w:w="80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8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February 2014</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2014</w:t>
            </w:r>
          </w:p>
        </w:tc>
        <w:tc>
          <w:tcPr>
            <w:tcW w:w="20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1,723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19.27</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8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460" w:right="2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2011 Stock Incentive Plan. The NN, Inc. 2011 Stock Incentive Plan provides for the withholding of shares to satisfy tax obligations. It does not specify a maximum number of shares that can be withheld for this purpose.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9560" w:type="dxa"/>
            <w:vAlign w:val="bottom"/>
          </w:tcPr>
          <w:p>
            <w:pPr>
              <w:spacing w:after="0"/>
              <w:rPr>
                <w:sz w:val="17"/>
                <w:szCs w:val="17"/>
                <w:color w:val="auto"/>
              </w:rPr>
            </w:pPr>
          </w:p>
        </w:tc>
      </w:tr>
      <w:tr>
        <w:trPr>
          <w:trHeight w:val="534"/>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3.</w:t>
            </w:r>
          </w:p>
        </w:tc>
        <w:tc>
          <w:tcPr>
            <w:tcW w:w="10360" w:type="dxa"/>
            <w:vAlign w:val="bottom"/>
            <w:gridSpan w:val="2"/>
          </w:tcPr>
          <w:p>
            <w:pPr>
              <w:ind w:left="360"/>
              <w:spacing w:after="0"/>
              <w:rPr>
                <w:sz w:val="20"/>
                <w:szCs w:val="20"/>
                <w:color w:val="auto"/>
              </w:rPr>
            </w:pPr>
            <w:r>
              <w:rPr>
                <w:rFonts w:ascii="Arial" w:cs="Arial" w:eastAsia="Arial" w:hAnsi="Arial"/>
                <w:sz w:val="18"/>
                <w:szCs w:val="18"/>
                <w:b w:val="1"/>
                <w:bCs w:val="1"/>
                <w:color w:val="auto"/>
              </w:rPr>
              <w:t>Defaults upon Senior Securities</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None</w:t>
            </w:r>
          </w:p>
        </w:tc>
        <w:tc>
          <w:tcPr>
            <w:tcW w:w="80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4.</w:t>
            </w:r>
          </w:p>
        </w:tc>
        <w:tc>
          <w:tcPr>
            <w:tcW w:w="10360" w:type="dxa"/>
            <w:vAlign w:val="bottom"/>
            <w:gridSpan w:val="2"/>
          </w:tcPr>
          <w:p>
            <w:pPr>
              <w:ind w:left="360"/>
              <w:spacing w:after="0"/>
              <w:rPr>
                <w:sz w:val="20"/>
                <w:szCs w:val="20"/>
                <w:color w:val="auto"/>
              </w:rPr>
            </w:pPr>
            <w:r>
              <w:rPr>
                <w:rFonts w:ascii="Arial" w:cs="Arial" w:eastAsia="Arial" w:hAnsi="Arial"/>
                <w:sz w:val="18"/>
                <w:szCs w:val="18"/>
                <w:b w:val="1"/>
                <w:bCs w:val="1"/>
                <w:color w:val="auto"/>
              </w:rPr>
              <w:t>Mine Safety Disclosures</w:t>
            </w:r>
          </w:p>
        </w:tc>
      </w:tr>
      <w:tr>
        <w:trPr>
          <w:trHeight w:val="324"/>
        </w:trPr>
        <w:tc>
          <w:tcPr>
            <w:tcW w:w="136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9560" w:type="dxa"/>
            <w:vAlign w:val="bottom"/>
          </w:tcPr>
          <w:p>
            <w:pPr>
              <w:spacing w:after="0"/>
              <w:rPr>
                <w:sz w:val="24"/>
                <w:szCs w:val="24"/>
                <w:color w:val="auto"/>
              </w:rPr>
            </w:pP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5.</w:t>
            </w:r>
          </w:p>
        </w:tc>
        <w:tc>
          <w:tcPr>
            <w:tcW w:w="10360" w:type="dxa"/>
            <w:vAlign w:val="bottom"/>
            <w:gridSpan w:val="2"/>
          </w:tcPr>
          <w:p>
            <w:pPr>
              <w:ind w:left="36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None</w:t>
            </w:r>
          </w:p>
        </w:tc>
        <w:tc>
          <w:tcPr>
            <w:tcW w:w="800" w:type="dxa"/>
            <w:vAlign w:val="bottom"/>
          </w:tcPr>
          <w:p>
            <w:pPr>
              <w:spacing w:after="0"/>
              <w:rPr>
                <w:sz w:val="24"/>
                <w:szCs w:val="24"/>
                <w:color w:val="auto"/>
              </w:rPr>
            </w:pPr>
          </w:p>
        </w:tc>
        <w:tc>
          <w:tcPr>
            <w:tcW w:w="9560" w:type="dxa"/>
            <w:vAlign w:val="bottom"/>
          </w:tcPr>
          <w:p>
            <w:pPr>
              <w:spacing w:after="0"/>
              <w:rPr>
                <w:sz w:val="24"/>
                <w:szCs w:val="24"/>
                <w:color w:val="auto"/>
              </w:rPr>
            </w:pPr>
          </w:p>
        </w:tc>
      </w:tr>
      <w:tr>
        <w:trPr>
          <w:trHeight w:val="581"/>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6.</w:t>
            </w:r>
          </w:p>
        </w:tc>
        <w:tc>
          <w:tcPr>
            <w:tcW w:w="1036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Exhibits</w:t>
            </w:r>
          </w:p>
        </w:tc>
      </w:tr>
      <w:tr>
        <w:trPr>
          <w:trHeight w:val="445"/>
        </w:trPr>
        <w:tc>
          <w:tcPr>
            <w:tcW w:w="56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31.1</w:t>
            </w:r>
          </w:p>
        </w:tc>
        <w:tc>
          <w:tcPr>
            <w:tcW w:w="9560" w:type="dxa"/>
            <w:vAlign w:val="bottom"/>
          </w:tcPr>
          <w:p>
            <w:pPr>
              <w:ind w:left="180"/>
              <w:spacing w:after="0"/>
              <w:rPr>
                <w:sz w:val="20"/>
                <w:szCs w:val="20"/>
                <w:color w:val="auto"/>
              </w:rPr>
            </w:pPr>
            <w:r>
              <w:rPr>
                <w:rFonts w:ascii="Arial" w:cs="Arial" w:eastAsia="Arial" w:hAnsi="Arial"/>
                <w:sz w:val="18"/>
                <w:szCs w:val="18"/>
                <w:color w:val="auto"/>
                <w:w w:val="91"/>
              </w:rPr>
              <w:t>Certification of Chief Executive Officer Pursuant to Rules 13a-14(a) and 15d-14(a) under the Securities Exchange Act of 1934, as</w:t>
            </w: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Arial" w:cs="Arial" w:eastAsia="Arial" w:hAnsi="Arial"/>
                <w:sz w:val="18"/>
                <w:szCs w:val="18"/>
                <w:color w:val="auto"/>
              </w:rPr>
              <w:t>amended.</w:t>
            </w:r>
          </w:p>
        </w:tc>
      </w:tr>
      <w:tr>
        <w:trPr>
          <w:trHeight w:val="310"/>
        </w:trPr>
        <w:tc>
          <w:tcPr>
            <w:tcW w:w="56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31.2</w:t>
            </w:r>
          </w:p>
        </w:tc>
        <w:tc>
          <w:tcPr>
            <w:tcW w:w="9560" w:type="dxa"/>
            <w:vAlign w:val="bottom"/>
          </w:tcPr>
          <w:p>
            <w:pPr>
              <w:ind w:left="180"/>
              <w:spacing w:after="0"/>
              <w:rPr>
                <w:sz w:val="20"/>
                <w:szCs w:val="20"/>
                <w:color w:val="auto"/>
              </w:rPr>
            </w:pPr>
            <w:r>
              <w:rPr>
                <w:rFonts w:ascii="Arial" w:cs="Arial" w:eastAsia="Arial" w:hAnsi="Arial"/>
                <w:sz w:val="18"/>
                <w:szCs w:val="18"/>
                <w:color w:val="auto"/>
                <w:w w:val="91"/>
              </w:rPr>
              <w:t>Certification of Chief Financial Officer Pursuant to Rules 13a-14(a) and 15d-14(a) under the Securities Exchange Act of 1934, as</w:t>
            </w:r>
          </w:p>
        </w:tc>
      </w:tr>
      <w:tr>
        <w:trPr>
          <w:trHeight w:val="230"/>
        </w:trPr>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60" w:type="dxa"/>
            <w:vAlign w:val="bottom"/>
          </w:tcPr>
          <w:p>
            <w:pPr>
              <w:ind w:left="180"/>
              <w:spacing w:after="0"/>
              <w:rPr>
                <w:sz w:val="20"/>
                <w:szCs w:val="20"/>
                <w:color w:val="auto"/>
              </w:rPr>
            </w:pPr>
            <w:r>
              <w:rPr>
                <w:rFonts w:ascii="Arial" w:cs="Arial" w:eastAsia="Arial" w:hAnsi="Arial"/>
                <w:sz w:val="18"/>
                <w:szCs w:val="18"/>
                <w:color w:val="auto"/>
              </w:rPr>
              <w:t>amended.</w:t>
            </w:r>
          </w:p>
        </w:tc>
      </w:tr>
      <w:tr>
        <w:trPr>
          <w:trHeight w:val="324"/>
        </w:trPr>
        <w:tc>
          <w:tcPr>
            <w:tcW w:w="56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32.1</w:t>
            </w:r>
          </w:p>
        </w:tc>
        <w:tc>
          <w:tcPr>
            <w:tcW w:w="956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560" w:type="dxa"/>
            <w:vAlign w:val="bottom"/>
          </w:tcPr>
          <w:p>
            <w:pPr>
              <w:spacing w:after="0"/>
              <w:rPr>
                <w:sz w:val="24"/>
                <w:szCs w:val="24"/>
                <w:color w:val="auto"/>
              </w:rPr>
            </w:pPr>
          </w:p>
        </w:tc>
        <w:tc>
          <w:tcPr>
            <w:tcW w:w="800" w:type="dxa"/>
            <w:vAlign w:val="bottom"/>
          </w:tcPr>
          <w:p>
            <w:pPr>
              <w:jc w:val="right"/>
              <w:ind w:right="390"/>
              <w:spacing w:after="0"/>
              <w:rPr>
                <w:sz w:val="20"/>
                <w:szCs w:val="20"/>
                <w:color w:val="auto"/>
              </w:rPr>
            </w:pPr>
            <w:r>
              <w:rPr>
                <w:rFonts w:ascii="Arial" w:cs="Arial" w:eastAsia="Arial" w:hAnsi="Arial"/>
                <w:sz w:val="18"/>
                <w:szCs w:val="18"/>
                <w:color w:val="auto"/>
                <w:w w:val="85"/>
              </w:rPr>
              <w:t>32.2</w:t>
            </w:r>
          </w:p>
        </w:tc>
        <w:tc>
          <w:tcPr>
            <w:tcW w:w="9560" w:type="dxa"/>
            <w:vAlign w:val="bottom"/>
          </w:tcPr>
          <w:p>
            <w:pPr>
              <w:ind w:left="1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1360" w:type="dxa"/>
            <w:vAlign w:val="bottom"/>
            <w:gridSpan w:val="2"/>
          </w:tcPr>
          <w:p>
            <w:pPr>
              <w:ind w:left="460"/>
              <w:spacing w:after="0"/>
              <w:rPr>
                <w:sz w:val="20"/>
                <w:szCs w:val="20"/>
                <w:color w:val="auto"/>
              </w:rPr>
            </w:pPr>
            <w:r>
              <w:rPr>
                <w:rFonts w:ascii="Arial" w:cs="Arial" w:eastAsia="Arial" w:hAnsi="Arial"/>
                <w:sz w:val="18"/>
                <w:szCs w:val="18"/>
                <w:color w:val="auto"/>
              </w:rPr>
              <w:t>101.INS</w:t>
            </w:r>
          </w:p>
        </w:tc>
        <w:tc>
          <w:tcPr>
            <w:tcW w:w="956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1360" w:type="dxa"/>
            <w:vAlign w:val="bottom"/>
            <w:gridSpan w:val="2"/>
          </w:tcPr>
          <w:p>
            <w:pPr>
              <w:ind w:left="460"/>
              <w:spacing w:after="0"/>
              <w:rPr>
                <w:sz w:val="20"/>
                <w:szCs w:val="20"/>
                <w:color w:val="auto"/>
              </w:rPr>
            </w:pPr>
            <w:r>
              <w:rPr>
                <w:rFonts w:ascii="Arial" w:cs="Arial" w:eastAsia="Arial" w:hAnsi="Arial"/>
                <w:sz w:val="18"/>
                <w:szCs w:val="18"/>
                <w:color w:val="auto"/>
              </w:rPr>
              <w:t>101.SCH</w:t>
            </w:r>
          </w:p>
        </w:tc>
        <w:tc>
          <w:tcPr>
            <w:tcW w:w="9560" w:type="dxa"/>
            <w:vAlign w:val="bottom"/>
          </w:tcPr>
          <w:p>
            <w:pPr>
              <w:ind w:left="18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1360" w:type="dxa"/>
            <w:vAlign w:val="bottom"/>
            <w:gridSpan w:val="2"/>
          </w:tcPr>
          <w:p>
            <w:pPr>
              <w:ind w:left="460"/>
              <w:spacing w:after="0"/>
              <w:rPr>
                <w:sz w:val="20"/>
                <w:szCs w:val="20"/>
                <w:color w:val="auto"/>
              </w:rPr>
            </w:pPr>
            <w:r>
              <w:rPr>
                <w:rFonts w:ascii="Arial" w:cs="Arial" w:eastAsia="Arial" w:hAnsi="Arial"/>
                <w:sz w:val="18"/>
                <w:szCs w:val="18"/>
                <w:color w:val="auto"/>
              </w:rPr>
              <w:t>101.CAL</w:t>
            </w:r>
          </w:p>
        </w:tc>
        <w:tc>
          <w:tcPr>
            <w:tcW w:w="9560" w:type="dxa"/>
            <w:vAlign w:val="bottom"/>
          </w:tcPr>
          <w:p>
            <w:pPr>
              <w:ind w:left="18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1360" w:type="dxa"/>
            <w:vAlign w:val="bottom"/>
            <w:gridSpan w:val="2"/>
          </w:tcPr>
          <w:p>
            <w:pPr>
              <w:ind w:left="460"/>
              <w:spacing w:after="0"/>
              <w:rPr>
                <w:sz w:val="20"/>
                <w:szCs w:val="20"/>
                <w:color w:val="auto"/>
              </w:rPr>
            </w:pPr>
            <w:r>
              <w:rPr>
                <w:rFonts w:ascii="Arial" w:cs="Arial" w:eastAsia="Arial" w:hAnsi="Arial"/>
                <w:sz w:val="18"/>
                <w:szCs w:val="18"/>
                <w:color w:val="auto"/>
              </w:rPr>
              <w:t>101.LAB</w:t>
            </w:r>
          </w:p>
        </w:tc>
        <w:tc>
          <w:tcPr>
            <w:tcW w:w="9560" w:type="dxa"/>
            <w:vAlign w:val="bottom"/>
          </w:tcPr>
          <w:p>
            <w:pPr>
              <w:ind w:left="180"/>
              <w:spacing w:after="0"/>
              <w:rPr>
                <w:sz w:val="20"/>
                <w:szCs w:val="20"/>
                <w:color w:val="auto"/>
              </w:rPr>
            </w:pPr>
            <w:r>
              <w:rPr>
                <w:rFonts w:ascii="Arial" w:cs="Arial" w:eastAsia="Arial" w:hAnsi="Arial"/>
                <w:sz w:val="18"/>
                <w:szCs w:val="18"/>
                <w:color w:val="auto"/>
              </w:rPr>
              <w:t>XBRL Taxonomy Label Linkbase</w:t>
            </w:r>
          </w:p>
        </w:tc>
      </w:tr>
      <w:tr>
        <w:trPr>
          <w:trHeight w:val="324"/>
        </w:trPr>
        <w:tc>
          <w:tcPr>
            <w:tcW w:w="1360" w:type="dxa"/>
            <w:vAlign w:val="bottom"/>
            <w:gridSpan w:val="2"/>
          </w:tcPr>
          <w:p>
            <w:pPr>
              <w:ind w:left="460"/>
              <w:spacing w:after="0"/>
              <w:rPr>
                <w:sz w:val="20"/>
                <w:szCs w:val="20"/>
                <w:color w:val="auto"/>
              </w:rPr>
            </w:pPr>
            <w:r>
              <w:rPr>
                <w:rFonts w:ascii="Arial" w:cs="Arial" w:eastAsia="Arial" w:hAnsi="Arial"/>
                <w:sz w:val="18"/>
                <w:szCs w:val="18"/>
                <w:color w:val="auto"/>
              </w:rPr>
              <w:t>101.PRE</w:t>
            </w:r>
          </w:p>
        </w:tc>
        <w:tc>
          <w:tcPr>
            <w:tcW w:w="9560" w:type="dxa"/>
            <w:vAlign w:val="bottom"/>
          </w:tcPr>
          <w:p>
            <w:pPr>
              <w:ind w:left="180"/>
              <w:spacing w:after="0"/>
              <w:rPr>
                <w:sz w:val="20"/>
                <w:szCs w:val="20"/>
                <w:color w:val="auto"/>
              </w:rPr>
            </w:pPr>
            <w:r>
              <w:rPr>
                <w:rFonts w:ascii="Arial" w:cs="Arial" w:eastAsia="Arial" w:hAnsi="Arial"/>
                <w:sz w:val="18"/>
                <w:szCs w:val="18"/>
                <w:color w:val="auto"/>
              </w:rPr>
              <w:t>XBRL Presentation Linkbase Document</w:t>
            </w:r>
          </w:p>
        </w:tc>
      </w:tr>
      <w:tr>
        <w:trPr>
          <w:trHeight w:val="324"/>
        </w:trPr>
        <w:tc>
          <w:tcPr>
            <w:tcW w:w="1360" w:type="dxa"/>
            <w:vAlign w:val="bottom"/>
            <w:gridSpan w:val="2"/>
          </w:tcPr>
          <w:p>
            <w:pPr>
              <w:ind w:left="460"/>
              <w:spacing w:after="0"/>
              <w:rPr>
                <w:sz w:val="20"/>
                <w:szCs w:val="20"/>
                <w:color w:val="auto"/>
              </w:rPr>
            </w:pPr>
            <w:r>
              <w:rPr>
                <w:rFonts w:ascii="Arial" w:cs="Arial" w:eastAsia="Arial" w:hAnsi="Arial"/>
                <w:sz w:val="18"/>
                <w:szCs w:val="18"/>
                <w:color w:val="auto"/>
              </w:rPr>
              <w:t>101.DEF</w:t>
            </w:r>
          </w:p>
        </w:tc>
        <w:tc>
          <w:tcPr>
            <w:tcW w:w="9560" w:type="dxa"/>
            <w:vAlign w:val="bottom"/>
          </w:tcPr>
          <w:p>
            <w:pPr>
              <w:ind w:left="180"/>
              <w:spacing w:after="0"/>
              <w:rPr>
                <w:sz w:val="20"/>
                <w:szCs w:val="20"/>
                <w:color w:val="auto"/>
              </w:rPr>
            </w:pPr>
            <w:r>
              <w:rPr>
                <w:rFonts w:ascii="Arial" w:cs="Arial" w:eastAsia="Arial" w:hAnsi="Arial"/>
                <w:sz w:val="18"/>
                <w:szCs w:val="18"/>
                <w:color w:val="auto"/>
              </w:rPr>
              <w:t>XBRL Definition Linkbase Document</w:t>
            </w:r>
          </w:p>
        </w:tc>
      </w:tr>
      <w:tr>
        <w:trPr>
          <w:trHeight w:val="365"/>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60" w:type="dxa"/>
            <w:vAlign w:val="bottom"/>
          </w:tcPr>
          <w:p>
            <w:pPr>
              <w:ind w:left="4260"/>
              <w:spacing w:after="0"/>
              <w:rPr>
                <w:sz w:val="20"/>
                <w:szCs w:val="20"/>
                <w:color w:val="auto"/>
              </w:rPr>
            </w:pPr>
            <w:r>
              <w:rPr>
                <w:rFonts w:ascii="Arial" w:cs="Arial" w:eastAsia="Arial" w:hAnsi="Arial"/>
                <w:sz w:val="18"/>
                <w:szCs w:val="18"/>
                <w:color w:val="auto"/>
              </w:rPr>
              <w:t>19</w:t>
            </w:r>
          </w:p>
        </w:tc>
      </w:tr>
    </w:tbl>
    <w:p>
      <w:pPr>
        <w:ind w:left="4260"/>
        <w:spacing w:after="0"/>
        <w:rPr>
          <w:sz w:val="20"/>
          <w:szCs w:val="20"/>
          <w:color w:val="auto"/>
        </w:rPr>
        <w:sectPr>
          <w:pgSz w:w="11900" w:h="16838" w:orient="portrait"/>
          <w:cols w:equalWidth="0" w:num="1">
            <w:col w:w="10920"/>
          </w:cols>
          <w:pgMar w:left="240" w:top="446" w:right="7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NN, Inc.</w:t>
            </w:r>
          </w:p>
        </w:tc>
      </w:tr>
      <w:tr>
        <w:trPr>
          <w:trHeight w:val="224"/>
        </w:trPr>
        <w:tc>
          <w:tcPr>
            <w:tcW w:w="3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1"/>
        </w:trPr>
        <w:tc>
          <w:tcPr>
            <w:tcW w:w="3500" w:type="dxa"/>
            <w:vAlign w:val="bottom"/>
          </w:tcPr>
          <w:p>
            <w:pPr>
              <w:spacing w:after="0"/>
              <w:rPr>
                <w:sz w:val="20"/>
                <w:szCs w:val="20"/>
                <w:color w:val="auto"/>
              </w:rPr>
            </w:pPr>
            <w:r>
              <w:rPr>
                <w:rFonts w:ascii="Arial" w:cs="Arial" w:eastAsia="Arial" w:hAnsi="Arial"/>
                <w:sz w:val="18"/>
                <w:szCs w:val="18"/>
                <w:color w:val="auto"/>
              </w:rPr>
              <w:t>Date: May 9, 2014</w:t>
            </w:r>
          </w:p>
        </w:tc>
        <w:tc>
          <w:tcPr>
            <w:tcW w:w="26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09"/>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2014</w:t>
            </w:r>
          </w:p>
        </w:tc>
        <w:tc>
          <w:tcPr>
            <w:tcW w:w="26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 Dorton</w:t>
            </w:r>
          </w:p>
        </w:tc>
      </w:tr>
      <w:tr>
        <w:trPr>
          <w:trHeight w:val="209"/>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James H. Dorton</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2014</w:t>
            </w:r>
          </w:p>
        </w:tc>
        <w:tc>
          <w:tcPr>
            <w:tcW w:w="26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09"/>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and</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(Duly Authorized Officer)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9, 2014</w:t>
            </w:r>
          </w:p>
        </w:tc>
        <w:tc>
          <w:tcPr>
            <w:tcW w:w="268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C. Burwell, Jr.</w:t>
            </w:r>
          </w:p>
        </w:tc>
      </w:tr>
      <w:tr>
        <w:trPr>
          <w:trHeight w:val="209"/>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Thomas C. Burwell, Jr.</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3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30"/>
        </w:trPr>
        <w:tc>
          <w:tcPr>
            <w:tcW w:w="3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500" w:type="dxa"/>
            <w:vAlign w:val="bottom"/>
          </w:tcPr>
          <w:p>
            <w:pPr>
              <w:spacing w:after="0"/>
              <w:rPr>
                <w:sz w:val="24"/>
                <w:szCs w:val="24"/>
                <w:color w:val="auto"/>
              </w:rPr>
            </w:pPr>
          </w:p>
        </w:tc>
        <w:tc>
          <w:tcPr>
            <w:tcW w:w="268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ind w:left="10540"/>
        <w:spacing w:after="0"/>
        <w:rPr>
          <w:sz w:val="20"/>
          <w:szCs w:val="20"/>
          <w:color w:val="auto"/>
        </w:rPr>
      </w:pPr>
      <w:r>
        <w:rPr>
          <w:rFonts w:ascii="Arial" w:cs="Arial" w:eastAsia="Arial" w:hAnsi="Arial"/>
          <w:sz w:val="16"/>
          <w:szCs w:val="16"/>
          <w:color w:val="auto"/>
        </w:rPr>
        <w:t>Exhibit 31.1</w:t>
      </w:r>
    </w:p>
    <w:p>
      <w:pPr>
        <w:spacing w:after="0" w:line="248" w:lineRule="exact"/>
        <w:rPr>
          <w:sz w:val="20"/>
          <w:szCs w:val="20"/>
          <w:color w:val="auto"/>
        </w:rPr>
      </w:pPr>
    </w:p>
    <w:p>
      <w:pPr>
        <w:jc w:val="center"/>
        <w:ind w:left="260"/>
        <w:spacing w:after="0" w:line="277" w:lineRule="auto"/>
        <w:rPr>
          <w:sz w:val="20"/>
          <w:szCs w:val="20"/>
          <w:color w:val="auto"/>
        </w:rPr>
      </w:pPr>
      <w:r>
        <w:rPr>
          <w:rFonts w:ascii="Arial" w:cs="Arial" w:eastAsia="Arial" w:hAnsi="Arial"/>
          <w:sz w:val="18"/>
          <w:szCs w:val="18"/>
          <w:color w:val="auto"/>
        </w:rPr>
        <w:t>CERTIFICATION OF CHIEF EXECUTIVE OFFICER PURSUANT TO RULES 13a-14(a) AND 15d-14(a) UNDER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9, 2014</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2" w:name="page23"/>
    <w:bookmarkEnd w:id="22"/>
    <w:p>
      <w:pPr>
        <w:ind w:left="10540"/>
        <w:spacing w:after="0"/>
        <w:rPr>
          <w:sz w:val="20"/>
          <w:szCs w:val="20"/>
          <w:color w:val="auto"/>
        </w:rPr>
      </w:pPr>
      <w:r>
        <w:rPr>
          <w:rFonts w:ascii="Arial" w:cs="Arial" w:eastAsia="Arial" w:hAnsi="Arial"/>
          <w:sz w:val="16"/>
          <w:szCs w:val="16"/>
          <w:color w:val="auto"/>
        </w:rPr>
        <w:t>Exhibit 31.2</w:t>
      </w:r>
    </w:p>
    <w:p>
      <w:pPr>
        <w:spacing w:after="0" w:line="248" w:lineRule="exact"/>
        <w:rPr>
          <w:sz w:val="20"/>
          <w:szCs w:val="20"/>
          <w:color w:val="auto"/>
        </w:rPr>
      </w:pPr>
    </w:p>
    <w:p>
      <w:pPr>
        <w:jc w:val="center"/>
        <w:ind w:left="260" w:right="20"/>
        <w:spacing w:after="0" w:line="277" w:lineRule="auto"/>
        <w:rPr>
          <w:sz w:val="20"/>
          <w:szCs w:val="20"/>
          <w:color w:val="auto"/>
        </w:rPr>
      </w:pPr>
      <w:r>
        <w:rPr>
          <w:rFonts w:ascii="Arial" w:cs="Arial" w:eastAsia="Arial" w:hAnsi="Arial"/>
          <w:sz w:val="18"/>
          <w:szCs w:val="18"/>
          <w:color w:val="auto"/>
        </w:rPr>
        <w:t>CERTIFICATION OF CHIEF FINANCIAL OFFICER PURSUANT TO RULES 13a-14(a) AND 15d-14(a) UNDER THE 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9, 2014</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 Corporate Development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1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9, 2014</w:t>
      </w:r>
      <w:r>
        <w:rPr>
          <w:sz w:val="20"/>
          <w:szCs w:val="20"/>
          <w:color w:val="auto"/>
        </w:rPr>
        <w:tab/>
      </w:r>
      <w:r>
        <w:rPr>
          <w:rFonts w:ascii="Arial" w:cs="Arial" w:eastAsia="Arial" w:hAnsi="Arial"/>
          <w:sz w:val="16"/>
          <w:szCs w:val="16"/>
          <w:color w:val="auto"/>
        </w:rPr>
        <w:t>/s/ Richard 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Richard D. Holder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March 31,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1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9, 2014</w:t>
      </w:r>
      <w:r>
        <w:rPr>
          <w:sz w:val="20"/>
          <w:szCs w:val="20"/>
          <w:color w:val="auto"/>
        </w:rPr>
        <w:tab/>
      </w:r>
      <w:r>
        <w:rPr>
          <w:rFonts w:ascii="Arial" w:cs="Arial" w:eastAsia="Arial" w:hAnsi="Arial"/>
          <w:sz w:val="16"/>
          <w:szCs w:val="16"/>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 Corporate Development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2019-12-06T10:07:23Z</dcterms:created>
  <dcterms:modified xsi:type="dcterms:W3CDTF">2019-12-06T10:07:23Z</dcterms:modified>
</cp:coreProperties>
</file>