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will present at the Gabelli Funds 48th Annual Automotive Symposium (the “Symposium”) on November 4, 2024. The Company posted an investor presentation to its website, https://investors.nninc.com/, which will be presented at the Symposium and is included as Exhibit 99.1 to this Current Report.</w:t>
      </w:r>
    </w:p>
    <w:p>
      <w:pPr>
        <w:spacing w:after="0" w:line="39"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2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Investor Presentation, dated November 4, 2024</w:t>
            </w:r>
          </w:p>
        </w:tc>
        <w:tc>
          <w:tcPr>
            <w:tcW w:w="8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November 4,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2024-11-04T07:39:08Z</dcterms:created>
  <dcterms:modified xsi:type="dcterms:W3CDTF">2024-11-04T07:39:08Z</dcterms:modified>
</cp:coreProperties>
</file>