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26, 2019 (February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225425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388620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8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25, 2019, NN,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(the “</w:t>
      </w:r>
      <w:r>
        <w:rPr>
          <w:rFonts w:ascii="Arial" w:cs="Arial" w:eastAsia="Arial" w:hAnsi="Arial"/>
          <w:sz w:val="18"/>
          <w:szCs w:val="18"/>
          <w:u w:val="single" w:color="auto"/>
          <w:color w:val="auto"/>
        </w:rPr>
        <w:t>Cooperation Agreement</w:t>
      </w:r>
      <w:r>
        <w:rPr>
          <w:rFonts w:ascii="Arial" w:cs="Arial" w:eastAsia="Arial" w:hAnsi="Arial"/>
          <w:sz w:val="18"/>
          <w:szCs w:val="18"/>
          <w:color w:val="auto"/>
        </w:rPr>
        <w:t>”) with Legion Partners Asset Management, LLC and certain related investors (collectively, “</w:t>
      </w:r>
      <w:r>
        <w:rPr>
          <w:rFonts w:ascii="Arial" w:cs="Arial" w:eastAsia="Arial" w:hAnsi="Arial"/>
          <w:sz w:val="18"/>
          <w:szCs w:val="18"/>
          <w:u w:val="single" w:color="auto"/>
          <w:color w:val="auto"/>
        </w:rPr>
        <w:t>Legion Partners</w:t>
      </w:r>
      <w:r>
        <w:rPr>
          <w:rFonts w:ascii="Arial" w:cs="Arial" w:eastAsia="Arial" w:hAnsi="Arial"/>
          <w:sz w:val="18"/>
          <w:szCs w:val="18"/>
          <w:color w:val="auto"/>
        </w:rPr>
        <w:t>”).</w:t>
      </w:r>
    </w:p>
    <w:p>
      <w:pPr>
        <w:spacing w:after="0" w:line="17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Pursuant to the Cooperation Agreement, the Company increased the size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from 7 to 9 directors and appointed Ms. Jeri Harman and Ms. Janice Stipp to fill the newly created directorships. Ms. Harman will serve as a Class I director with an initial term expiring at the Company’s 2020 annual meeting. Ms. Stipp will serve as a Class III director with an initial term expiring at the Company’s 2019 annual meeting and will be included in the Company’s slate of director nominees for election at the 2019 annual meeting.</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25, 2019, William Dries, a Class III member of the Board, informed the Board that he will retire from the Board, not stand for reelection and will resign as a member of the Board effective as of immediately prior to the commencement of the 2019 annual meeting of stockholders of the Company (the “</w:t>
      </w:r>
      <w:r>
        <w:rPr>
          <w:rFonts w:ascii="Arial" w:cs="Arial" w:eastAsia="Arial" w:hAnsi="Arial"/>
          <w:sz w:val="18"/>
          <w:szCs w:val="18"/>
          <w:u w:val="single" w:color="auto"/>
          <w:color w:val="auto"/>
        </w:rPr>
        <w:t>Retirement Effective Time</w:t>
      </w:r>
      <w:r>
        <w:rPr>
          <w:rFonts w:ascii="Arial" w:cs="Arial" w:eastAsia="Arial" w:hAnsi="Arial"/>
          <w:sz w:val="18"/>
          <w:szCs w:val="18"/>
          <w:color w:val="auto"/>
        </w:rPr>
        <w:t>”). Upon his retirement, the size of the Board will be automatically reduced from 9 members to 8 members as described further below under Item 5.02</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Cooperation Agreement, the Company has agreed to use its reasonable best efforts to obtain stockholder approval of a charter amendment to eliminate the classification of the Board over a two-year period so that beginning at the 2021 annual meeting all directors will be elected for a one-year term.</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Cooperation Agreement requires Legion Partners to, at the Company’s 2019 annual meeting and at any meeting of the Company’s stockholders held prior to the date of termination of the Standstill Period (as defined below), vote all of its shares of the Company’s common stock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both Institutional Shareholder Services Inc. and Glass Lewis &amp; Co., LLC.</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Cooperation Agreement, among other things, contains certain customary standstill restrictions that apply to Legion during the period from February 25, 2019 until the date that is 15 calendar days prior to the last day of the advance notice period for the submission by shareholders of director nominations for the Company’s 2020 annual meeting, as set forth in the advance notice provisions of the Company’s Amended and Restated Bylaws (the “</w:t>
      </w:r>
      <w:r>
        <w:rPr>
          <w:rFonts w:ascii="Arial" w:cs="Arial" w:eastAsia="Arial" w:hAnsi="Arial"/>
          <w:sz w:val="17"/>
          <w:szCs w:val="17"/>
          <w:u w:val="single" w:color="auto"/>
          <w:color w:val="auto"/>
        </w:rPr>
        <w:t>Standstill Period</w:t>
      </w:r>
      <w:r>
        <w:rPr>
          <w:rFonts w:ascii="Arial" w:cs="Arial" w:eastAsia="Arial" w:hAnsi="Arial"/>
          <w:sz w:val="17"/>
          <w:szCs w:val="17"/>
          <w:color w:val="auto"/>
        </w:rPr>
        <w:t>”). During the Standstill Period, Legion Partners is, among other things, restricted from engaging in any solicitation of proxies or written consents relating to the Company, acquiring any assets of the Company, or acquiring any voting stock that would result in Legion Partners having beneficial ownership of more than 9.9% of the Company’s outstanding common stock.</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Cooperation Agreement is filed with this Current Report on Form 8-K as Exhibit 10.1 and is incorporated by reference herein. The foregoing description of the Cooperation Agreement is qualified in its entirety by reference to the full text thereof.</w:t>
      </w:r>
    </w:p>
    <w:p>
      <w:pPr>
        <w:spacing w:after="0" w:line="27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5.02.</w:t>
      </w:r>
    </w:p>
    <w:p>
      <w:pPr>
        <w:sectPr>
          <w:pgSz w:w="11900" w:h="16838" w:orient="portrait"/>
          <w:cols w:equalWidth="0" w:num="1">
            <w:col w:w="11020"/>
          </w:cols>
          <w:pgMar w:left="440" w:top="270" w:right="439" w:bottom="1440" w:gutter="0" w:footer="0" w:header="0"/>
        </w:sectPr>
      </w:pPr>
    </w:p>
    <w:bookmarkStart w:id="2" w:name="page3"/>
    <w:bookmarkEnd w:id="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described in Item 1.01, the size of the Board has been increased from 7 to 9 directors, and Ms. Harman and Ms. Stipp have been appointed to the Board. The committee assignments for Ms. Harman and Ms. Stipp have not yet been determined.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Ms. Harman and Ms. Stipp will be compensated on the same basis as all other non-management directors of the Company, as described under “Compensation of Directors” in the Company’s Proxy Statement for its 2018 Annual Meeting of Stockholders filed with the Securities and Exchange Commission on April 6, 2018.</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Ms. Harman and Ms. Stipp will receive a pro rata share of the annual director compensation for the 2019 calendar year. Ms. Harman and Ms. Stipp will enter into an indemnification agreement with the Company, in the form previously entered into by the Company with its current directors, a copy of which was listed as Exhibit 10.3 to the Company’s Annual Report on Form 10-K for the fiscal year ended December 31, 2017.</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family relationships exist between Ms. Harman or Ms. Stipp and any of the Company’s other directors or executive officers. Other than as described under Item 1.01, there are no arrangements or understandings pursuant to which Ms. Harman or Ms. Stipp was appointed as a director, and there are no related party transactions between the Company and Ms. Harman or Ms. Stipp reportable under Item 404(a) of Regulation S-K.</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noted in Item 1.01, on February 25, 2019, William Dries, a Class III member of the Board, informed the Board that he will retire from, and resign as a member of, the Board as of the Retirement Effective Time. In connection therewith, the Company will decrease, as of the Retirement Effective Time, the size of the Board from 9 to 8 and the number of Class III members from 3 to 2. Mr. Dries currently serves as the Chairman of the Audit Committee of the Board and as a member of the Compensation Committee of the Board. Having served as a director of the Company since 2014, Mr. Dries elected to step down from the Board voluntarily for personal reasons. Accordingly, Mr. Dries’ decision to retire was not the result of any disagreement with management, the Company or its operations, policies or practices.</w:t>
      </w:r>
    </w:p>
    <w:p>
      <w:pPr>
        <w:spacing w:after="0" w:line="33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On February 26, 2019, the Company issued a press release announcing the execution of the Cooperation Agreement and the appointments of Ms. Harman and Ms. Stipp. A copy of this press release is included as Exhibit 99.1 to this Current Report on Form 8-K.</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26, 2019, the Company issued a press release announcing the retirement of Mr. Dries. A copy of this press release is included as Exhibit 99.2 to this Current Report on Form 8-K.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ectPr>
          <w:pgSz w:w="11900" w:h="16838" w:orient="portrait"/>
          <w:cols w:equalWidth="0" w:num="1">
            <w:col w:w="10940"/>
          </w:cols>
          <w:pgMar w:left="440" w:top="274" w:right="51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tab/>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jc w:val="center"/>
              <w:ind w:right="654"/>
              <w:spacing w:after="0"/>
              <w:rPr>
                <w:sz w:val="20"/>
                <w:szCs w:val="20"/>
                <w:color w:val="auto"/>
              </w:rPr>
            </w:pPr>
            <w:r>
              <w:rPr>
                <w:rFonts w:ascii="Arial" w:cs="Arial" w:eastAsia="Arial" w:hAnsi="Arial"/>
                <w:sz w:val="14"/>
                <w:szCs w:val="14"/>
                <w:b w:val="1"/>
                <w:bCs w:val="1"/>
                <w:color w:val="auto"/>
                <w:w w:val="98"/>
              </w:rPr>
              <w:t>Exhibit No.</w:t>
            </w:r>
          </w:p>
        </w:tc>
        <w:tc>
          <w:tcPr>
            <w:tcW w:w="3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94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460" w:type="dxa"/>
            <w:vAlign w:val="bottom"/>
          </w:tcPr>
          <w:p>
            <w:pPr>
              <w:jc w:val="center"/>
              <w:ind w:right="654"/>
              <w:spacing w:after="0"/>
              <w:rPr>
                <w:sz w:val="20"/>
                <w:szCs w:val="20"/>
                <w:color w:val="auto"/>
              </w:rPr>
            </w:pPr>
            <w:r>
              <w:rPr>
                <w:rFonts w:ascii="Arial" w:cs="Arial" w:eastAsia="Arial" w:hAnsi="Arial"/>
                <w:sz w:val="18"/>
                <w:szCs w:val="18"/>
                <w:color w:val="auto"/>
                <w:w w:val="91"/>
              </w:rPr>
              <w:t>10.1</w:t>
            </w:r>
          </w:p>
        </w:tc>
        <w:tc>
          <w:tcPr>
            <w:tcW w:w="90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Cooperation Agreement, dated February 25, 2019, among NN, Inc., Legion Partners Asset Management LLC, and each of the</w:t>
              </w:r>
            </w:hyperlink>
          </w:p>
        </w:tc>
      </w:tr>
      <w:tr>
        <w:trPr>
          <w:trHeight w:val="196"/>
        </w:trPr>
        <w:tc>
          <w:tcPr>
            <w:tcW w:w="1460" w:type="dxa"/>
            <w:vAlign w:val="bottom"/>
          </w:tcPr>
          <w:p>
            <w:pPr>
              <w:spacing w:after="0"/>
              <w:rPr>
                <w:sz w:val="17"/>
                <w:szCs w:val="17"/>
                <w:color w:val="auto"/>
              </w:rPr>
            </w:pPr>
          </w:p>
        </w:tc>
        <w:tc>
          <w:tcPr>
            <w:tcW w:w="31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persons listed on the signature page thereto</w:t>
              </w:r>
            </w:hyperlink>
          </w:p>
        </w:tc>
        <w:tc>
          <w:tcPr>
            <w:tcW w:w="5940" w:type="dxa"/>
            <w:vAlign w:val="bottom"/>
            <w:gridSpan w:val="2"/>
          </w:tcPr>
          <w:p>
            <w:pPr>
              <w:spacing w:after="0"/>
              <w:rPr>
                <w:sz w:val="17"/>
                <w:szCs w:val="17"/>
                <w:color w:val="auto"/>
              </w:rPr>
            </w:pPr>
          </w:p>
        </w:tc>
      </w:tr>
      <w:tr>
        <w:trPr>
          <w:trHeight w:val="304"/>
        </w:trPr>
        <w:tc>
          <w:tcPr>
            <w:tcW w:w="1460" w:type="dxa"/>
            <w:vAlign w:val="bottom"/>
          </w:tcPr>
          <w:p>
            <w:pPr>
              <w:jc w:val="center"/>
              <w:ind w:right="654"/>
              <w:spacing w:after="0"/>
              <w:rPr>
                <w:sz w:val="20"/>
                <w:szCs w:val="20"/>
                <w:color w:val="auto"/>
              </w:rPr>
            </w:pPr>
            <w:r>
              <w:rPr>
                <w:rFonts w:ascii="Arial" w:cs="Arial" w:eastAsia="Arial" w:hAnsi="Arial"/>
                <w:sz w:val="18"/>
                <w:szCs w:val="18"/>
                <w:color w:val="auto"/>
                <w:w w:val="91"/>
              </w:rPr>
              <w:t>99.1</w:t>
            </w:r>
          </w:p>
        </w:tc>
        <w:tc>
          <w:tcPr>
            <w:tcW w:w="90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Press release issued by NN, Inc. dated February 26, 2019</w:t>
              </w:r>
            </w:hyperlink>
          </w:p>
        </w:tc>
      </w:tr>
      <w:tr>
        <w:trPr>
          <w:trHeight w:val="20"/>
        </w:trPr>
        <w:tc>
          <w:tcPr>
            <w:tcW w:w="146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04"/>
        </w:trPr>
        <w:tc>
          <w:tcPr>
            <w:tcW w:w="1460" w:type="dxa"/>
            <w:vAlign w:val="bottom"/>
          </w:tcPr>
          <w:p>
            <w:pPr>
              <w:jc w:val="center"/>
              <w:ind w:right="654"/>
              <w:spacing w:after="0"/>
              <w:rPr>
                <w:sz w:val="20"/>
                <w:szCs w:val="20"/>
                <w:color w:val="auto"/>
              </w:rPr>
            </w:pPr>
            <w:r>
              <w:rPr>
                <w:rFonts w:ascii="Arial" w:cs="Arial" w:eastAsia="Arial" w:hAnsi="Arial"/>
                <w:sz w:val="18"/>
                <w:szCs w:val="18"/>
                <w:color w:val="auto"/>
                <w:w w:val="91"/>
              </w:rPr>
              <w:t>99.2</w:t>
            </w:r>
          </w:p>
        </w:tc>
        <w:tc>
          <w:tcPr>
            <w:tcW w:w="906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Press release issued by NN, Inc. dated February 26, 2019</w:t>
              </w:r>
            </w:hyperlink>
          </w:p>
        </w:tc>
      </w:tr>
      <w:tr>
        <w:trPr>
          <w:trHeight w:val="20"/>
        </w:trPr>
        <w:tc>
          <w:tcPr>
            <w:tcW w:w="146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ectPr>
          <w:pgSz w:w="11900" w:h="16838" w:orient="portrait"/>
          <w:cols w:equalWidth="0" w:num="1">
            <w:col w:w="10520"/>
          </w:cols>
          <w:pgMar w:left="440" w:top="270" w:right="9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ind w:right="500" w:firstLine="441"/>
        <w:spacing w:after="0" w:line="279" w:lineRule="auto"/>
        <w:rPr>
          <w:sz w:val="20"/>
          <w:szCs w:val="20"/>
          <w:color w:val="auto"/>
        </w:rPr>
      </w:pPr>
      <w:r>
        <w:rPr>
          <w:rFonts w:ascii="Arial" w:cs="Arial" w:eastAsia="Arial" w:hAnsi="Arial"/>
          <w:sz w:val="17"/>
          <w:szCs w:val="17"/>
          <w:color w:val="auto"/>
        </w:rPr>
        <w:t>This COOPERATION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February 25, 2019 is made and entered into by NN,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LEGION PARTNERS ASSET MANAGEMENT, LLC, a Delaware limited liability company, (together with its Affiliates “</w:t>
      </w:r>
      <w:r>
        <w:rPr>
          <w:rFonts w:ascii="Arial" w:cs="Arial" w:eastAsia="Arial" w:hAnsi="Arial"/>
          <w:sz w:val="17"/>
          <w:szCs w:val="17"/>
          <w:u w:val="single" w:color="auto"/>
          <w:color w:val="auto"/>
        </w:rPr>
        <w:t>Legion Partners</w:t>
      </w:r>
      <w:r>
        <w:rPr>
          <w:rFonts w:ascii="Arial" w:cs="Arial" w:eastAsia="Arial" w:hAnsi="Arial"/>
          <w:sz w:val="17"/>
          <w:szCs w:val="17"/>
          <w:color w:val="auto"/>
        </w:rPr>
        <w:t>”) and each of the other persons listed on the signature page to this Agreement (collectively with Legion Partners and together with any other Affiliates of Legion Partners, the “</w:t>
      </w:r>
      <w:r>
        <w:rPr>
          <w:rFonts w:ascii="Arial" w:cs="Arial" w:eastAsia="Arial" w:hAnsi="Arial"/>
          <w:sz w:val="17"/>
          <w:szCs w:val="17"/>
          <w:u w:val="single" w:color="auto"/>
          <w:color w:val="auto"/>
        </w:rPr>
        <w:t>Investor Group</w:t>
      </w:r>
      <w:r>
        <w:rPr>
          <w:rFonts w:ascii="Arial" w:cs="Arial" w:eastAsia="Arial" w:hAnsi="Arial"/>
          <w:sz w:val="17"/>
          <w:szCs w:val="17"/>
          <w:color w:val="auto"/>
        </w:rPr>
        <w:t>” and each individually, an “</w:t>
      </w:r>
      <w:r>
        <w:rPr>
          <w:rFonts w:ascii="Arial" w:cs="Arial" w:eastAsia="Arial" w:hAnsi="Arial"/>
          <w:sz w:val="17"/>
          <w:szCs w:val="17"/>
          <w:u w:val="single" w:color="auto"/>
          <w:color w:val="auto"/>
        </w:rPr>
        <w:t>Investor</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and the Investor Group have engaged in discussions regarding the Company;</w:t>
      </w:r>
    </w:p>
    <w:p>
      <w:pPr>
        <w:spacing w:after="0" w:line="225"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WHEREAS, as of the date of this Agreement, the Investor Group beneficially owns shares of the common stock of the Company,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totaling, in the aggregate, 3,378,631 shares or approximately 8.0% of the Common Stock, outstanding as of the date of this Agreement;</w:t>
      </w:r>
    </w:p>
    <w:p>
      <w:pPr>
        <w:spacing w:after="0" w:line="18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WHEREAS, William Dries, a Class III member of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has informed the Board that he will retire from the Board, will not stand for re-election as a Class III member of the Board at the 2019 annual meeting of stockholders of the Company (the “</w:t>
      </w:r>
      <w:r>
        <w:rPr>
          <w:rFonts w:ascii="Arial" w:cs="Arial" w:eastAsia="Arial" w:hAnsi="Arial"/>
          <w:sz w:val="17"/>
          <w:szCs w:val="17"/>
          <w:u w:val="single" w:color="auto"/>
          <w:color w:val="auto"/>
        </w:rPr>
        <w:t>2019</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Annual Meeting</w:t>
      </w:r>
      <w:r>
        <w:rPr>
          <w:rFonts w:ascii="Arial" w:cs="Arial" w:eastAsia="Arial" w:hAnsi="Arial"/>
          <w:sz w:val="17"/>
          <w:szCs w:val="17"/>
          <w:color w:val="auto"/>
        </w:rPr>
        <w:t>”) and has tendered his resignation to be effective immediately prior to the commencement of the 2019 Annual Meeting;</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WHEREAS, the Company and the Investor Group believe that the best interests of the Company and its stockholders (including the Investor Group) would be served at this time by, among other things, agreeing to appoint, subject to the terms and conditions of this Agreement, Jeri Harman to serve as a Class I member of the Board (the “</w:t>
      </w:r>
      <w:r>
        <w:rPr>
          <w:rFonts w:ascii="Arial" w:cs="Arial" w:eastAsia="Arial" w:hAnsi="Arial"/>
          <w:sz w:val="18"/>
          <w:szCs w:val="18"/>
          <w:u w:val="single" w:color="auto"/>
          <w:color w:val="auto"/>
        </w:rPr>
        <w:t>Class I Designee</w:t>
      </w:r>
      <w:r>
        <w:rPr>
          <w:rFonts w:ascii="Arial" w:cs="Arial" w:eastAsia="Arial" w:hAnsi="Arial"/>
          <w:sz w:val="18"/>
          <w:szCs w:val="18"/>
          <w:color w:val="auto"/>
        </w:rPr>
        <w:t>”) and Janice Stipp to serve as a Class III member of the Board (the “</w:t>
      </w:r>
      <w:r>
        <w:rPr>
          <w:rFonts w:ascii="Arial" w:cs="Arial" w:eastAsia="Arial" w:hAnsi="Arial"/>
          <w:sz w:val="18"/>
          <w:szCs w:val="18"/>
          <w:u w:val="single" w:color="auto"/>
          <w:color w:val="auto"/>
        </w:rPr>
        <w:t>Class III Designee</w:t>
      </w:r>
      <w:r>
        <w:rPr>
          <w:rFonts w:ascii="Arial" w:cs="Arial" w:eastAsia="Arial" w:hAnsi="Arial"/>
          <w:sz w:val="18"/>
          <w:szCs w:val="18"/>
          <w:color w:val="auto"/>
        </w:rPr>
        <w:t>”) (collectively, the “</w:t>
      </w:r>
      <w:r>
        <w:rPr>
          <w:rFonts w:ascii="Arial" w:cs="Arial" w:eastAsia="Arial" w:hAnsi="Arial"/>
          <w:sz w:val="18"/>
          <w:szCs w:val="18"/>
          <w:u w:val="single" w:color="auto"/>
          <w:color w:val="auto"/>
        </w:rPr>
        <w:t>New Directors</w:t>
      </w:r>
      <w:r>
        <w:rPr>
          <w:rFonts w:ascii="Arial" w:cs="Arial" w:eastAsia="Arial" w:hAnsi="Arial"/>
          <w:sz w:val="18"/>
          <w:szCs w:val="18"/>
          <w:color w:val="auto"/>
        </w:rPr>
        <w:t>” and each, a “</w:t>
      </w:r>
      <w:r>
        <w:rPr>
          <w:rFonts w:ascii="Arial" w:cs="Arial" w:eastAsia="Arial" w:hAnsi="Arial"/>
          <w:sz w:val="18"/>
          <w:szCs w:val="18"/>
          <w:u w:val="single" w:color="auto"/>
          <w:color w:val="auto"/>
        </w:rPr>
        <w:t>New Director</w:t>
      </w:r>
      <w:r>
        <w:rPr>
          <w:rFonts w:ascii="Arial" w:cs="Arial" w:eastAsia="Arial" w:hAnsi="Arial"/>
          <w:sz w:val="18"/>
          <w:szCs w:val="18"/>
          <w:color w:val="auto"/>
        </w:rPr>
        <w:t>”), and by the Company and the Investor Group agreeing to the other covenants and agreements contained herein.</w:t>
      </w:r>
    </w:p>
    <w:p>
      <w:pPr>
        <w:spacing w:after="0" w:line="18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NOW, THEREFORE, in consideration of the foregoing premises and the mutual covenants and agreements contained in this Agreement, and for other good and valuable consideration, the receipt and sufficiency of which are acknowledged, the parties to this Agreement, intending to be legally bound by this Agreement, agree as follows:</w:t>
      </w:r>
    </w:p>
    <w:p>
      <w:pPr>
        <w:spacing w:after="0" w:line="285"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Matters; Board Nominations; Board Policies and Procedures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40" w:firstLine="885"/>
        <w:spacing w:after="0" w:line="255" w:lineRule="auto"/>
        <w:tabs>
          <w:tab w:leader="none" w:pos="1261"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 Matters</w:t>
      </w:r>
      <w:r>
        <w:rPr>
          <w:rFonts w:ascii="Arial" w:cs="Arial" w:eastAsia="Arial" w:hAnsi="Arial"/>
          <w:sz w:val="18"/>
          <w:szCs w:val="18"/>
          <w:color w:val="auto"/>
        </w:rPr>
        <w:t>. The Governance Committee of the Board (the “</w:t>
      </w:r>
      <w:r>
        <w:rPr>
          <w:rFonts w:ascii="Arial" w:cs="Arial" w:eastAsia="Arial" w:hAnsi="Arial"/>
          <w:sz w:val="18"/>
          <w:szCs w:val="18"/>
          <w:u w:val="single" w:color="auto"/>
          <w:color w:val="auto"/>
        </w:rPr>
        <w:t>Governance Committee</w:t>
      </w:r>
      <w:r>
        <w:rPr>
          <w:rFonts w:ascii="Arial" w:cs="Arial" w:eastAsia="Arial" w:hAnsi="Arial"/>
          <w:sz w:val="18"/>
          <w:szCs w:val="18"/>
          <w:color w:val="auto"/>
        </w:rPr>
        <w:t>”) has reviewed and approved the qualifications of each New Director to serve as a member of the Board. In reliance on the information provided to the Company by the Investor Group and each New Director, the Board has confirmed that each New Director is “independent” as defined by the applicable standards of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and by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foregoing, the Board has relied on information that each New Director has provided to the Company, including information required to be or customarily disclosed by directors or director candidates in proxy statements or other filings under applicable law or stock exchange rules or listing standards, information in connection with assessing eligibility, independence and other</w:t>
      </w:r>
    </w:p>
    <w:p>
      <w:pPr>
        <w:sectPr>
          <w:pgSz w:w="11900" w:h="16838" w:orient="portrait"/>
          <w:cols w:equalWidth="0" w:num="1">
            <w:col w:w="11020"/>
          </w:cols>
          <w:pgMar w:left="440" w:top="121" w:right="439" w:bottom="1440" w:gutter="0" w:footer="0" w:header="0"/>
        </w:sectPr>
      </w:pPr>
    </w:p>
    <w:bookmarkStart w:id="6" w:name="page7"/>
    <w:bookmarkEnd w:id="6"/>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 applicable to directors, and the Board has assumed that the director questionnaire and other customary director onboarding documentation provided by each New Director is or will be fully completed, true and accurate.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Concurrently with the effectiveness of this Agreement, the Board will take all necessary actions to increase the size of its membership by two</w:t>
      </w:r>
    </w:p>
    <w:p>
      <w:pPr>
        <w:spacing w:after="0" w:line="35" w:lineRule="exact"/>
        <w:rPr>
          <w:sz w:val="20"/>
          <w:szCs w:val="20"/>
          <w:color w:val="auto"/>
        </w:rPr>
      </w:pPr>
    </w:p>
    <w:p>
      <w:pPr>
        <w:ind w:firstLine="4"/>
        <w:spacing w:after="0" w:line="29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and appoint the Class III Designee as a Class III member of the Board with a term expiring at the 2019 Annual Meeting and the Class I Designee as a Class I member of the Board with a term expiring at the 2020 annual meeting of stockholders of the Company (the “</w:t>
      </w:r>
      <w:r>
        <w:rPr>
          <w:rFonts w:ascii="Arial" w:cs="Arial" w:eastAsia="Arial" w:hAnsi="Arial"/>
          <w:sz w:val="16"/>
          <w:szCs w:val="16"/>
          <w:u w:val="single" w:color="auto"/>
          <w:color w:val="auto"/>
        </w:rPr>
        <w:t>2020 Annual Meeting</w:t>
      </w:r>
      <w:r>
        <w:rPr>
          <w:rFonts w:ascii="Arial" w:cs="Arial" w:eastAsia="Arial" w:hAnsi="Arial"/>
          <w:sz w:val="16"/>
          <w:szCs w:val="16"/>
          <w:color w:val="auto"/>
        </w:rPr>
        <w:t xml:space="preserve">”). In addition, prior to the mailing of its definitive proxy statement for the 2019 Annual Meeting, the Board will take all necessary actions to nominate the Class III Designee (or any Replacement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as a candidate for election to the Board in place of William Dries at the 2019 Annual Meeting to serve until the expiration of such person’s elected term, or until such person’s earlier death, resignation, disqualification or removal.</w:t>
      </w:r>
    </w:p>
    <w:p>
      <w:pPr>
        <w:spacing w:after="0" w:line="163"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At the 2019 Annual Meeting, the Company agrees to recommend, support and solicit proxies for the election of the Class III Designee (or any Replacement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in the same manner as for other independent director candidates nominated by the Company at the 2019 Annual Meeting. The Company agrees that each New Director shall receive (i) the same compensation for service as a director as the compensation received by other non-management directors on the Board, and (ii) such other benefits on the same basis as all other non-management directors on the Board.</w:t>
      </w:r>
    </w:p>
    <w:p>
      <w:pPr>
        <w:spacing w:after="0" w:line="154" w:lineRule="exact"/>
        <w:rPr>
          <w:sz w:val="20"/>
          <w:szCs w:val="20"/>
          <w:color w:val="auto"/>
        </w:rPr>
      </w:pPr>
    </w:p>
    <w:p>
      <w:pPr>
        <w:ind w:right="60" w:firstLine="885"/>
        <w:spacing w:after="0" w:line="291" w:lineRule="auto"/>
        <w:tabs>
          <w:tab w:leader="none" w:pos="127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Board Policies and Procedures</w:t>
      </w:r>
      <w:r>
        <w:rPr>
          <w:rFonts w:ascii="Arial" w:cs="Arial" w:eastAsia="Arial" w:hAnsi="Arial"/>
          <w:sz w:val="16"/>
          <w:szCs w:val="16"/>
          <w:color w:val="auto"/>
        </w:rPr>
        <w:t>. Each party acknowledges that each New Director (and any Replacement), upon election to the Board, shall be governed by (i) all applicable laws and regulations, and (ii) all of the same policies, processes, procedures, codes, rules, standards and guidelines applicable to members of the Board and shall be required to strictly adhere to the policies on confidentiality imposed on all members of the Board. Each New Director (and any Replacement) shall be required to provide the Company with such information as reasonably requested from all members of the Board as is required to be disclosed under applicable law or stock exchange regulations, in each case as promptly as necessary to enable the timely filing of the Company’s proxy statement and other periodic reports with the SEC. The Board shall determine appropriate committee assignments for the New Directors taking into account the composition of the Board, committee assignments and needs of the committees.</w:t>
      </w:r>
    </w:p>
    <w:p>
      <w:pPr>
        <w:spacing w:after="0" w:line="167" w:lineRule="exact"/>
        <w:rPr>
          <w:rFonts w:ascii="Arial" w:cs="Arial" w:eastAsia="Arial" w:hAnsi="Arial"/>
          <w:sz w:val="16"/>
          <w:szCs w:val="16"/>
          <w:color w:val="auto"/>
        </w:rPr>
      </w:pPr>
    </w:p>
    <w:p>
      <w:pPr>
        <w:ind w:firstLine="885"/>
        <w:spacing w:after="0" w:line="271" w:lineRule="auto"/>
        <w:tabs>
          <w:tab w:leader="none" w:pos="1261"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Replacements</w:t>
      </w:r>
      <w:r>
        <w:rPr>
          <w:rFonts w:ascii="Arial" w:cs="Arial" w:eastAsia="Arial" w:hAnsi="Arial"/>
          <w:sz w:val="17"/>
          <w:szCs w:val="17"/>
          <w:color w:val="auto"/>
        </w:rPr>
        <w:t>. If, following the date of this Agreement and prior to the expiration of the Standstill Period, either of the New Directors is unable or unwilling to serve as an independent director of the Company for any reason (other than on account of failure of the Class III Designee to be elected at the 2019 Annual Meeting), the Company shall reasonably consult with Legion Partners in selecting a replacement director who qualifies as “independent” as defined by the applicable standards of Nasdaq and by the SEC to be appointed to the Board, and shall consider in good faith qualified candidates unaffiliated with (and independent of) Legion Partners who are proposed privately to the Company by Legion Partners (any director appointed as a replacement for either of the New Directors, a “</w:t>
      </w:r>
      <w:r>
        <w:rPr>
          <w:rFonts w:ascii="Arial" w:cs="Arial" w:eastAsia="Arial" w:hAnsi="Arial"/>
          <w:sz w:val="17"/>
          <w:szCs w:val="17"/>
          <w:u w:val="single" w:color="auto"/>
          <w:color w:val="auto"/>
        </w:rPr>
        <w:t>Replacement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obligations pursuant to this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shall terminate at such time as the Investor Group ceases to have beneficial ownership of at least the lesser of (i) 4.0% of the outstanding shares of Common Stock and (ii) 1,684,168 shares of Common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7" w:name="page8"/>
    <w:bookmarkEnd w:id="7"/>
    <w:p>
      <w:pPr>
        <w:ind w:firstLine="885"/>
        <w:spacing w:after="0" w:line="273" w:lineRule="auto"/>
        <w:tabs>
          <w:tab w:leader="none" w:pos="1271" w:val="left"/>
        </w:tabs>
        <w:numPr>
          <w:ilvl w:val="2"/>
          <w:numId w:val="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Size of Board</w:t>
      </w:r>
      <w:r>
        <w:rPr>
          <w:rFonts w:ascii="Arial" w:cs="Arial" w:eastAsia="Arial" w:hAnsi="Arial"/>
          <w:sz w:val="17"/>
          <w:szCs w:val="17"/>
          <w:color w:val="auto"/>
        </w:rPr>
        <w:t xml:space="preserve">. During the period commencing with the date of this Agreement through the date of the 2019 Annual Meeting, the Board shall not increase the size of the Board to more than nine (9) directors, and following the conclusion of the 2019 Annual Meeting until the expiration of the Standstill Period (as defined below), the Board shall not increase the size of the Board to more than eight (8) directors, in each case unless Legion Partners consents in writing to any proposal to increase the size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obligations pursuant to this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shall terminate at such time as the Investor Group ceases to have beneficial ownership of at least the lesser of (i) 4.0% of the outstanding shares of Common Stock and (ii) 1,684,168 shares of Common Stock.</w:t>
      </w:r>
    </w:p>
    <w:p>
      <w:pPr>
        <w:spacing w:after="0" w:line="174" w:lineRule="exact"/>
        <w:rPr>
          <w:rFonts w:ascii="Arial" w:cs="Arial" w:eastAsia="Arial" w:hAnsi="Arial"/>
          <w:sz w:val="17"/>
          <w:szCs w:val="17"/>
          <w:color w:val="auto"/>
        </w:rPr>
      </w:pPr>
    </w:p>
    <w:p>
      <w:pPr>
        <w:ind w:right="20" w:firstLine="444"/>
        <w:spacing w:after="0" w:line="289" w:lineRule="auto"/>
        <w:tabs>
          <w:tab w:leader="none" w:pos="756" w:val="left"/>
        </w:tabs>
        <w:numPr>
          <w:ilvl w:val="1"/>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Amendments to Certificate of Incorporation and Bylaws</w:t>
      </w:r>
      <w:r>
        <w:rPr>
          <w:rFonts w:ascii="Arial" w:cs="Arial" w:eastAsia="Arial" w:hAnsi="Arial"/>
          <w:sz w:val="16"/>
          <w:szCs w:val="16"/>
          <w:color w:val="auto"/>
        </w:rPr>
        <w:t>. At the time of the execution and delivery of this Agreement, the Board shall pass</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resolutions proposing amendments (and recommending that the stockholders of the Company vote in favor of such amendments at the Company’s 2019 Annual Meeting) to the Company’s Restated Certificate of Incorporation (as may be amended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and the Company’s Amended and Restated Bylaws (as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(such amendments,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as applicable, to eliminate Classes I, II and III of the Board so that the Board shall have no classification. The Company shall include the amendments to the Certificate of Incorporation in its proxy statement for the 2019 Annual Meeting (the “</w:t>
      </w:r>
      <w:r>
        <w:rPr>
          <w:rFonts w:ascii="Arial" w:cs="Arial" w:eastAsia="Arial" w:hAnsi="Arial"/>
          <w:sz w:val="16"/>
          <w:szCs w:val="16"/>
          <w:u w:val="single" w:color="auto"/>
          <w:color w:val="auto"/>
        </w:rPr>
        <w:t>Declassification Proposal</w:t>
      </w:r>
      <w:r>
        <w:rPr>
          <w:rFonts w:ascii="Arial" w:cs="Arial" w:eastAsia="Arial" w:hAnsi="Arial"/>
          <w:sz w:val="16"/>
          <w:szCs w:val="16"/>
          <w:color w:val="auto"/>
        </w:rPr>
        <w:t>”), and shall use its reasonable best efforts to cause the Declassification Proposal to be adopted by the stockholders of the Company by the appropriate vote. All directors and executive officers of the Company and each Investor agrees to vote all shares beneficially owned by them or over which they have voting control in favor of the Declassification Proposal. For the avoidance of doubt, in the event the Declassification Proposal is approved by the stockholders of the Company, the Board will make conforming changes to the Bylaws and the members of the Board will be elected for a one-year term.</w:t>
      </w:r>
    </w:p>
    <w:p>
      <w:pPr>
        <w:spacing w:after="0" w:line="161" w:lineRule="exact"/>
        <w:rPr>
          <w:rFonts w:ascii="Arial" w:cs="Arial" w:eastAsia="Arial" w:hAnsi="Arial"/>
          <w:sz w:val="16"/>
          <w:szCs w:val="16"/>
          <w:color w:val="auto"/>
        </w:rPr>
      </w:pPr>
    </w:p>
    <w:p>
      <w:pPr>
        <w:ind w:left="760" w:hanging="316"/>
        <w:spacing w:after="0"/>
        <w:tabs>
          <w:tab w:leader="none" w:pos="760" w:val="left"/>
        </w:tabs>
        <w:numPr>
          <w:ilvl w:val="1"/>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w:t>
      </w:r>
      <w:r>
        <w:rPr>
          <w:rFonts w:ascii="Arial" w:cs="Arial" w:eastAsia="Arial" w:hAnsi="Arial"/>
          <w:sz w:val="16"/>
          <w:szCs w:val="16"/>
          <w:color w:val="auto"/>
        </w:rPr>
        <w:t>. At each annual and special meeting of shareholders held prior to the expiration of the Standstill Period, each of the Investors agrees to</w:t>
      </w:r>
    </w:p>
    <w:p>
      <w:pPr>
        <w:spacing w:after="0" w:line="50" w:lineRule="exact"/>
        <w:rPr>
          <w:rFonts w:ascii="Arial" w:cs="Arial" w:eastAsia="Arial" w:hAnsi="Arial"/>
          <w:sz w:val="16"/>
          <w:szCs w:val="16"/>
          <w:color w:val="auto"/>
        </w:rPr>
      </w:pPr>
    </w:p>
    <w:p>
      <w:pPr>
        <w:ind w:right="20" w:firstLine="4"/>
        <w:spacing w:after="0" w:line="268"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appear at such stockholders’ meeting or otherwise cause all shares of Common Stock beneficially owned by each Investor and their respective Affiliates to be counted as present for purposes of establishing a quorum, (ii) vote, or cause to be voted, all shares of Common Stock beneficially owned by each Investor and their respective Affiliates on the Company’s proxy card or voting instruction form (a) in favor of each of the directors nominated by the Board and recommended by the Board in the election of directors, (b) against any other nominees to serve on the Board that have not been recommended by the Board and (c) with respect to all other matters other than an Extraordinary Matter (as defined below), in accordance with the Board’s recommendations as identified in the Company’s proxy statement, including in favor of all other matters recommended for stockholder approval by the Board, and (iii) not execute any proxy card or voting instruction form in respect of such stockholders’ meeting other than the proxy card and related voting instruction form being solicited by or on behalf of the Board (such proxy card and/or form, the “</w:t>
      </w:r>
      <w:r>
        <w:rPr>
          <w:rFonts w:ascii="Arial" w:cs="Arial" w:eastAsia="Arial" w:hAnsi="Arial"/>
          <w:sz w:val="17"/>
          <w:szCs w:val="17"/>
          <w:u w:val="single" w:color="auto"/>
          <w:color w:val="auto"/>
        </w:rPr>
        <w:t>Company’s card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both Institutional Shareholders Services Inc. (“</w:t>
      </w:r>
      <w:r>
        <w:rPr>
          <w:rFonts w:ascii="Arial" w:cs="Arial" w:eastAsia="Arial" w:hAnsi="Arial"/>
          <w:sz w:val="17"/>
          <w:szCs w:val="17"/>
          <w:u w:val="single" w:color="auto"/>
          <w:color w:val="auto"/>
        </w:rPr>
        <w:t>ISS</w:t>
      </w:r>
      <w:r>
        <w:rPr>
          <w:rFonts w:ascii="Arial" w:cs="Arial" w:eastAsia="Arial" w:hAnsi="Arial"/>
          <w:sz w:val="17"/>
          <w:szCs w:val="17"/>
          <w:color w:val="auto"/>
        </w:rPr>
        <w:t>”) and Glass Lewis &amp; Co., LLC (“</w:t>
      </w:r>
      <w:r>
        <w:rPr>
          <w:rFonts w:ascii="Arial" w:cs="Arial" w:eastAsia="Arial" w:hAnsi="Arial"/>
          <w:sz w:val="17"/>
          <w:szCs w:val="17"/>
          <w:u w:val="single" w:color="auto"/>
          <w:color w:val="auto"/>
        </w:rPr>
        <w:t>Glass Lewis</w:t>
      </w:r>
      <w:r>
        <w:rPr>
          <w:rFonts w:ascii="Arial" w:cs="Arial" w:eastAsia="Arial" w:hAnsi="Arial"/>
          <w:sz w:val="17"/>
          <w:szCs w:val="17"/>
          <w:color w:val="auto"/>
        </w:rPr>
        <w:t>”) recommend otherwise with respect to any proposal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than the election of directors), each of the Investors shall have the right to vote on the Company’s card in accordance with the recommendation of ISS and Glass Lewis with respect to such proposal so long as no Investor publicly discloses such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Extraordinary Matter, each of the Investors shall have the ability to vote freely on the Company’s card.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an “</w:t>
      </w:r>
      <w:r>
        <w:rPr>
          <w:rFonts w:ascii="Arial" w:cs="Arial" w:eastAsia="Arial" w:hAnsi="Arial"/>
          <w:sz w:val="18"/>
          <w:szCs w:val="18"/>
          <w:u w:val="single" w:color="auto"/>
          <w:color w:val="auto"/>
        </w:rPr>
        <w:t>Extraordinary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Matter</w:t>
      </w:r>
      <w:r>
        <w:rPr>
          <w:rFonts w:ascii="Arial" w:cs="Arial" w:eastAsia="Arial" w:hAnsi="Arial"/>
          <w:sz w:val="18"/>
          <w:szCs w:val="18"/>
          <w:color w:val="auto"/>
        </w:rPr>
        <w:t>” means, with respect to the Company: (i) any merger, acquisition, recapitalization, restructuring, financing, disposition, distribution, spin-off, sale or transfer of all or substantially all of the Company’s or any of its Affiliates’ assets in one or a series of transactions, joint venture or other business combination of the Company or any of its Affiliates with a third party and (ii) any implementation of takeover defenses not in existence as of the date of this Agreement by the Company.</w:t>
      </w:r>
    </w:p>
    <w:p>
      <w:pPr>
        <w:spacing w:after="0" w:line="293" w:lineRule="exact"/>
        <w:rPr>
          <w:sz w:val="20"/>
          <w:szCs w:val="20"/>
          <w:color w:val="auto"/>
        </w:rPr>
      </w:pPr>
    </w:p>
    <w:p>
      <w:pPr>
        <w:ind w:left="760" w:hanging="31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Standstill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right="260" w:firstLine="885"/>
        <w:spacing w:after="0" w:line="264" w:lineRule="auto"/>
        <w:tabs>
          <w:tab w:leader="none" w:pos="1261" w:val="left"/>
        </w:tabs>
        <w:numPr>
          <w:ilvl w:val="1"/>
          <w:numId w:val="8"/>
        </w:numPr>
        <w:rPr>
          <w:rFonts w:ascii="Arial" w:cs="Arial" w:eastAsia="Arial" w:hAnsi="Arial"/>
          <w:sz w:val="18"/>
          <w:szCs w:val="18"/>
          <w:color w:val="auto"/>
        </w:rPr>
      </w:pPr>
      <w:r>
        <w:rPr>
          <w:rFonts w:ascii="Arial" w:cs="Arial" w:eastAsia="Arial" w:hAnsi="Arial"/>
          <w:sz w:val="18"/>
          <w:szCs w:val="18"/>
          <w:color w:val="auto"/>
        </w:rPr>
        <w:t>From the date of this Agreement until the expiration of the Standstill Period, each Investor shall not, and shall cause their respective Affiliates, principals, directors, general partners, officers, employees and, to the extent acting on their behalf, agents and representatives (collectively, the “</w:t>
      </w:r>
      <w:r>
        <w:rPr>
          <w:rFonts w:ascii="Arial" w:cs="Arial" w:eastAsia="Arial" w:hAnsi="Arial"/>
          <w:sz w:val="18"/>
          <w:szCs w:val="18"/>
          <w:u w:val="single" w:color="auto"/>
          <w:color w:val="auto"/>
        </w:rPr>
        <w:t>Related Persons</w:t>
      </w:r>
      <w:r>
        <w:rPr>
          <w:rFonts w:ascii="Arial" w:cs="Arial" w:eastAsia="Arial" w:hAnsi="Arial"/>
          <w:sz w:val="18"/>
          <w:szCs w:val="18"/>
          <w:color w:val="auto"/>
        </w:rPr>
        <w:t>”) not to, directly or indirectly:</w:t>
      </w:r>
    </w:p>
    <w:p>
      <w:pPr>
        <w:spacing w:after="0" w:line="73" w:lineRule="exact"/>
        <w:rPr>
          <w:rFonts w:ascii="Arial" w:cs="Arial" w:eastAsia="Arial" w:hAnsi="Arial"/>
          <w:sz w:val="18"/>
          <w:szCs w:val="18"/>
          <w:color w:val="auto"/>
        </w:rPr>
      </w:pPr>
    </w:p>
    <w:p>
      <w:pPr>
        <w:ind w:left="440" w:right="120" w:firstLine="851"/>
        <w:spacing w:after="0" w:line="255" w:lineRule="auto"/>
        <w:tabs>
          <w:tab w:leader="none" w:pos="1636"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make any announcement or proposal with respect to, or offer, seek, propose, or indicate an interest in (A) any form of business combination or acquisition or other transaction relating to assets or securities of the Company or any of its subsidiaries, (B) any form of restructuring, recapitalization or similar transaction with respect to the Company or any of its subsidiaries, or (C) any form of tender or exchange offer for the Common Stock, whether or not such transaction involves a Change of Control (as defined below) of the Company (it being understood that the foregoing shall not prohibit Investors or their Affiliates from acquiring Common Stock within the limitations set forth in </w:t>
      </w:r>
      <w:r>
        <w:rPr>
          <w:rFonts w:ascii="Arial" w:cs="Arial" w:eastAsia="Arial" w:hAnsi="Arial"/>
          <w:sz w:val="18"/>
          <w:szCs w:val="18"/>
          <w:u w:val="single" w:color="auto"/>
          <w:color w:val="auto"/>
        </w:rPr>
        <w:t>Section 4(a)(iii)</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40" w:firstLine="851"/>
        <w:spacing w:after="0" w:line="255" w:lineRule="auto"/>
        <w:tabs>
          <w:tab w:leader="none" w:pos="1686" w:val="left"/>
        </w:tabs>
        <w:numPr>
          <w:ilvl w:val="2"/>
          <w:numId w:val="8"/>
        </w:numPr>
        <w:rPr>
          <w:rFonts w:ascii="Arial" w:cs="Arial" w:eastAsia="Arial" w:hAnsi="Arial"/>
          <w:sz w:val="18"/>
          <w:szCs w:val="18"/>
          <w:color w:val="auto"/>
        </w:rPr>
      </w:pPr>
      <w:r>
        <w:rPr>
          <w:rFonts w:ascii="Arial" w:cs="Arial" w:eastAsia="Arial" w:hAnsi="Arial"/>
          <w:sz w:val="18"/>
          <w:szCs w:val="18"/>
          <w:color w:val="auto"/>
        </w:rPr>
        <w:t>engage in any solicitation of proxies or written consents to vote (or withhold the vote of) any voting securities of the Company, or conduct any binding or nonbinding referendum with respect to any voting securities of the Company, or assist or participate in any other 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to vote (or withhold the vote of) any securities of the Company;</w:t>
      </w:r>
    </w:p>
    <w:p>
      <w:pPr>
        <w:spacing w:after="0" w:line="85" w:lineRule="exact"/>
        <w:rPr>
          <w:rFonts w:ascii="Arial" w:cs="Arial" w:eastAsia="Arial" w:hAnsi="Arial"/>
          <w:sz w:val="18"/>
          <w:szCs w:val="18"/>
          <w:color w:val="auto"/>
        </w:rPr>
      </w:pPr>
    </w:p>
    <w:p>
      <w:pPr>
        <w:ind w:left="440" w:right="40" w:firstLine="851"/>
        <w:spacing w:after="0" w:line="257" w:lineRule="auto"/>
        <w:tabs>
          <w:tab w:leader="none" w:pos="1736" w:val="left"/>
        </w:tabs>
        <w:numPr>
          <w:ilvl w:val="2"/>
          <w:numId w:val="8"/>
        </w:numPr>
        <w:rPr>
          <w:rFonts w:ascii="Arial" w:cs="Arial" w:eastAsia="Arial" w:hAnsi="Arial"/>
          <w:sz w:val="18"/>
          <w:szCs w:val="18"/>
          <w:color w:val="auto"/>
        </w:rPr>
      </w:pPr>
      <w:r>
        <w:rPr>
          <w:rFonts w:ascii="Arial" w:cs="Arial" w:eastAsia="Arial" w:hAnsi="Arial"/>
          <w:sz w:val="18"/>
          <w:szCs w:val="18"/>
          <w:color w:val="auto"/>
        </w:rPr>
        <w:t>purchase or otherwise acquire, or offer, seek, propose, or agree to acquire, ownership (including beneficial ownership as defined in Rule 13d-3 under the Exchange Act) of any securities of the Company, any direct or indirect rights or options to acquire any such securities, any derivative securities or contracts or instruments in any way related to the price of shares of Common Stock of the Company, or any assets or liabilities of the Company; provided that the Investor Group, in the aggregate, may acquire beneficial ownership of up to 9.9% of the outstanding shares of Common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 w:name="page10"/>
    <w:bookmarkEnd w:id="9"/>
    <w:p>
      <w:pPr>
        <w:ind w:right="60" w:firstLine="851"/>
        <w:spacing w:after="0" w:line="277" w:lineRule="auto"/>
        <w:tabs>
          <w:tab w:leader="none" w:pos="128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seek to advise, encourage, or influence any person with respect to the voting of (or execution of a written consent in respect of), acquisition of or disposition of any securities of the Company;</w:t>
      </w:r>
    </w:p>
    <w:p>
      <w:pPr>
        <w:spacing w:after="0" w:line="62" w:lineRule="exact"/>
        <w:rPr>
          <w:rFonts w:ascii="Arial" w:cs="Arial" w:eastAsia="Arial" w:hAnsi="Arial"/>
          <w:sz w:val="18"/>
          <w:szCs w:val="18"/>
          <w:color w:val="auto"/>
        </w:rPr>
      </w:pPr>
    </w:p>
    <w:p>
      <w:pPr>
        <w:ind w:right="300" w:firstLine="851"/>
        <w:spacing w:after="0" w:line="273"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 offer, or agree to sell, directly or indirectly, through swap or hedging transactions or otherwise, the securities of the Company or any rights decoupled from the underlying securities held by the Investor Group to any person or entity not (A) a party to this Agreement or (B) an Affiliate of the Investor Group (any person or entity not set forth in clauses (A) and (B) shall be referred to as a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that would knowingly result in such Third Party, together with its Affiliates, owning, controlling or otherwise having any, beneficial or other ownership interest representing in the aggregate in excess of 4.9% of the shares of Common Stock outstanding at such time (except for Schedule 13G filers that are mutual funds, pension funds or index funds with no known history of activism);</w:t>
      </w:r>
    </w:p>
    <w:p>
      <w:pPr>
        <w:spacing w:after="0" w:line="70" w:lineRule="exact"/>
        <w:rPr>
          <w:rFonts w:ascii="Arial" w:cs="Arial" w:eastAsia="Arial" w:hAnsi="Arial"/>
          <w:sz w:val="17"/>
          <w:szCs w:val="17"/>
          <w:color w:val="auto"/>
        </w:rPr>
      </w:pPr>
    </w:p>
    <w:p>
      <w:pPr>
        <w:ind w:right="40" w:firstLine="851"/>
        <w:spacing w:after="0" w:line="290" w:lineRule="auto"/>
        <w:tabs>
          <w:tab w:leader="none" w:pos="1286" w:val="left"/>
        </w:tabs>
        <w:numPr>
          <w:ilvl w:val="0"/>
          <w:numId w:val="9"/>
        </w:numPr>
        <w:rPr>
          <w:rFonts w:ascii="Arial" w:cs="Arial" w:eastAsia="Arial" w:hAnsi="Arial"/>
          <w:sz w:val="16"/>
          <w:szCs w:val="16"/>
          <w:color w:val="auto"/>
        </w:rPr>
      </w:pPr>
      <w:r>
        <w:rPr>
          <w:rFonts w:ascii="Arial" w:cs="Arial" w:eastAsia="Arial" w:hAnsi="Arial"/>
          <w:sz w:val="16"/>
          <w:szCs w:val="16"/>
          <w:color w:val="auto"/>
        </w:rPr>
        <w:t>take any action in support of or make any proposal or request that constitutes (or would constitute if taken): (A) advising, controlling, changing, or influencing the Board or management of the Company, including any plans or proposals to change the voting standard with respect to director elections, number or term of directors or to fill any vacancies on the Board, except as set forth in this Agreement, (B) any change in the capitalization, stock repurchase programs and practices, or dividend policy of the Company, (C) any other change in the Company’s management, business, or corporate structure, (D) seeking to have the Company waive or make amendments or modifications to the Certificate of Incorporation or Bylaws,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to Section 12(g)(4) of the Exchange Act;</w:t>
      </w:r>
    </w:p>
    <w:p>
      <w:pPr>
        <w:spacing w:after="0" w:line="58" w:lineRule="exact"/>
        <w:rPr>
          <w:rFonts w:ascii="Arial" w:cs="Arial" w:eastAsia="Arial" w:hAnsi="Arial"/>
          <w:sz w:val="16"/>
          <w:szCs w:val="16"/>
          <w:color w:val="auto"/>
        </w:rPr>
      </w:pPr>
    </w:p>
    <w:p>
      <w:pPr>
        <w:ind w:left="1340" w:hanging="489"/>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communicate with stockholders of the Company or others pursuant to Rule 14a-1(l)(2)(iv) under the Exchange Act;</w:t>
      </w:r>
    </w:p>
    <w:p>
      <w:pPr>
        <w:spacing w:after="0" w:line="117" w:lineRule="exact"/>
        <w:rPr>
          <w:rFonts w:ascii="Arial" w:cs="Arial" w:eastAsia="Arial" w:hAnsi="Arial"/>
          <w:sz w:val="18"/>
          <w:szCs w:val="18"/>
          <w:color w:val="auto"/>
        </w:rPr>
      </w:pPr>
    </w:p>
    <w:p>
      <w:pPr>
        <w:ind w:firstLine="851"/>
        <w:spacing w:after="0" w:line="264" w:lineRule="auto"/>
        <w:tabs>
          <w:tab w:leader="none" w:pos="1386"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any course of conduct with the purpose of causing stockholders of the Company to vote contrary to the recommendation of the Board on any matter presented to the Company’s stockholders for their vote at any meeting of the Company’s stockholders or by written consent;</w:t>
      </w:r>
    </w:p>
    <w:p>
      <w:pPr>
        <w:spacing w:after="0" w:line="73" w:lineRule="exact"/>
        <w:rPr>
          <w:rFonts w:ascii="Arial" w:cs="Arial" w:eastAsia="Arial" w:hAnsi="Arial"/>
          <w:sz w:val="18"/>
          <w:szCs w:val="18"/>
          <w:color w:val="auto"/>
        </w:rPr>
      </w:pPr>
    </w:p>
    <w:p>
      <w:pPr>
        <w:ind w:right="340" w:firstLine="851"/>
        <w:spacing w:after="0" w:line="277" w:lineRule="auto"/>
        <w:tabs>
          <w:tab w:leader="none" w:pos="1286"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call or seek to call, or request the call of, alone or in concert with others, any meeting of stockholders, whether or not such a meeting is permitted by the Certificate of Incorporation or Bylaws, including a “town hall meeting”;</w:t>
      </w:r>
    </w:p>
    <w:p>
      <w:pPr>
        <w:spacing w:after="0" w:line="62" w:lineRule="exact"/>
        <w:rPr>
          <w:rFonts w:ascii="Arial" w:cs="Arial" w:eastAsia="Arial" w:hAnsi="Arial"/>
          <w:sz w:val="18"/>
          <w:szCs w:val="18"/>
          <w:color w:val="auto"/>
        </w:rPr>
      </w:pPr>
    </w:p>
    <w:p>
      <w:pPr>
        <w:ind w:right="40" w:firstLine="851"/>
        <w:spacing w:after="0" w:line="264"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 any Common Stock in any voting trust or subject any Common Stock to any arrangement or agreement with respect to the voting of any Common Stock (other than any such voting trust, arrangement or agreement solely among the Investors or any Affiliates thereof that is otherwise in accordance with this Agreement);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0" w:name="page11"/>
    <w:bookmarkEnd w:id="10"/>
    <w:p>
      <w:pPr>
        <w:ind w:left="440" w:right="500" w:firstLine="851"/>
        <w:spacing w:after="0" w:line="286" w:lineRule="auto"/>
        <w:tabs>
          <w:tab w:leader="none" w:pos="1726" w:val="left"/>
        </w:tabs>
        <w:numPr>
          <w:ilvl w:val="1"/>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seek, facilitate or encourage any person to submit nominations or proposals, whether in furtherance of a “contested solicitation” or otherwise, for the appointment, election or removal of directors or otherwise with respect to the Company or seek, facilitate, encourage, or take any other action with respect to the appointment, election or removal of any directors;</w:t>
      </w:r>
    </w:p>
    <w:p>
      <w:pPr>
        <w:spacing w:after="0" w:line="57" w:lineRule="exact"/>
        <w:rPr>
          <w:rFonts w:ascii="Arial" w:cs="Arial" w:eastAsia="Arial" w:hAnsi="Arial"/>
          <w:sz w:val="17"/>
          <w:szCs w:val="17"/>
          <w:color w:val="auto"/>
        </w:rPr>
      </w:pPr>
    </w:p>
    <w:p>
      <w:pPr>
        <w:ind w:left="440" w:firstLine="851"/>
        <w:spacing w:after="0" w:line="255" w:lineRule="auto"/>
        <w:tabs>
          <w:tab w:leader="none" w:pos="17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form, join, or in any other way participate in any “group” (within the meaning of Section 13(d)(3) of the Exchange Act) with respect to the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Agreement shall limit the ability of an Affiliate of the Investor Group to join the “group” following the execution of this Agreement, so long as any such Affiliate agrees to be bound in writing by the terms and conditions of this Agreement and, if required under the Exchange Act, an Investor files a Schedule 13D within two (2) business days disclosing that such Investor has formed a group with such Affiliate (it being understood that such Schedule 13D and the contents thereof may not violate any of the restrictions set forth in this Agreement);</w:t>
      </w:r>
    </w:p>
    <w:p>
      <w:pPr>
        <w:spacing w:after="0" w:line="85" w:lineRule="exact"/>
        <w:rPr>
          <w:rFonts w:ascii="Arial" w:cs="Arial" w:eastAsia="Arial" w:hAnsi="Arial"/>
          <w:sz w:val="18"/>
          <w:szCs w:val="18"/>
          <w:color w:val="auto"/>
        </w:rPr>
      </w:pPr>
    </w:p>
    <w:p>
      <w:pPr>
        <w:ind w:left="440" w:right="60" w:firstLine="851"/>
        <w:spacing w:after="0" w:line="277" w:lineRule="auto"/>
        <w:tabs>
          <w:tab w:leader="none" w:pos="18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demand a copy of the Company’s list of stockholders or its other books and records or make any request under any statutory or regulatory provisions of Delaware law;</w:t>
      </w:r>
    </w:p>
    <w:p>
      <w:pPr>
        <w:spacing w:after="0" w:line="62" w:lineRule="exact"/>
        <w:rPr>
          <w:rFonts w:ascii="Arial" w:cs="Arial" w:eastAsia="Arial" w:hAnsi="Arial"/>
          <w:sz w:val="18"/>
          <w:szCs w:val="18"/>
          <w:color w:val="auto"/>
        </w:rPr>
      </w:pPr>
    </w:p>
    <w:p>
      <w:pPr>
        <w:jc w:val="both"/>
        <w:ind w:left="440" w:right="120" w:firstLine="851"/>
        <w:spacing w:after="0" w:line="288" w:lineRule="auto"/>
        <w:tabs>
          <w:tab w:leader="none" w:pos="1816"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commence, encourage, or support any derivative action in the name of the Company or any class action against the Company or any of its officers or directors, in each case with the intent of circumventing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take any action challenging the validity or enforceability of any of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prevent any Investor from</w:t>
      </w:r>
    </w:p>
    <w:p>
      <w:pPr>
        <w:ind w:left="440" w:right="20" w:firstLine="4"/>
        <w:spacing w:after="0" w:line="255"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bringing litigation against the Company to enforce the provisions of this Agreement, (B) making counterclaims with respect to any proceeding initiated by, or on behalf of, the Company against an Investor, or (C) responding to or complying with a validly issued legal process that neither the Investor Group nor any of their Affiliates initiated, encouraged or facilitated;</w:t>
      </w:r>
    </w:p>
    <w:p>
      <w:pPr>
        <w:spacing w:after="0" w:line="82" w:lineRule="exact"/>
        <w:rPr>
          <w:rFonts w:ascii="Arial" w:cs="Arial" w:eastAsia="Arial" w:hAnsi="Arial"/>
          <w:sz w:val="18"/>
          <w:szCs w:val="18"/>
          <w:color w:val="auto"/>
        </w:rPr>
      </w:pPr>
    </w:p>
    <w:p>
      <w:pPr>
        <w:ind w:left="440" w:right="280" w:firstLine="851"/>
        <w:spacing w:after="0" w:line="342" w:lineRule="auto"/>
        <w:tabs>
          <w:tab w:leader="none" w:pos="1766"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make any request or submit any proposal to amend or waive the terms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through non-public communications with the Company that would not be reasonably expected to result in or involve public disclosure obligations for any party; or</w:t>
      </w:r>
    </w:p>
    <w:p>
      <w:pPr>
        <w:spacing w:after="0" w:line="15" w:lineRule="exact"/>
        <w:rPr>
          <w:rFonts w:ascii="Arial" w:cs="Arial" w:eastAsia="Arial" w:hAnsi="Arial"/>
          <w:sz w:val="16"/>
          <w:szCs w:val="16"/>
          <w:color w:val="auto"/>
        </w:rPr>
      </w:pPr>
    </w:p>
    <w:p>
      <w:pPr>
        <w:jc w:val="both"/>
        <w:ind w:left="440" w:right="140" w:firstLine="851"/>
        <w:spacing w:after="0" w:line="259" w:lineRule="auto"/>
        <w:tabs>
          <w:tab w:leader="none" w:pos="18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enter into any discussions, negotiations, agreements or understandings with any person or entity with respect to any action the Investors are prohibited from taking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or advise, assist, knowingly encourage or seek to persuade any person or entity to take any action or make any statement with respect to any such action, or otherwise take or cause any action or make any statement inconsistent with any of the foregoing.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Notwithstanding the foregoing, nothing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elsewhere in this Agreement shall prohibit or restrict the Investor Group from:</w:t>
      </w:r>
    </w:p>
    <w:p>
      <w:pPr>
        <w:spacing w:after="0" w:line="35" w:lineRule="exact"/>
        <w:rPr>
          <w:sz w:val="20"/>
          <w:szCs w:val="20"/>
          <w:color w:val="auto"/>
        </w:rPr>
      </w:pPr>
    </w:p>
    <w:p>
      <w:pPr>
        <w:ind w:right="60" w:firstLine="4"/>
        <w:spacing w:after="0" w:line="261"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communicating privately with the Board or any executive officer or director of the Company, regarding any matter, so long as such communications are not intended to, and would not reasonably be expected to, require any public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disclosure of such communications or otherwise violate this </w:t>
      </w:r>
      <w:r>
        <w:rPr>
          <w:rFonts w:ascii="Arial" w:cs="Arial" w:eastAsia="Arial" w:hAnsi="Arial"/>
          <w:sz w:val="16"/>
          <w:szCs w:val="16"/>
          <w:u w:val="single" w:color="auto"/>
          <w:color w:val="auto"/>
        </w:rPr>
        <w:t>Section 4</w:t>
      </w:r>
      <w:r>
        <w:rPr>
          <w:rFonts w:ascii="Arial" w:cs="Arial" w:eastAsia="Arial" w:hAnsi="Arial"/>
          <w:sz w:val="16"/>
          <w:szCs w:val="16"/>
          <w:color w:val="auto"/>
        </w:rPr>
        <w:t>; (B) taking any action necessary to comply with any law, rule or regulation or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action required by any governmental or regulatory authority or stock exchange that has, or may have, jurisdiction over the Investor Group or any of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 Affiliates or Associates, provided that a breach by the Investor Group of this Agreement is not the cause of the applicable requirement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to the extent legally permissible, must provide written notice to the Company of at least two (2) business days prior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taking any such action that would otherwise be prohibited under this Agreement, and reasonably consider any comments of the Company regarding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proposed action; (C) privately communicating to any of their potential investors or investors publicly available factual information regarding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Company consistent with prior practice in Legion Partners’ annual and quarterly investor letters,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communications are not reasonably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expected to be publicly disclosed and are understood by all parties to be private communications and do not otherwise violate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(D) privately communicating to any stockholders of the Company in a manner that otherwise does not violate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communications are not reasonably expected to be publicly disclosed and are understood by all parties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private communications.</w:t>
      </w:r>
    </w:p>
    <w:p>
      <w:pPr>
        <w:spacing w:after="0" w:line="211" w:lineRule="exact"/>
        <w:rPr>
          <w:sz w:val="20"/>
          <w:szCs w:val="20"/>
          <w:color w:val="auto"/>
        </w:rPr>
      </w:pPr>
    </w:p>
    <w:p>
      <w:pPr>
        <w:ind w:right="60" w:firstLine="885"/>
        <w:spacing w:after="0" w:line="259" w:lineRule="auto"/>
        <w:tabs>
          <w:tab w:leader="none" w:pos="1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not limit in any respect the actions of any director of the Company in his or her capacity as such, recognizing that such actions are subject to such director’s fiduciary duties to the Company and its stockholders (it being understood and agreed that neither the Investors nor any of their Affiliates shall seek to do indirectly through any director or other party anything that would be prohibited if done by any of the Investors or their Affiliates).</w:t>
      </w:r>
    </w:p>
    <w:p>
      <w:pPr>
        <w:spacing w:after="0" w:line="186" w:lineRule="exact"/>
        <w:rPr>
          <w:rFonts w:ascii="Arial" w:cs="Arial" w:eastAsia="Arial" w:hAnsi="Arial"/>
          <w:sz w:val="18"/>
          <w:szCs w:val="18"/>
          <w:color w:val="auto"/>
        </w:rPr>
      </w:pPr>
    </w:p>
    <w:p>
      <w:pPr>
        <w:ind w:left="1260" w:hanging="37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“Affiliate” as defined in Rule 12b-2 promulgated by the SEC under the Exchange Act;</w:t>
      </w:r>
    </w:p>
    <w:p>
      <w:pPr>
        <w:spacing w:after="0" w:line="117" w:lineRule="exact"/>
        <w:rPr>
          <w:rFonts w:ascii="Arial" w:cs="Arial" w:eastAsia="Arial" w:hAnsi="Arial"/>
          <w:sz w:val="18"/>
          <w:szCs w:val="18"/>
          <w:color w:val="auto"/>
        </w:rPr>
      </w:pPr>
    </w:p>
    <w:p>
      <w:pPr>
        <w:ind w:left="1700" w:hanging="409"/>
        <w:spacing w:after="0"/>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shall mean any “Associate” as defined in Rule 12b-2 promulgated by the SEC under the Exchange Act;</w:t>
      </w:r>
    </w:p>
    <w:p>
      <w:pPr>
        <w:spacing w:after="0" w:line="117" w:lineRule="exact"/>
        <w:rPr>
          <w:rFonts w:ascii="Arial" w:cs="Arial" w:eastAsia="Arial" w:hAnsi="Arial"/>
          <w:sz w:val="18"/>
          <w:szCs w:val="18"/>
          <w:color w:val="auto"/>
        </w:rPr>
      </w:pPr>
    </w:p>
    <w:p>
      <w:pPr>
        <w:ind w:left="440" w:right="20" w:firstLine="851"/>
        <w:spacing w:after="0" w:line="277" w:lineRule="auto"/>
        <w:tabs>
          <w:tab w:leader="none" w:pos="17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same meanings as set forth in Rule 13d-3 promulgated by the SEC under the Exchange Act;</w:t>
      </w:r>
    </w:p>
    <w:p>
      <w:pPr>
        <w:spacing w:after="0" w:line="62" w:lineRule="exact"/>
        <w:rPr>
          <w:rFonts w:ascii="Arial" w:cs="Arial" w:eastAsia="Arial" w:hAnsi="Arial"/>
          <w:sz w:val="18"/>
          <w:szCs w:val="18"/>
          <w:color w:val="auto"/>
        </w:rPr>
      </w:pPr>
    </w:p>
    <w:p>
      <w:pPr>
        <w:ind w:left="440" w:right="40" w:firstLine="851"/>
        <w:spacing w:after="0" w:line="276" w:lineRule="auto"/>
        <w:tabs>
          <w:tab w:leader="none" w:pos="1726"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of Control</w:t>
      </w:r>
      <w:r>
        <w:rPr>
          <w:rFonts w:ascii="Arial" w:cs="Arial" w:eastAsia="Arial" w:hAnsi="Arial"/>
          <w:sz w:val="17"/>
          <w:szCs w:val="17"/>
          <w:color w:val="auto"/>
        </w:rPr>
        <w:t>” transaction shall be deemed to have taken place if (1) any person is or becomes a beneficial owner, directly or indirectly, of securities of the Company representing more than 50% of the equity interests and voting power of the Company’s then outstanding equity securities, (2) the Company effects a merger or a stock-for-stock transaction whereby immediately after the consummation of the transaction the Company’s stockholders retain less than 50% of the equity interests and voting power of the surviving entity’s then outstanding equity securities or (3) the Company sells substantially all of the Company’s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2" w:name="page13"/>
    <w:bookmarkEnd w:id="12"/>
    <w:p>
      <w:pPr>
        <w:ind w:left="400" w:right="240" w:firstLine="851"/>
        <w:spacing w:after="0" w:line="308" w:lineRule="auto"/>
        <w:tabs>
          <w:tab w:leader="none" w:pos="1636" w:val="left"/>
        </w:tabs>
        <w:numPr>
          <w:ilvl w:val="2"/>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persons</w:t>
      </w:r>
      <w:r>
        <w:rPr>
          <w:rFonts w:ascii="Arial" w:cs="Arial" w:eastAsia="Arial" w:hAnsi="Arial"/>
          <w:sz w:val="17"/>
          <w:szCs w:val="17"/>
          <w:color w:val="auto"/>
        </w:rPr>
        <w:t>” shall mean any individual, corporation (including not-for-profit), general or limited partnership, limited liability company, joint venture, estate, trust, association, organization or other entity of any kind or nature; and</w:t>
      </w:r>
    </w:p>
    <w:p>
      <w:pPr>
        <w:spacing w:after="0" w:line="38" w:lineRule="exact"/>
        <w:rPr>
          <w:rFonts w:ascii="Arial" w:cs="Arial" w:eastAsia="Arial" w:hAnsi="Arial"/>
          <w:sz w:val="17"/>
          <w:szCs w:val="17"/>
          <w:color w:val="auto"/>
        </w:rPr>
      </w:pPr>
    </w:p>
    <w:p>
      <w:pPr>
        <w:ind w:left="400" w:right="140" w:firstLine="851"/>
        <w:spacing w:after="0" w:line="264" w:lineRule="auto"/>
        <w:tabs>
          <w:tab w:leader="none" w:pos="1686" w:val="left"/>
        </w:tabs>
        <w:numPr>
          <w:ilvl w:val="2"/>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shall mean the period commencing on the date of this Agreement and ending on the date that is 15 calendar days prior to the last day of the advance notice period for the submission by stockholders of director nominations for consideration at the 2020 Annual Meeting (as set forth in the advance notice provisions of the Bylaws existing on the date hereof).</w:t>
      </w:r>
    </w:p>
    <w:p>
      <w:pPr>
        <w:spacing w:after="0" w:line="181" w:lineRule="exact"/>
        <w:rPr>
          <w:rFonts w:ascii="Arial" w:cs="Arial" w:eastAsia="Arial" w:hAnsi="Arial"/>
          <w:sz w:val="18"/>
          <w:szCs w:val="18"/>
          <w:color w:val="auto"/>
        </w:rPr>
      </w:pPr>
    </w:p>
    <w:p>
      <w:pPr>
        <w:ind w:left="-40" w:right="40" w:firstLine="885"/>
        <w:spacing w:after="0" w:line="257" w:lineRule="auto"/>
        <w:tabs>
          <w:tab w:leader="none" w:pos="12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At any time during the Standstill Period, upon reasonable written notice from the Company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Investor Group will promptly provide the Company with information regarding the amount of the securities of the Company beneficially or economically owned by each such entity or individual. This ownership information provided to the Company will be kept strictly confidential unless required to be disclosed pursuant to applicable laws and regulations, any subpoena, legal process or other legal requirement or in connection with any litigation or similar proceedings in connection with this Agreement.</w:t>
      </w:r>
    </w:p>
    <w:p>
      <w:pPr>
        <w:spacing w:after="0" w:line="184" w:lineRule="exact"/>
        <w:rPr>
          <w:rFonts w:ascii="Arial" w:cs="Arial" w:eastAsia="Arial" w:hAnsi="Arial"/>
          <w:sz w:val="18"/>
          <w:szCs w:val="18"/>
          <w:color w:val="auto"/>
        </w:rPr>
      </w:pPr>
    </w:p>
    <w:p>
      <w:pPr>
        <w:ind w:left="-40" w:firstLine="444"/>
        <w:spacing w:after="0" w:line="270" w:lineRule="auto"/>
        <w:tabs>
          <w:tab w:leader="none" w:pos="716"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color w:val="auto"/>
        </w:rPr>
        <w:t>. The Company represents and warrants to the Investors that (a) the Company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power and authority to execute the Agreement and to bind the Company to this Agreement,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or any material agreement, contract, commitment, understanding or arrangement to which the Company is a party or by which it is bound.</w:t>
      </w:r>
    </w:p>
    <w:p>
      <w:pPr>
        <w:spacing w:after="0" w:line="177" w:lineRule="exact"/>
        <w:rPr>
          <w:rFonts w:ascii="Arial" w:cs="Arial" w:eastAsia="Arial" w:hAnsi="Arial"/>
          <w:sz w:val="17"/>
          <w:szCs w:val="17"/>
          <w:color w:val="auto"/>
        </w:rPr>
      </w:pPr>
    </w:p>
    <w:p>
      <w:pPr>
        <w:ind w:left="-40" w:firstLine="444"/>
        <w:spacing w:after="0" w:line="254" w:lineRule="auto"/>
        <w:tabs>
          <w:tab w:leader="none" w:pos="716"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Investors</w:t>
      </w:r>
      <w:r>
        <w:rPr>
          <w:rFonts w:ascii="Arial" w:cs="Arial" w:eastAsia="Arial" w:hAnsi="Arial"/>
          <w:sz w:val="18"/>
          <w:szCs w:val="18"/>
          <w:color w:val="auto"/>
        </w:rPr>
        <w:t>. Each Investor, on behalf of itself, jointly and severally represents and warrants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that (a) as of the date of this Agreement, such Investor beneficially owns, directly or indirectly, only the number of shares of Common Stock as described opposite its name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all Affiliates of any Investors that own any securities of the Company beneficially or of record and reflects all shares of Common Stock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the Agreement on behalf of itself and the applicable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80" w:top="274" w:right="45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associated with that signatory’s name, and to bind such Investor to the terms of this Agreement, (d) each of the Investors shall use its commercially reasonable efforts to cause each of its respective Related Persons to comply with the terms of this Agreement, and (e) the execution, delivery and performance of this Agreement by such Investor does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member is a party or by which it is bound. Each Investor further agrees that it shall not compensate any New Director for serving on the Board or enter into any contract, agreement, arrangement, commitment or understanding (whether written or oral) relating to the Company with any director or officer of the Company. Each Investor represents and warrants that it has no voting commitments or other arrangements or understandings with any of the New Directors as of the date hereof. Each Investor represents and warrants that it does not have, directly or indirectly, any agreements, arrangements or understandings with any person (other than their own Representatives) with respect to any potential transaction involving the Company, the acquisition, voting or disposition of any securities of the Company, or the potential submission of any proposals or director nominations at the Company (other than Investor’s agreements, arrangements or understandings with any potential director candidate concerning Investor’s nomination or potential nomination of such candidate to the Board, all of which matters have been subsequently addressed by this Agreement).</w:t>
      </w:r>
    </w:p>
    <w:p>
      <w:pPr>
        <w:spacing w:after="0" w:line="276" w:lineRule="exact"/>
        <w:rPr>
          <w:sz w:val="20"/>
          <w:szCs w:val="20"/>
          <w:color w:val="auto"/>
        </w:rPr>
      </w:pPr>
    </w:p>
    <w:p>
      <w:pPr>
        <w:ind w:left="760" w:hanging="31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60" w:firstLine="885"/>
        <w:spacing w:after="0" w:line="288" w:lineRule="auto"/>
        <w:tabs>
          <w:tab w:leader="none" w:pos="126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Investor agrees that, until the expiration of the Standstill Period, neither it nor any of its Affiliates will, and it will cause each of its Affiliates and Related Persons not to, directly or indirectly, in any capacity or manner,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in writing, electronically transferred or otherwise, that might reasonably be construed to be derogatory toward the Company or any of its past or present directors, officers, Affiliates, subsidiaries, employees, agents or representatives (collectively, the “</w:t>
      </w:r>
      <w:r>
        <w:rPr>
          <w:rFonts w:ascii="Arial" w:cs="Arial" w:eastAsia="Arial" w:hAnsi="Arial"/>
          <w:sz w:val="16"/>
          <w:szCs w:val="16"/>
          <w:u w:val="single" w:color="auto"/>
          <w:color w:val="auto"/>
        </w:rPr>
        <w:t>Company Representatives</w:t>
      </w:r>
      <w:r>
        <w:rPr>
          <w:rFonts w:ascii="Arial" w:cs="Arial" w:eastAsia="Arial" w:hAnsi="Arial"/>
          <w:sz w:val="16"/>
          <w:szCs w:val="16"/>
          <w:color w:val="auto"/>
        </w:rPr>
        <w:t xml:space="preserve">”), or that reveals, discloses, incorporates, is based upon, discusses, includes or otherwise involves any confidential or proprietary information of the Company or its subsidiaries or Affiliates, or to malign, harm, disparage, defame or damage the reputation or good name of the Company, any Company Representative or the Company’s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prevent the Investor Group from privately communicating to the Company, or any directors or executive officers of the Company factual information based on publicly available information that does not otherwise violate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w:t>
      </w:r>
    </w:p>
    <w:p>
      <w:pPr>
        <w:spacing w:after="0" w:line="169" w:lineRule="exact"/>
        <w:rPr>
          <w:rFonts w:ascii="Arial" w:cs="Arial" w:eastAsia="Arial" w:hAnsi="Arial"/>
          <w:sz w:val="16"/>
          <w:szCs w:val="16"/>
          <w:color w:val="auto"/>
        </w:rPr>
      </w:pPr>
    </w:p>
    <w:p>
      <w:pPr>
        <w:ind w:right="440" w:firstLine="885"/>
        <w:spacing w:after="0" w:line="259" w:lineRule="auto"/>
        <w:tabs>
          <w:tab w:leader="none" w:pos="12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agrees that, until the expiration of the Standstill Period, neither it nor any of its executive officers or directors will, directly or indirectly, in any capacity or manner, make, express, transmit, speak, write, verbalize or otherwise communicate in any way (or cause, further, assist, solicit, encourage, support or participate in any of the foregoing), any remark, comment, message, information, declaration, communication or other statement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kind, whether verbal, in writing, electronically transferred or otherwise, that might reasonably be construed to be derogatory toward any Investor or any of its past or present directors, officers, Affiliates, subsidiaries, employees, agents or representatives (collectively, the “</w:t>
      </w:r>
      <w:r>
        <w:rPr>
          <w:rFonts w:ascii="Arial" w:cs="Arial" w:eastAsia="Arial" w:hAnsi="Arial"/>
          <w:sz w:val="17"/>
          <w:szCs w:val="17"/>
          <w:u w:val="single" w:color="auto"/>
          <w:color w:val="auto"/>
        </w:rPr>
        <w:t>Investor Representatives</w:t>
      </w:r>
      <w:r>
        <w:rPr>
          <w:rFonts w:ascii="Arial" w:cs="Arial" w:eastAsia="Arial" w:hAnsi="Arial"/>
          <w:sz w:val="17"/>
          <w:szCs w:val="17"/>
          <w:color w:val="auto"/>
        </w:rPr>
        <w:t xml:space="preserve">”), or that reveals, discloses, incorporates, is based upon, discusses, includes or otherwise involves any confidential or proprietary information of any Investor or its Affiliates, or to malign, harm, disparage, defame or damage the reputation or good name of any Investor, any Investor Representative or any Investor’s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prevent private communications to the Investor Group or Investor Representatives of factual information based on publicly available information.</w:t>
      </w:r>
    </w:p>
    <w:p>
      <w:pPr>
        <w:spacing w:after="0" w:line="178" w:lineRule="exact"/>
        <w:rPr>
          <w:sz w:val="20"/>
          <w:szCs w:val="20"/>
          <w:color w:val="auto"/>
        </w:rPr>
      </w:pPr>
    </w:p>
    <w:p>
      <w:pPr>
        <w:ind w:right="260" w:firstLine="885"/>
        <w:spacing w:after="0" w:line="255" w:lineRule="auto"/>
        <w:tabs>
          <w:tab w:leader="none" w:pos="12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elsewhere in this Agreement shall prohibit any party to this Agreement from making any statement or disclosure required under the federal securities laws or other applicable laws, rules or regulations so long as such requirement is not due to a breach by any party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party must, to the extent legally permissible and practicable, provide written notice to the other party at least five (5) business days prior to making any such statement or disclosure required under the federal securities laws or other applicable laws that would otherwise be prohibited by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and shall reasonably consider any comments of the other party.</w:t>
      </w:r>
    </w:p>
    <w:p>
      <w:pPr>
        <w:spacing w:after="0" w:line="193" w:lineRule="exact"/>
        <w:rPr>
          <w:rFonts w:ascii="Arial" w:cs="Arial" w:eastAsia="Arial" w:hAnsi="Arial"/>
          <w:sz w:val="18"/>
          <w:szCs w:val="18"/>
          <w:color w:val="auto"/>
        </w:rPr>
      </w:pPr>
    </w:p>
    <w:p>
      <w:pPr>
        <w:ind w:right="420" w:firstLine="885"/>
        <w:spacing w:after="0" w:line="264"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xml:space="preserve"> shall not prevent any party to this Agreement from responding to any public statement made by the other party of the nature described in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xml:space="preserve"> if such statement by the other party was made in breach of this Agreement.</w:t>
      </w:r>
    </w:p>
    <w:p>
      <w:pPr>
        <w:spacing w:after="0" w:line="177" w:lineRule="exact"/>
        <w:rPr>
          <w:rFonts w:ascii="Arial" w:cs="Arial" w:eastAsia="Arial" w:hAnsi="Arial"/>
          <w:sz w:val="18"/>
          <w:szCs w:val="18"/>
          <w:color w:val="auto"/>
        </w:rPr>
      </w:pPr>
    </w:p>
    <w:p>
      <w:pPr>
        <w:ind w:right="20" w:firstLine="444"/>
        <w:spacing w:after="0" w:line="274" w:lineRule="auto"/>
        <w:tabs>
          <w:tab w:leader="none" w:pos="756"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Public Announcements</w:t>
      </w:r>
      <w:r>
        <w:rPr>
          <w:rFonts w:ascii="Arial" w:cs="Arial" w:eastAsia="Arial" w:hAnsi="Arial"/>
          <w:sz w:val="17"/>
          <w:szCs w:val="17"/>
          <w:color w:val="auto"/>
        </w:rPr>
        <w:t>. Promptly following the execution of this Agreement, the Company and the Investor Group shall issue a mutually</w:t>
      </w:r>
      <w:r>
        <w:rPr>
          <w:rFonts w:ascii="Arial" w:cs="Arial" w:eastAsia="Arial" w:hAnsi="Arial"/>
          <w:sz w:val="17"/>
          <w:szCs w:val="17"/>
          <w:b w:val="1"/>
          <w:bCs w:val="1"/>
          <w:color w:val="auto"/>
        </w:rPr>
        <w:t xml:space="preserve"> </w:t>
      </w:r>
      <w:r>
        <w:rPr>
          <w:rFonts w:ascii="Arial" w:cs="Arial" w:eastAsia="Arial" w:hAnsi="Arial"/>
          <w:sz w:val="17"/>
          <w:szCs w:val="17"/>
          <w:color w:val="auto"/>
        </w:rPr>
        <w:t>agreeable press release (the “</w:t>
      </w:r>
      <w:r>
        <w:rPr>
          <w:rFonts w:ascii="Arial" w:cs="Arial" w:eastAsia="Arial" w:hAnsi="Arial"/>
          <w:sz w:val="17"/>
          <w:szCs w:val="17"/>
          <w:u w:val="single" w:color="auto"/>
          <w:color w:val="auto"/>
        </w:rPr>
        <w:t>Press Release</w:t>
      </w:r>
      <w:r>
        <w:rPr>
          <w:rFonts w:ascii="Arial" w:cs="Arial" w:eastAsia="Arial" w:hAnsi="Arial"/>
          <w:sz w:val="17"/>
          <w:szCs w:val="17"/>
          <w:color w:val="auto"/>
        </w:rPr>
        <w:t xml:space="preserve">”) announcing this Agreement, substantially in the form attached to this Agreement as </w:t>
      </w:r>
      <w:r>
        <w:rPr>
          <w:rFonts w:ascii="Arial" w:cs="Arial" w:eastAsia="Arial" w:hAnsi="Arial"/>
          <w:sz w:val="17"/>
          <w:szCs w:val="17"/>
          <w:u w:val="single" w:color="auto"/>
          <w:color w:val="auto"/>
        </w:rPr>
        <w:t>Exhibit C</w:t>
      </w:r>
      <w:r>
        <w:rPr>
          <w:rFonts w:ascii="Arial" w:cs="Arial" w:eastAsia="Arial" w:hAnsi="Arial"/>
          <w:sz w:val="17"/>
          <w:szCs w:val="17"/>
          <w:color w:val="auto"/>
        </w:rPr>
        <w:t>. Prior to the issuance of the Press Release, neither the Company nor any of the Investors shall issue any press release or make any public announcement regarding this Agreement or take any action that would require public disclosure relating to such action without the prior written consent of the other party. No party or any of its Affiliates shall make any public statement (including, without limitation, in any filing required under the Exchange Act) concerning the subject matter of this Agreement inconsistent with the Press Release.</w:t>
      </w:r>
    </w:p>
    <w:p>
      <w:pPr>
        <w:spacing w:after="0" w:line="281" w:lineRule="exact"/>
        <w:rPr>
          <w:rFonts w:ascii="Arial" w:cs="Arial" w:eastAsia="Arial" w:hAnsi="Arial"/>
          <w:sz w:val="17"/>
          <w:szCs w:val="17"/>
          <w:color w:val="auto"/>
        </w:rPr>
      </w:pPr>
    </w:p>
    <w:p>
      <w:pPr>
        <w:ind w:left="760" w:hanging="31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SEC Filings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right="40" w:firstLine="885"/>
        <w:spacing w:after="0" w:line="259" w:lineRule="auto"/>
        <w:tabs>
          <w:tab w:leader="none" w:pos="12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later than four (4) business days following the execution of this Agreement, the Company shall file a Current Report on Form 8-K with the SEC reporting the appointment of the New Directors and appending or incorporating by reference this Agreement as an exhibit. The Company shall provide the Investor Group with a reasonable opportunity to review and comment on the Form 8-K prior to it being filed with the SEC and consider in good faith any comments of the Investor Group.</w:t>
      </w:r>
    </w:p>
    <w:p>
      <w:pPr>
        <w:spacing w:after="0" w:line="186" w:lineRule="exact"/>
        <w:rPr>
          <w:rFonts w:ascii="Arial" w:cs="Arial" w:eastAsia="Arial" w:hAnsi="Arial"/>
          <w:sz w:val="18"/>
          <w:szCs w:val="18"/>
          <w:color w:val="auto"/>
        </w:rPr>
      </w:pPr>
    </w:p>
    <w:p>
      <w:pPr>
        <w:ind w:right="300" w:firstLine="885"/>
        <w:spacing w:after="0" w:line="308" w:lineRule="auto"/>
        <w:tabs>
          <w:tab w:leader="none" w:pos="12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later than two (2) business days following the execution of this Agreement, the Investor Group shall file an amendment to that certain Schedule 13D, dated January 18, 2019, as amended and may be amended (the “</w:t>
      </w:r>
      <w:r>
        <w:rPr>
          <w:rFonts w:ascii="Arial" w:cs="Arial" w:eastAsia="Arial" w:hAnsi="Arial"/>
          <w:sz w:val="17"/>
          <w:szCs w:val="17"/>
          <w:u w:val="single" w:color="auto"/>
          <w:color w:val="auto"/>
        </w:rPr>
        <w:t>Schedule 13D</w:t>
      </w:r>
      <w:r>
        <w:rPr>
          <w:rFonts w:ascii="Arial" w:cs="Arial" w:eastAsia="Arial" w:hAnsi="Arial"/>
          <w:sz w:val="17"/>
          <w:szCs w:val="17"/>
          <w:color w:val="auto"/>
        </w:rPr>
        <w:t>”) with respect to the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that has been filed with the SEC, reporting the entry into this Agreement and appending or incorporating by reference this Agreement as an exhibit thereto (the “</w:t>
      </w:r>
      <w:r>
        <w:rPr>
          <w:rFonts w:ascii="Arial" w:cs="Arial" w:eastAsia="Arial" w:hAnsi="Arial"/>
          <w:sz w:val="17"/>
          <w:szCs w:val="17"/>
          <w:u w:val="single" w:color="auto"/>
          <w:color w:val="auto"/>
        </w:rPr>
        <w:t>Schedule 13D Amendment</w:t>
      </w:r>
      <w:r>
        <w:rPr>
          <w:rFonts w:ascii="Arial" w:cs="Arial" w:eastAsia="Arial" w:hAnsi="Arial"/>
          <w:sz w:val="17"/>
          <w:szCs w:val="17"/>
          <w:color w:val="auto"/>
        </w:rPr>
        <w:t>”). The Investor Group shall provide the Company with a reasonable opportunity to review and comment on the Schedule 13D Amendment prior to it being filed with the SEC and consider in good faith any comments of the Company.</w:t>
      </w:r>
    </w:p>
    <w:p>
      <w:pPr>
        <w:spacing w:after="0" w:line="166" w:lineRule="exact"/>
        <w:rPr>
          <w:sz w:val="20"/>
          <w:szCs w:val="20"/>
          <w:color w:val="auto"/>
        </w:rPr>
      </w:pPr>
    </w:p>
    <w:p>
      <w:pPr>
        <w:ind w:right="60" w:firstLine="885"/>
        <w:spacing w:after="0" w:line="255" w:lineRule="auto"/>
        <w:tabs>
          <w:tab w:leader="none" w:pos="1261" w:val="left"/>
        </w:tabs>
        <w:numPr>
          <w:ilvl w:val="2"/>
          <w:numId w:val="20"/>
        </w:numPr>
        <w:rPr>
          <w:rFonts w:ascii="Arial" w:cs="Arial" w:eastAsia="Arial" w:hAnsi="Arial"/>
          <w:sz w:val="18"/>
          <w:szCs w:val="18"/>
          <w:color w:val="auto"/>
        </w:rPr>
      </w:pPr>
      <w:r>
        <w:rPr>
          <w:rFonts w:ascii="Arial" w:cs="Arial" w:eastAsia="Arial" w:hAnsi="Arial"/>
          <w:sz w:val="18"/>
          <w:szCs w:val="18"/>
          <w:color w:val="auto"/>
        </w:rPr>
        <w:t>Except for amendments to the Schedule 13D filed by the Investor Group made solely to report material changes to the information contained therein, including a change in the level of ownership of Common Stock and the entry into this Agreement and the issuance of the Press Release, none of the Investors shall, during the Standstill Period, (i) issue a press release in connection with this Agreement or the actions contemplated hereby or (ii) otherwise make any public statement, disclosure or announcement with respect to this Agreement or the actions contemplated hereby, in each case without the prior written consent of the Company, unless required by applicable law, rules or regulations in which case the Investor shall first preview such disclosure or announcement with the Company in advance of making such disclosure or announcement and consider comments by the Company.</w:t>
      </w:r>
    </w:p>
    <w:p>
      <w:pPr>
        <w:spacing w:after="0" w:line="185" w:lineRule="exact"/>
        <w:rPr>
          <w:rFonts w:ascii="Arial" w:cs="Arial" w:eastAsia="Arial" w:hAnsi="Arial"/>
          <w:sz w:val="18"/>
          <w:szCs w:val="18"/>
          <w:color w:val="auto"/>
        </w:rPr>
      </w:pPr>
    </w:p>
    <w:p>
      <w:pPr>
        <w:ind w:right="20" w:firstLine="444"/>
        <w:spacing w:after="0" w:line="271" w:lineRule="auto"/>
        <w:tabs>
          <w:tab w:leader="none" w:pos="846" w:val="left"/>
        </w:tabs>
        <w:numPr>
          <w:ilvl w:val="1"/>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Each of the Investors, on the one hand, and the Company, on the other hand, acknowledges and agrees that</w:t>
      </w:r>
      <w:r>
        <w:rPr>
          <w:rFonts w:ascii="Arial" w:cs="Arial" w:eastAsia="Arial" w:hAnsi="Arial"/>
          <w:sz w:val="17"/>
          <w:szCs w:val="17"/>
          <w:b w:val="1"/>
          <w:bCs w:val="1"/>
          <w:color w:val="auto"/>
        </w:rPr>
        <w:t xml:space="preserve"> </w:t>
      </w:r>
      <w:r>
        <w:rPr>
          <w:rFonts w:ascii="Arial" w:cs="Arial" w:eastAsia="Arial" w:hAnsi="Arial"/>
          <w:sz w:val="17"/>
          <w:szCs w:val="17"/>
          <w:color w:val="auto"/>
        </w:rPr>
        <w:t>irreparable injury to the other party to this Agreement would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Arial" w:cs="Arial" w:eastAsia="Arial" w:hAnsi="Arial"/>
          <w:sz w:val="17"/>
          <w:szCs w:val="17"/>
          <w:u w:val="single" w:color="auto"/>
          <w:color w:val="auto"/>
        </w:rPr>
        <w:t>Moving Party</w:t>
      </w:r>
      <w:r>
        <w:rPr>
          <w:rFonts w:ascii="Arial" w:cs="Arial" w:eastAsia="Arial" w:hAnsi="Arial"/>
          <w:sz w:val="17"/>
          <w:szCs w:val="17"/>
          <w:color w:val="auto"/>
        </w:rPr>
        <w:t>”), shall each be entitled to specific enforcement of, and injunctive or other equitable relief as a remedy for any such breach or to prevent any violation or threatened violation of, the terms of this Agreement, and the other party to this Agreement will not take action, directly or indirectly, in opposition to the Moving Party seeking such relief on the grounds that any other remedy or relief is available at law or in equity. The parties further agree to waive any requirement for the security or posting of any bond in connection with any such relief. Such remedies shall not be deemed to be the exclusive remedies for a breach of this Agreement but shall be in addition to all other remedies available at law or equity.</w:t>
      </w:r>
    </w:p>
    <w:p>
      <w:pPr>
        <w:spacing w:after="0" w:line="174" w:lineRule="exact"/>
        <w:rPr>
          <w:rFonts w:ascii="Arial" w:cs="Arial" w:eastAsia="Arial" w:hAnsi="Arial"/>
          <w:sz w:val="17"/>
          <w:szCs w:val="17"/>
          <w:color w:val="auto"/>
        </w:rPr>
      </w:pPr>
    </w:p>
    <w:p>
      <w:pPr>
        <w:jc w:val="both"/>
        <w:ind w:right="80" w:firstLine="444"/>
        <w:spacing w:after="0" w:line="289" w:lineRule="auto"/>
        <w:tabs>
          <w:tab w:leader="none" w:pos="839"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Any notices, consents, determinations, waivers or other communications required or permitted to be given under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must be in writing and will be deemed to have been delivered: (i) upon receipt, when delivered personally; (ii) upon receipt, when sent by email or facsimile (provided confirmation of transmission is mechanically or electronically generated and kept on file by the sending party); or (iii) one</w:t>
      </w:r>
    </w:p>
    <w:p>
      <w:pPr>
        <w:spacing w:after="0" w:line="1" w:lineRule="exact"/>
        <w:rPr>
          <w:rFonts w:ascii="Arial" w:cs="Arial" w:eastAsia="Arial" w:hAnsi="Arial"/>
          <w:sz w:val="16"/>
          <w:szCs w:val="16"/>
          <w:color w:val="auto"/>
        </w:rPr>
      </w:pPr>
    </w:p>
    <w:p>
      <w:pPr>
        <w:ind w:right="160" w:firstLine="4"/>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day after deposit with a nationally recognized overnight delivery service, in each case properly addressed to the party to receive the same. The addresses and facsimile numbers for such communications shall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 w:name="page17"/>
    <w:bookmarkEnd w:id="16"/>
    <w:p>
      <w:pPr>
        <w:ind w:left="1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Attn: Matt Heiter</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Email: matt.heiter@nninc.com</w:t>
      </w:r>
    </w:p>
    <w:p>
      <w:pPr>
        <w:spacing w:after="0" w:line="10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Email:</w:t>
        <w:tab/>
        <w:t>eswedenburg@stblaw.com</w:t>
      </w:r>
    </w:p>
    <w:p>
      <w:pPr>
        <w:spacing w:after="0" w:line="10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If to any Investor:</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9401 Wilshire Boulevard, Suite 705</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Beverly Hills, California 90212</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Christopher S. Kiper</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Email:</w:t>
        <w:tab/>
        <w:t>ckiper@legionpartners.com</w:t>
      </w:r>
    </w:p>
    <w:p>
      <w:pPr>
        <w:spacing w:after="0" w:line="10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Steve Wolosky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Elizabeth Gonzalez-Sussman</w:t>
      </w:r>
    </w:p>
    <w:p>
      <w:pPr>
        <w:spacing w:after="0" w:line="9" w:lineRule="exact"/>
        <w:rPr>
          <w:sz w:val="20"/>
          <w:szCs w:val="20"/>
          <w:color w:val="auto"/>
        </w:rPr>
      </w:pPr>
    </w:p>
    <w:p>
      <w:pPr>
        <w:ind w:left="1900"/>
        <w:spacing w:after="0"/>
        <w:tabs>
          <w:tab w:leader="none" w:pos="2580" w:val="left"/>
        </w:tabs>
        <w:rPr>
          <w:sz w:val="20"/>
          <w:szCs w:val="20"/>
          <w:color w:val="auto"/>
        </w:rPr>
      </w:pPr>
      <w:r>
        <w:rPr>
          <w:rFonts w:ascii="Arial" w:cs="Arial" w:eastAsia="Arial" w:hAnsi="Arial"/>
          <w:sz w:val="18"/>
          <w:szCs w:val="18"/>
          <w:color w:val="auto"/>
        </w:rPr>
        <w:t>Email:</w:t>
        <w:tab/>
        <w:t>swolosky@olshanlaw.com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egonzalez@olshanlaw.com</w:t>
      </w:r>
    </w:p>
    <w:p>
      <w:pPr>
        <w:spacing w:after="0" w:line="207" w:lineRule="exact"/>
        <w:rPr>
          <w:sz w:val="20"/>
          <w:szCs w:val="20"/>
          <w:color w:val="auto"/>
        </w:rPr>
      </w:pPr>
    </w:p>
    <w:p>
      <w:pPr>
        <w:ind w:left="-80" w:right="100" w:firstLine="444"/>
        <w:spacing w:after="0" w:line="266" w:lineRule="auto"/>
        <w:tabs>
          <w:tab w:leader="none" w:pos="766"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any claim, controversy or dispute arising under or related to this Agreement, the relationship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and/or the interpretation and enforcement of the rights and duties of the parties shall be governed by and construed and enforced in accordance with the laws of the State of New York, without regard to any conflict of laws provisions thereof.</w:t>
      </w:r>
    </w:p>
    <w:p>
      <w:pPr>
        <w:spacing w:after="0" w:line="176" w:lineRule="exact"/>
        <w:rPr>
          <w:rFonts w:ascii="Arial" w:cs="Arial" w:eastAsia="Arial" w:hAnsi="Arial"/>
          <w:sz w:val="18"/>
          <w:szCs w:val="18"/>
          <w:color w:val="auto"/>
        </w:rPr>
      </w:pPr>
    </w:p>
    <w:p>
      <w:pPr>
        <w:ind w:left="-80" w:firstLine="444"/>
        <w:spacing w:after="0" w:line="298" w:lineRule="auto"/>
        <w:tabs>
          <w:tab w:leader="none" w:pos="766"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Jurisdiction</w:t>
      </w:r>
      <w:r>
        <w:rPr>
          <w:rFonts w:ascii="Arial" w:cs="Arial" w:eastAsia="Arial" w:hAnsi="Arial"/>
          <w:sz w:val="16"/>
          <w:szCs w:val="16"/>
          <w:color w:val="auto"/>
        </w:rPr>
        <w:t>. Each party to this Agreement agrees, on behalf of itself and its Affiliates and Associates, that any actions, suits or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arising out of or relating to this Agreement or the transactions contemplated by this Agreement will be brought solely and exclusively in any state or federal court in the State of New York (and the parties agree not to commence any action, suit or proceeding relating to this Agreement or the transactions contemplated by this Agreement except in such courts), and further agrees that service of any process, summons, notice or document by U.S. registered mail to the respective addresses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will be effective service of process for any such action, suit or proceeding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520" w:top="274" w:right="519" w:bottom="1440" w:gutter="0" w:footer="0" w:header="0"/>
        </w:sectPr>
      </w:pPr>
    </w:p>
    <w:bookmarkStart w:id="17" w:name="page18"/>
    <w:bookmarkEnd w:id="1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brought against any party in any such court. Each party, on behalf of itself and its Affiliates and Associates, irrevocably and unconditionally waives any objection to the laying of venue of any action, suit or proceeding arising out of this Agreement or the transactions contemplated by this Agreement, in any state or federal court in the State of New York, and further irrevocably and unconditionally waives and agrees not to plead or claim in any such court that any such action, suit or proceeding brought in any such court has been brought in an improper or inconvenient forum.</w:t>
      </w:r>
    </w:p>
    <w:p>
      <w:pPr>
        <w:spacing w:after="0" w:line="167" w:lineRule="exact"/>
        <w:rPr>
          <w:sz w:val="20"/>
          <w:szCs w:val="20"/>
          <w:color w:val="auto"/>
        </w:rPr>
      </w:pPr>
    </w:p>
    <w:p>
      <w:pPr>
        <w:ind w:right="20" w:firstLine="444"/>
        <w:spacing w:after="0" w:line="271" w:lineRule="auto"/>
        <w:tabs>
          <w:tab w:leader="none" w:pos="846"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PARTY ACKNOWLEDGES AND AGREES THAT ANY CONTROVERSY WHICH MAY ARISE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14.</w:t>
      </w:r>
    </w:p>
    <w:p>
      <w:pPr>
        <w:spacing w:after="0" w:line="174" w:lineRule="exact"/>
        <w:rPr>
          <w:rFonts w:ascii="Arial" w:cs="Arial" w:eastAsia="Arial" w:hAnsi="Arial"/>
          <w:sz w:val="17"/>
          <w:szCs w:val="17"/>
          <w:color w:val="auto"/>
        </w:rPr>
      </w:pPr>
    </w:p>
    <w:p>
      <w:pPr>
        <w:ind w:firstLine="444"/>
        <w:spacing w:after="0" w:line="258"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Each Investor irrevocably appoints Legion Partners Asset Management, LLC as its attorney-in-fact and representative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Legion Representative</w:t>
      </w:r>
      <w:r>
        <w:rPr>
          <w:rFonts w:ascii="Arial" w:cs="Arial" w:eastAsia="Arial" w:hAnsi="Arial"/>
          <w:sz w:val="18"/>
          <w:szCs w:val="18"/>
          <w:color w:val="auto"/>
        </w:rPr>
        <w:t>”), in such Investor’s place and stead, to do any and all things and to execute any and all documents and give and receive any and all notices or instructions in connection with this Agreement and the transactions contemplated by this Agreement. The Company shall be entitled to rely, as being binding on each Investor, upon any action taken by the Legion Representative or upon any document, notice, instruction or other writing given or executed by the Legion Representative.</w:t>
      </w:r>
    </w:p>
    <w:p>
      <w:pPr>
        <w:spacing w:after="0" w:line="183" w:lineRule="exact"/>
        <w:rPr>
          <w:rFonts w:ascii="Arial" w:cs="Arial" w:eastAsia="Arial" w:hAnsi="Arial"/>
          <w:sz w:val="18"/>
          <w:szCs w:val="18"/>
          <w:color w:val="auto"/>
        </w:rPr>
      </w:pPr>
    </w:p>
    <w:p>
      <w:pPr>
        <w:jc w:val="both"/>
        <w:ind w:right="40" w:firstLine="444"/>
        <w:spacing w:after="0" w:line="281" w:lineRule="auto"/>
        <w:tabs>
          <w:tab w:leader="none" w:pos="846"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constitutes the full and entire understanding and agreement among the parties with regard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of this Agreement, and supersedes all prior and contemporaneous agreements, understandings and representations, whether oral or written, of the parties with respect to the subject matter of this Agreement. There are no restrictions, agreements, promises, representations, warranties, covenants or undertakings, oral or written, between the parties other than those expressly set forth in this Agreement.</w:t>
      </w:r>
    </w:p>
    <w:p>
      <w:pPr>
        <w:spacing w:after="0" w:line="164" w:lineRule="exact"/>
        <w:rPr>
          <w:rFonts w:ascii="Arial" w:cs="Arial" w:eastAsia="Arial" w:hAnsi="Arial"/>
          <w:sz w:val="17"/>
          <w:szCs w:val="17"/>
          <w:color w:val="auto"/>
        </w:rPr>
      </w:pPr>
    </w:p>
    <w:p>
      <w:pPr>
        <w:ind w:right="100" w:firstLine="444"/>
        <w:spacing w:after="0" w:line="282"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1" w:lineRule="exact"/>
        <w:rPr>
          <w:rFonts w:ascii="Arial" w:cs="Arial" w:eastAsia="Arial" w:hAnsi="Arial"/>
          <w:sz w:val="18"/>
          <w:szCs w:val="18"/>
          <w:color w:val="auto"/>
        </w:rPr>
      </w:pPr>
    </w:p>
    <w:p>
      <w:pPr>
        <w:ind w:right="220" w:firstLine="444"/>
        <w:spacing w:after="0" w:line="289" w:lineRule="auto"/>
        <w:tabs>
          <w:tab w:leader="none" w:pos="846"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No failure on the part of any party to exercise, and no delay in exercising, any right, power or remedy under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operate as a waiver of such right, power or remedy, nor shall any single or partial exercise of such right, power or remedy by such party preclude any other or further exercise of such right, power or remedy or the exercise of any other right, power or remedy.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8" w:name="page19"/>
    <w:bookmarkEnd w:id="18"/>
    <w:p>
      <w:pPr>
        <w:ind w:left="820" w:hanging="396"/>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w:t>
      </w:r>
      <w:r>
        <w:rPr>
          <w:rFonts w:ascii="Arial" w:cs="Arial" w:eastAsia="Arial" w:hAnsi="Arial"/>
          <w:sz w:val="17"/>
          <w:szCs w:val="17"/>
          <w:color w:val="auto"/>
        </w:rPr>
        <w:t>. All remedies under this Agreement are cumulative and are not exclusive of any other remedies provided by law or equity.</w:t>
      </w:r>
    </w:p>
    <w:p>
      <w:pPr>
        <w:spacing w:after="0" w:line="236" w:lineRule="exact"/>
        <w:rPr>
          <w:rFonts w:ascii="Arial" w:cs="Arial" w:eastAsia="Arial" w:hAnsi="Arial"/>
          <w:sz w:val="17"/>
          <w:szCs w:val="17"/>
          <w:color w:val="auto"/>
        </w:rPr>
      </w:pPr>
    </w:p>
    <w:p>
      <w:pPr>
        <w:ind w:left="-20" w:right="40" w:firstLine="444"/>
        <w:spacing w:after="0" w:line="254" w:lineRule="auto"/>
        <w:tabs>
          <w:tab w:leader="none" w:pos="826"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When a reference is made in this Agreement to a Section, such reference shall be to a Section of this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“dates hereof” will refer to the date of this Agreement. The word “or” is not exclusive.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w:t>
      </w:r>
    </w:p>
    <w:p>
      <w:pPr>
        <w:spacing w:after="0" w:line="189" w:lineRule="exact"/>
        <w:rPr>
          <w:rFonts w:ascii="Arial" w:cs="Arial" w:eastAsia="Arial" w:hAnsi="Arial"/>
          <w:sz w:val="18"/>
          <w:szCs w:val="18"/>
          <w:color w:val="auto"/>
        </w:rPr>
      </w:pPr>
    </w:p>
    <w:p>
      <w:pPr>
        <w:ind w:left="-20" w:firstLine="444"/>
        <w:spacing w:after="0" w:line="258" w:lineRule="auto"/>
        <w:tabs>
          <w:tab w:leader="none" w:pos="826"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83" w:lineRule="exact"/>
        <w:rPr>
          <w:rFonts w:ascii="Arial" w:cs="Arial" w:eastAsia="Arial" w:hAnsi="Arial"/>
          <w:sz w:val="18"/>
          <w:szCs w:val="18"/>
          <w:color w:val="auto"/>
        </w:rPr>
      </w:pPr>
    </w:p>
    <w:p>
      <w:pPr>
        <w:ind w:left="-20" w:right="100" w:firstLine="444"/>
        <w:spacing w:after="0" w:line="282" w:lineRule="auto"/>
        <w:tabs>
          <w:tab w:leader="none" w:pos="826"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modified, amended or otherwise changed only in a writing signed by the Company, on the one hand,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Legion Representative (on behalf of itself and the other members of the Investor Group), on the other hand.</w:t>
      </w:r>
    </w:p>
    <w:p>
      <w:pPr>
        <w:spacing w:after="0" w:line="161" w:lineRule="exact"/>
        <w:rPr>
          <w:rFonts w:ascii="Arial" w:cs="Arial" w:eastAsia="Arial" w:hAnsi="Arial"/>
          <w:sz w:val="18"/>
          <w:szCs w:val="18"/>
          <w:color w:val="auto"/>
        </w:rPr>
      </w:pPr>
    </w:p>
    <w:p>
      <w:pPr>
        <w:ind w:left="-20" w:right="200" w:firstLine="444"/>
        <w:spacing w:after="0" w:line="303" w:lineRule="auto"/>
        <w:tabs>
          <w:tab w:leader="none" w:pos="826"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Upon the expiration of the Standstill Period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4(c)(vi)</w:t>
      </w:r>
      <w:r>
        <w:rPr>
          <w:rFonts w:ascii="Arial" w:cs="Arial" w:eastAsia="Arial" w:hAnsi="Arial"/>
          <w:sz w:val="16"/>
          <w:szCs w:val="16"/>
          <w:b w:val="1"/>
          <w:bCs w:val="1"/>
          <w:color w:val="auto"/>
        </w:rPr>
        <w:t xml:space="preserve"> </w:t>
      </w:r>
      <w:r>
        <w:rPr>
          <w:rFonts w:ascii="Arial" w:cs="Arial" w:eastAsia="Arial" w:hAnsi="Arial"/>
          <w:sz w:val="16"/>
          <w:szCs w:val="16"/>
          <w:color w:val="auto"/>
        </w:rPr>
        <w:t>hereof or upon the public announcement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of entry into a definitive agreement that would constitute a Change of Control, this Agreement shall immediately and automatically terminate. Notwithstanding the foregoing, the provisions of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survive the termination of this Agreement. No termination of this Agreement shall relieve any party from liability for any breach of this Agreement that occurred prior to such termination.</w:t>
      </w:r>
    </w:p>
    <w:p>
      <w:pPr>
        <w:spacing w:after="0" w:line="151" w:lineRule="exact"/>
        <w:rPr>
          <w:rFonts w:ascii="Arial" w:cs="Arial" w:eastAsia="Arial" w:hAnsi="Arial"/>
          <w:sz w:val="16"/>
          <w:szCs w:val="16"/>
          <w:color w:val="auto"/>
        </w:rPr>
      </w:pPr>
    </w:p>
    <w:p>
      <w:pPr>
        <w:jc w:val="both"/>
        <w:ind w:left="-20" w:firstLine="444"/>
        <w:spacing w:after="0" w:line="258" w:lineRule="auto"/>
        <w:tabs>
          <w:tab w:leader="none" w:pos="826"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terms and conditions of this Agreement shall be binding upon and be enforceable by the parties hereto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heirs, executors, legal representatives and permitted assigns of the parties, and inure to the benefit of any successor, heir, executor, legal representative or permitted assign of any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party may assign this Agreement or any rights or obligations hereunder without, with respect to any Investor, the express prior written consent of the Company, and with respect to the Company, the prior written consent of the Legion Representative.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0" w:right="459" w:bottom="1440" w:gutter="0" w:footer="0" w:header="0"/>
        </w:sectPr>
      </w:pPr>
    </w:p>
    <w:bookmarkStart w:id="19" w:name="page20"/>
    <w:bookmarkEnd w:id="19"/>
    <w:p>
      <w:pPr>
        <w:ind w:left="-80" w:right="180" w:firstLine="444"/>
        <w:spacing w:after="0" w:line="314" w:lineRule="auto"/>
        <w:tabs>
          <w:tab w:leader="none" w:pos="766"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Third-Party Beneficiaries</w:t>
      </w:r>
      <w:r>
        <w:rPr>
          <w:rFonts w:ascii="Arial" w:cs="Arial" w:eastAsia="Arial" w:hAnsi="Arial"/>
          <w:sz w:val="16"/>
          <w:szCs w:val="16"/>
          <w:color w:val="auto"/>
        </w:rPr>
        <w:t>. The representations, warranties and agreements of the parties contained herein are intended solely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the party to whom such representations, warranties or agreements are made, and shall confer no rights, benefits, remedies, obligations, or liabilities hereunder, whether legal or equitable, in any other person or entity, and no other person or entity shall be entitled to rely thereon.</w:t>
      </w:r>
    </w:p>
    <w:p>
      <w:pPr>
        <w:spacing w:after="0" w:line="142" w:lineRule="exact"/>
        <w:rPr>
          <w:rFonts w:ascii="Arial" w:cs="Arial" w:eastAsia="Arial" w:hAnsi="Arial"/>
          <w:sz w:val="16"/>
          <w:szCs w:val="16"/>
          <w:color w:val="auto"/>
        </w:rPr>
      </w:pPr>
    </w:p>
    <w:p>
      <w:pPr>
        <w:ind w:left="-80" w:right="120" w:firstLine="444"/>
        <w:spacing w:after="0" w:line="274" w:lineRule="auto"/>
        <w:tabs>
          <w:tab w:leader="none" w:pos="766"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 Facsimile / PDF Signatures</w:t>
      </w:r>
      <w:r>
        <w:rPr>
          <w:rFonts w:ascii="Arial" w:cs="Arial" w:eastAsia="Arial" w:hAnsi="Arial"/>
          <w:sz w:val="17"/>
          <w:szCs w:val="17"/>
          <w:color w:val="auto"/>
        </w:rPr>
        <w:t>. This Agreement and any amendments hereto may be signed in any number of 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which shall 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 Agreement or any amendment hereto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rFonts w:ascii="Arial" w:cs="Arial" w:eastAsia="Arial" w:hAnsi="Arial"/>
          <w:sz w:val="17"/>
          <w:szCs w:val="17"/>
          <w:color w:val="auto"/>
        </w:rPr>
      </w:pPr>
    </w:p>
    <w:p>
      <w:pPr>
        <w:ind w:left="-80" w:firstLine="444"/>
        <w:spacing w:after="0" w:line="255" w:lineRule="auto"/>
        <w:tabs>
          <w:tab w:leader="none" w:pos="766"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Each of the Company and the Investors shall be responsible for its own fees and expenses incurred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negotiation, execution, and effectuation of this Agreement and the transactions contemplated hereby, including, but not limited to attorneys’ fees incurred in connection with the negotiation and execution of this Agreement and all other activities related to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reimburse the Investor Group, within 30 days of the date that the Company receives reasonably satisfactory supporting documentation, for its reasonable and documented out-of-pocket third party expenses, including legal fees and expenses, as actually incurred in connection with the Investor Group’s involvement with the Company prior to the date hereof and the negotiation and execution of this Agreement, in an amount not to exceed $50,000.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520" w:top="270" w:right="51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duly executed and delivered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LEGION PARTIES: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LEGION PARTNERS, L.P. I</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Kiper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Christopher S. Kiper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LEGION PARTNERS, L.P. II</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Kiper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Christopher S. Kiper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LEGION PARTNERS SPECIAL OPPORTUNITIES,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 XI</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Kiper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Christopher S. Kiper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440" w:top="274" w:right="419" w:bottom="1440" w:gutter="0" w:footer="0" w:header="0"/>
        </w:sectPr>
      </w:pPr>
    </w:p>
    <w:bookmarkStart w:id="21" w:name="page22"/>
    <w:bookmarkEnd w:id="2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LEGION PARTNERS,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Legion Partners Holdings, LLC</w:t>
            </w:r>
          </w:p>
        </w:tc>
      </w:tr>
      <w:tr>
        <w:trPr>
          <w:trHeight w:val="230"/>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Kiper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Christopher S. Kiper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LEGION PARTNERS ASSET MANAGEMENT,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S. Kiper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LEGION PARTNERS HOLDINGS,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Christopher S. Kiper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Christopher S. Kiper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Raymond White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040"/>
          </w:cols>
          <w:pgMar w:left="1440" w:top="270" w:right="4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Charlotte, NC 28177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EXPANDS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Cooperation Agreement with Legion Partners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Adds Two New Independent Directors, Jeri Harman and Janice Stipp, With Capital Markets, Financial and Governance Expertise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Declassify Board by 2021 Annual Meeting</w:t>
      </w:r>
    </w:p>
    <w:p>
      <w:pPr>
        <w:spacing w:after="0" w:line="221"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b w:val="1"/>
          <w:bCs w:val="1"/>
          <w:color w:val="auto"/>
        </w:rPr>
        <w:t xml:space="preserve">Charlotte, NC, February 26, 2019 – </w:t>
      </w:r>
      <w:r>
        <w:rPr>
          <w:rFonts w:ascii="Arial" w:cs="Arial" w:eastAsia="Arial" w:hAnsi="Arial"/>
          <w:sz w:val="18"/>
          <w:szCs w:val="18"/>
          <w:color w:val="auto"/>
        </w:rPr>
        <w:t>NN, Inc., (NASDAQ: NNBR) a diversified industrial company, today announced that its board of directors has</w:t>
      </w:r>
      <w:r>
        <w:rPr>
          <w:rFonts w:ascii="Arial" w:cs="Arial" w:eastAsia="Arial" w:hAnsi="Arial"/>
          <w:sz w:val="18"/>
          <w:szCs w:val="18"/>
          <w:b w:val="1"/>
          <w:bCs w:val="1"/>
          <w:color w:val="auto"/>
        </w:rPr>
        <w:t xml:space="preserve"> </w:t>
      </w:r>
      <w:r>
        <w:rPr>
          <w:rFonts w:ascii="Arial" w:cs="Arial" w:eastAsia="Arial" w:hAnsi="Arial"/>
          <w:sz w:val="18"/>
          <w:szCs w:val="18"/>
          <w:color w:val="auto"/>
        </w:rPr>
        <w:t>unanimously voted to expand its board by appointing Jeri Harman, Founder &amp; Chairman of Avante Capital Partners, and Janice Stipp, formerly Senior Vice President, Chief Financial Officer &amp; Treasurer at Rogers Corporation (retired), as new independent directors, effective immediately. NN’s board will now be comprised of nine directors, eight of whom are independent.</w:t>
      </w:r>
    </w:p>
    <w:p>
      <w:pPr>
        <w:spacing w:after="0" w:line="18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Additionally, as part of its commitment to good corporate governance, the Company also announced that it will approve and recommend amendments to its Restated Certificate of Incorporation to implement the Company’s transition to annual elections for directors. Directors will be elected for one-year terms beginning with the 2019 class of directors. Later classes will also stand for one-year terms at subsequent annual meetings, and the board will be fully declassified by the 2021 Annual Meeting when the directors in the 2018 director class complete their elected terms.</w:t>
      </w:r>
    </w:p>
    <w:p>
      <w:pPr>
        <w:spacing w:after="0" w:line="154"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These initiatives follow constructive dialogue and collaboration with Legion Partners Asset Management LLC (“Legion Partners”). Today’s announcement reflects the Company’s entry into an associated cooperation agreement between NN and affiliates of Legion Partners.</w:t>
      </w:r>
    </w:p>
    <w:p>
      <w:pPr>
        <w:sectPr>
          <w:pgSz w:w="11900" w:h="16838" w:orient="portrait"/>
          <w:cols w:equalWidth="0" w:num="1">
            <w:col w:w="11020"/>
          </w:cols>
          <w:pgMar w:left="440" w:top="121" w:right="439" w:bottom="1440" w:gutter="0" w:footer="0" w:header="0"/>
        </w:sectPr>
      </w:pPr>
    </w:p>
    <w:bookmarkStart w:id="23" w:name="page24"/>
    <w:bookmarkEnd w:id="2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Robert Brunner, Non-Executive Chairman of the Board, said, “Our Governance Committee annually conducts a review of the board of directors and our corporate governance practices to ensure alignment with the Company’s business objectives and commitment to driving shareholder value. Upon this year’s review, we decided that now is the right time to expand and declassify our board. We are delighted to welcome Jeri and Janice, both highly-qualified directors, to NN’s board, adding enhanced expertise in capital markets, finance and governance, which we believe will benefit NN as we continue to execute our strategic plan.”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Richard Holder, President &amp; Chief Executive Officer, commented, “I am pleased to have Jeri and Janice join the board and look forward to working closely with them during this next phase of our strategic evolution. With proven financial and capital markets experience, we believe that the additions of Jeri and Janice will further drive NN toward our goal of enhancing performance through our balanced portfolio focused on higher-growth end markets while continuing to de-lever.”</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addition of Jeri and Janice as independent directors will add valuable capital markets knowledge and fresh perspective to the board,” said Chris Kiper, Co-Founder and Managing Director of Legion Partners. “We applaud NN’s proposal to declassify its board, bringing it up-to-date with governance best practices. These are positive developments for all NN shareholders.”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Ms. Harman said, “I am excited to join the NN board at this key inflection point in the Company’s history. I look forward to working closely with the entire board and management team to advance NN’s position as a leading diversified industrial company.”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Ms. Stipp commented, “NN has undergone a significant transformation over the last five years, and I’m looking forward to helping guide the Company through this next chapter. I am pleased to join my fellow directors and the management team in helping NN execute on the compelling opportunities ahead.”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Holder continued, “We are pleased to have worked constructively with Legion. NN routinely engages with all our shareholders and we always listen to their input and suggestions. Today’s announcement is a result of those ongoing discussions.”</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Under the terms of the cooperation agreement between NN and Legion Partners, Legion Partners has agreed to customary standstill, voting and other provisions. The full agreement with Legion Partners will be filed on a Current Report on Form 8-K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is acting as financial advisor to NN, and Simpson Thacher &amp; Bartlett is acting as legal counsel.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Jeri Harman</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Jeri Harman is a Founder &amp; Chairman of Avante Capital Partners. With over $465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w:t>
      </w:r>
    </w:p>
    <w:p>
      <w:pPr>
        <w:sectPr>
          <w:pgSz w:w="11900" w:h="16838" w:orient="portrait"/>
          <w:cols w:equalWidth="0" w:num="1">
            <w:col w:w="11000"/>
          </w:cols>
          <w:pgMar w:left="440" w:top="274" w:right="459" w:bottom="1440" w:gutter="0" w:footer="0" w:header="0"/>
        </w:sectPr>
      </w:pPr>
    </w:p>
    <w:bookmarkStart w:id="24" w:name="page25"/>
    <w:bookmarkEnd w:id="2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Harman has over 30 years of financing experience, involving well over $1 billion in aggregate investments. Prior to founding Avante, Ms. Harman started-up and led the Los Angeles offices for two multi-billion publicly traded private equity and mezzanine investment funds – American Capital and more recently Allied Capital, where she was also a member of Allied’s Investment Committee. Earlier career highlights include various senior level positions with Prudential Capital.</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Ms. Harman has served on numerous boards over her career, and currently serves on the board of Engineered Performance Technologies, a consumer-focused automotive aftermarket performance products company. In addition, Ms. Harman is a Co-Chair of the ACG – Los Angeles Business Conference, an Ex-Officio Board Member and Past Chair of Small Business Investor Alliance (SBIA), and a Steering Committee Member of PEWIN. In 2013, the National Association of Women Business Owners (NAWBO) Los Angeles inducted Ms. Harman into their Hall of Fame. In 2015, she was named one of the Most Influential Private Equity Investors in Los Angeles by the Los Angeles Business Journal (LABJ). In January 2016, she was on the cover of Mergers &amp; Acquisitions magazine and named one of the Most Influential Women in Mid-Market M&amp;A, a recognition she again received in 2017, 2018 and 2019. In March 2017, she was recognized as one of 15 Trailblazers by Buyouts Magazine. In July 2018, Ms. Harman was named by LABJ as one of the LA 500 Most Influential People in Business. She received a Master’s of Business Administration from the University of California – Berkeley, and a Bachelor’s degree in Business from the University of Wisconsin – Milwaukee (summa cum laude).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Janice Stipp</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Janice E. Stipp retired as Senior Vice President, CFO &amp; Treasurer at Rogers Corporation, a leader in specialty engineered materials that enable high performance and high reliability in EV/HEV, wireless infrastructure, automotive safety and portable electronics. She is on the board of ArcBest Corp., Commercial Vehicle Group, Inc and Michigan State University Foundation. Previously, she also served on the board of PlyGem Industries, Inc. until the company was taken private in 2018. She also is a Member of the Michigan Association of Certified Public Accountants and Member of The American Institute of Certified Public Accountants.</w:t>
      </w:r>
    </w:p>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Over the course of her career Ms. Stipp held the positions of CFO, Treasurer, Principal Accounting Officer &amp; SVP at Rogers Corp., CFO, Secretary, Treasurer &amp; Executive VP at Tecumseh Products Co. LLC, Chief Financial Officer at Revstone Industries LLC, Chief Financial Officer &amp; Vice President of Acument Global Technologies, Inc. and Chief Financial Officer &amp; EVP-Administration at GDX Automotive, Inc.</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Ms. Stipp graduated from Michigan State University with a Bachelor of Arts in Accounting and received her MBA in Finance from Wayne State University. Ms. Stipp is also a Certified Public Accountant (CPA) and Chartered Global Management Accountant (CGMA).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NN, Inc.</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w:t>
      </w:r>
    </w:p>
    <w:p>
      <w:pPr>
        <w:sectPr>
          <w:pgSz w:w="11900" w:h="16838" w:orient="portrait"/>
          <w:cols w:equalWidth="0" w:num="1">
            <w:col w:w="11000"/>
          </w:cols>
          <w:pgMar w:left="440" w:top="274" w:right="4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020"/>
          </w:cols>
          <w:pgMar w:left="440" w:top="274"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DRIES TO RETIRE FROM NN BOARD OF DIRECTORS</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Charlotte, NC, February 26, 2019 – </w:t>
      </w:r>
      <w:r>
        <w:rPr>
          <w:rFonts w:ascii="Arial" w:cs="Arial" w:eastAsia="Arial" w:hAnsi="Arial"/>
          <w:sz w:val="18"/>
          <w:szCs w:val="18"/>
          <w:color w:val="auto"/>
        </w:rPr>
        <w:t>NN, Inc., (NASDAQ: NNBR) a diversified industrial company, today announced that William “Bill” Dries will</w:t>
      </w:r>
      <w:r>
        <w:rPr>
          <w:rFonts w:ascii="Arial" w:cs="Arial" w:eastAsia="Arial" w:hAnsi="Arial"/>
          <w:sz w:val="18"/>
          <w:szCs w:val="18"/>
          <w:b w:val="1"/>
          <w:bCs w:val="1"/>
          <w:color w:val="auto"/>
        </w:rPr>
        <w:t xml:space="preserve"> </w:t>
      </w:r>
      <w:r>
        <w:rPr>
          <w:rFonts w:ascii="Arial" w:cs="Arial" w:eastAsia="Arial" w:hAnsi="Arial"/>
          <w:sz w:val="18"/>
          <w:szCs w:val="18"/>
          <w:color w:val="auto"/>
        </w:rPr>
        <w:t>retire from the Company’s board of directors, effective as of NN’s annual meeting to be held in May 2019. Mr. Dries joined the board in 2014 and currently serves as the Audit Committee chairman and a member of the Compensation Committee. Upon Mr. Dries’ retirement, the Company will reduce the size of its board of directors from nine to eight.</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William Dries, commented, “It has been a privilege to serve on NN’s board over the last five years. I believe the Company is well positioned to continue to execute on its strategic plan and create shareholder value moving forward. I look forward to watching NN’s continued success.”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Richard D. Holder, President and CEO commented, “It has been my distinct honor to serve with Bill for the past five years. His insights and experience have been invaluable to us as we have executed on our strategic plan. We will miss Bill’s thoughtful counsel, and on behalf of the entire board and team at NN, wish him well in his future endeavors.”</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w:t>
      </w:r>
    </w:p>
    <w:p>
      <w:pPr>
        <w:sectPr>
          <w:pgSz w:w="11900" w:h="16838" w:orient="portrait"/>
          <w:cols w:equalWidth="0" w:num="1">
            <w:col w:w="11020"/>
          </w:cols>
          <w:pgMar w:left="440" w:top="121" w:right="4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lowerLetter"/>
      <w:start w:val="2"/>
    </w:lvl>
  </w:abstractNum>
  <w:abstractNum w:abstractNumId="4">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
    <w:nsid w:val="6B68079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
    <w:nsid w:val="4E6AFB6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
    <w:nsid w:val="25E45D3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
    <w:nsid w:val="519B500D"/>
    <w:multiLevelType w:val="hybridMultilevel"/>
    <w:lvl w:ilvl="0">
      <w:lvlJc w:val="left"/>
      <w:lvlText w:val="(%1)"/>
      <w:numFmt w:val="lowerRoman"/>
      <w:start w:val="4"/>
    </w:lvl>
  </w:abstractNum>
  <w:abstractNum w:abstractNumId="9">
    <w:nsid w:val="431BD7B7"/>
    <w:multiLevelType w:val="hybridMultilevel"/>
    <w:lvl w:ilvl="0">
      <w:lvlJc w:val="left"/>
      <w:lvlText w:val="%1"/>
      <w:numFmt w:val="upperLetter"/>
      <w:start w:val="1"/>
    </w:lvl>
    <w:lvl w:ilvl="1">
      <w:lvlJc w:val="left"/>
      <w:lvlText w:val="(%2)"/>
      <w:numFmt w:val="lowerRoman"/>
      <w:start w:val="11"/>
    </w:lvl>
  </w:abstractNum>
  <w:abstractNum w:abstractNumId="10">
    <w:nsid w:val="3F2DBA31"/>
    <w:multiLevelType w:val="hybridMultilevel"/>
    <w:lvl w:ilvl="0">
      <w:lvlJc w:val="left"/>
      <w:lvlText w:val="(%1)"/>
      <w:numFmt w:val="upperLetter"/>
      <w:start w:val="1"/>
    </w:lvl>
    <w:lvl w:ilvl="1">
      <w:lvlJc w:val="left"/>
      <w:lvlText w:val="(%2)"/>
      <w:numFmt w:val="lowerRoman"/>
      <w:start w:val="15"/>
    </w:lvl>
  </w:abstractNum>
  <w:abstractNum w:abstractNumId="11">
    <w:nsid w:val="7C83E458"/>
    <w:multiLevelType w:val="hybridMultilevel"/>
    <w:lvl w:ilvl="0">
      <w:lvlJc w:val="left"/>
      <w:lvlText w:val="(%1)"/>
      <w:numFmt w:val="upperLetter"/>
      <w:start w:val="1"/>
    </w:lvl>
  </w:abstractNum>
  <w:abstractNum w:abstractNumId="12">
    <w:nsid w:val="257130A3"/>
    <w:multiLevelType w:val="hybridMultilevel"/>
    <w:lvl w:ilvl="0">
      <w:lvlJc w:val="left"/>
      <w:lvlText w:val="(%1)"/>
      <w:numFmt w:val="lowerLetter"/>
      <w:start w:val="2"/>
    </w:lvl>
    <w:lvl w:ilvl="1">
      <w:lvlJc w:val="left"/>
      <w:lvlText w:val="(%2)"/>
      <w:numFmt w:val="lowerRoman"/>
      <w:start w:val="1"/>
    </w:lvl>
  </w:abstractNum>
  <w:abstractNum w:abstractNumId="13">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4">
    <w:nsid w:val="436C612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5">
    <w:nsid w:val="628C895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decimal"/>
      <w:start w:val="7"/>
    </w:lvl>
    <w:lvl w:ilvl="1">
      <w:lvlJc w:val="left"/>
      <w:lvlText w:val="(%2)"/>
      <w:numFmt w:val="lowerLetter"/>
      <w:start w:val="1"/>
    </w:lvl>
  </w:abstractNum>
  <w:abstractNum w:abstractNumId="17">
    <w:nsid w:val="721DA317"/>
    <w:multiLevelType w:val="hybridMultilevel"/>
    <w:lvl w:ilvl="0">
      <w:lvlJc w:val="left"/>
      <w:lvlText w:val="%1"/>
      <w:numFmt w:val="decimal"/>
      <w:start w:val="1"/>
    </w:lvl>
    <w:lvl w:ilvl="1">
      <w:lvlJc w:val="left"/>
      <w:lvlText w:val="(%2)"/>
      <w:numFmt w:val="lowerLetter"/>
      <w:start w:val="3"/>
    </w:lvl>
  </w:abstractNum>
  <w:abstractNum w:abstractNumId="18">
    <w:nsid w:val="2443A858"/>
    <w:multiLevelType w:val="hybridMultilevel"/>
    <w:lvl w:ilvl="0">
      <w:lvlJc w:val="left"/>
      <w:lvlText w:val="%1."/>
      <w:numFmt w:val="decimal"/>
      <w:start w:val="8"/>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0">
    <w:nsid w:val="6763845E"/>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1">
    <w:nsid w:val="75A2A8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8EDBDAB"/>
    <w:multiLevelType w:val="hybridMultilevel"/>
    <w:lvl w:ilvl="0">
      <w:lvlJc w:val="left"/>
      <w:lvlText w:val="%1."/>
      <w:numFmt w:val="decimal"/>
      <w:start w:val="12"/>
    </w:lvl>
  </w:abstractNum>
  <w:abstractNum w:abstractNumId="23">
    <w:nsid w:val="79838CB2"/>
    <w:multiLevelType w:val="hybridMultilevel"/>
    <w:lvl w:ilvl="0">
      <w:lvlJc w:val="left"/>
      <w:lvlText w:val="%1."/>
      <w:numFmt w:val="decimal"/>
      <w:start w:val="14"/>
    </w:lvl>
  </w:abstractNum>
  <w:abstractNum w:abstractNumId="24">
    <w:nsid w:val="4353D0CD"/>
    <w:multiLevelType w:val="hybridMultilevel"/>
    <w:lvl w:ilvl="0">
      <w:lvlJc w:val="left"/>
      <w:lvlText w:val="%1."/>
      <w:numFmt w:val="decimal"/>
      <w:start w:val="19"/>
    </w:lvl>
  </w:abstractNum>
  <w:abstractNum w:abstractNumId="25">
    <w:nsid w:val="B03E0C6"/>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2019-12-28T16:05:08Z</dcterms:created>
  <dcterms:modified xsi:type="dcterms:W3CDTF">2019-12-28T16:05:08Z</dcterms:modified>
</cp:coreProperties>
</file>