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July 18, 2002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244"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2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680" w:val="left"/>
          <w:tab w:leader="none" w:pos="60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120"/>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w:t>
      </w:r>
    </w:p>
    <w:p>
      <w:pPr>
        <w:spacing w:after="0" w:line="207" w:lineRule="exact"/>
        <w:rPr>
          <w:sz w:val="24"/>
          <w:szCs w:val="24"/>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On July 18, 2002, the Company issued a press release announcing its second quarter earnings. A copy of the press release is attached as Exhibit 99.1 hereto and incorporated herein by reference.</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4"/>
          <w:szCs w:val="24"/>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July 18,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18, 2002</w:t>
      </w:r>
    </w:p>
    <w:p>
      <w:pPr>
        <w:ind w:left="432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4"/>
          <w:szCs w:val="24"/>
          <w:color w:val="auto"/>
        </w:rPr>
      </w:pPr>
    </w:p>
    <w:p>
      <w:pPr>
        <w:spacing w:after="0" w:line="204" w:lineRule="exact"/>
        <w:rPr>
          <w:sz w:val="24"/>
          <w:szCs w:val="24"/>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William C. Kelly, Jr.</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366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Treasurer, Secretary and Chief</w:t>
      </w:r>
    </w:p>
    <w:p>
      <w:pPr>
        <w:spacing w:after="0" w:line="16"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019"/>
          </w:cols>
          <w:pgMar w:left="1440" w:top="136" w:right="1440" w:bottom="1440" w:gutter="0" w:footer="0" w:header="0"/>
        </w:sectPr>
      </w:pPr>
    </w:p>
    <w:bookmarkStart w:id="2" w:name="page3"/>
    <w:bookmarkEnd w:id="2"/>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ind w:left="6020"/>
        <w:spacing w:after="0"/>
        <w:rPr>
          <w:sz w:val="20"/>
          <w:szCs w:val="20"/>
          <w:color w:val="auto"/>
        </w:rPr>
      </w:pPr>
      <w:r>
        <w:rPr>
          <w:rFonts w:ascii="Courier New" w:cs="Courier New" w:eastAsia="Courier New" w:hAnsi="Courier New"/>
          <w:sz w:val="18"/>
          <w:szCs w:val="18"/>
          <w:color w:val="auto"/>
        </w:rPr>
        <w:t>RE: NN Inc.</w:t>
      </w:r>
    </w:p>
    <w:p>
      <w:pPr>
        <w:ind w:left="602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6020"/>
        <w:spacing w:after="0"/>
        <w:tabs>
          <w:tab w:leader="none" w:pos="7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440"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THE COMPANY:</w:t>
      </w:r>
    </w:p>
    <w:p>
      <w:pPr>
        <w:spacing w:after="0" w:line="238" w:lineRule="auto"/>
        <w:rPr>
          <w:sz w:val="20"/>
          <w:szCs w:val="20"/>
          <w:color w:val="auto"/>
        </w:rPr>
      </w:pPr>
      <w:r>
        <w:rPr>
          <w:rFonts w:ascii="Courier New" w:cs="Courier New" w:eastAsia="Courier New" w:hAnsi="Courier New"/>
          <w:sz w:val="18"/>
          <w:szCs w:val="18"/>
          <w:b w:val="1"/>
          <w:bCs w:val="1"/>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FRB|WEBER SHANDWICK</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b w:val="1"/>
          <w:bCs w:val="1"/>
          <w:color w:val="auto"/>
        </w:rPr>
        <w:t>------------------------------</w:t>
      </w:r>
    </w:p>
    <w:p>
      <w:pPr>
        <w:spacing w:after="0" w:line="1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Kerry Thalheim</w:t>
      </w:r>
      <w:r>
        <w:rPr>
          <w:sz w:val="20"/>
          <w:szCs w:val="20"/>
          <w:color w:val="auto"/>
        </w:rPr>
        <w:tab/>
      </w:r>
      <w:r>
        <w:rPr>
          <w:rFonts w:ascii="Courier New" w:cs="Courier New" w:eastAsia="Courier New" w:hAnsi="Courier New"/>
          <w:sz w:val="16"/>
          <w:szCs w:val="16"/>
          <w:color w:val="auto"/>
        </w:rPr>
        <w:t>Susan Garland</w:t>
      </w:r>
    </w:p>
    <w:p>
      <w:pPr>
        <w:spacing w:after="0"/>
        <w:tabs>
          <w:tab w:leader="none" w:pos="178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1780" w:val="left"/>
        </w:tabs>
        <w:rPr>
          <w:sz w:val="20"/>
          <w:szCs w:val="20"/>
          <w:color w:val="auto"/>
        </w:rPr>
      </w:pPr>
      <w:r>
        <w:rPr>
          <w:rFonts w:ascii="Courier New" w:cs="Courier New" w:eastAsia="Courier New" w:hAnsi="Courier New"/>
          <w:sz w:val="18"/>
          <w:szCs w:val="18"/>
          <w:color w:val="auto"/>
        </w:rPr>
        <w:t>212-445-8437</w:t>
      </w:r>
      <w:r>
        <w:rPr>
          <w:sz w:val="20"/>
          <w:szCs w:val="20"/>
          <w:color w:val="auto"/>
        </w:rPr>
        <w:tab/>
      </w:r>
      <w:r>
        <w:rPr>
          <w:rFonts w:ascii="Courier New" w:cs="Courier New" w:eastAsia="Courier New" w:hAnsi="Courier New"/>
          <w:sz w:val="16"/>
          <w:szCs w:val="16"/>
          <w:color w:val="auto"/>
        </w:rPr>
        <w:t>212-445-8458</w:t>
      </w:r>
    </w:p>
    <w:p>
      <w:pPr>
        <w:spacing w:after="0" w:line="200" w:lineRule="exact"/>
        <w:rPr>
          <w:sz w:val="20"/>
          <w:szCs w:val="20"/>
          <w:color w:val="auto"/>
        </w:rPr>
      </w:pPr>
    </w:p>
    <w:p>
      <w:pPr>
        <w:sectPr>
          <w:pgSz w:w="11900" w:h="16838" w:orient="portrait"/>
          <w:cols w:equalWidth="0" w:num="2">
            <w:col w:w="4440" w:space="720"/>
            <w:col w:w="505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July 18, 2002</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b w:val="1"/>
          <w:bCs w:val="1"/>
          <w:color w:val="auto"/>
        </w:rPr>
        <w:t>NN, INC. REPORTS 2002 SECOND QUARTER RESULTS</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Johnson City, Tenn., July 18, 2002 - NN, Inc. (Nasdaq: NNBR) today reported its financial results for the second quarter ended June 30, 2002. Results for the first half of 2002 reflect a full six months of the operations of Delta Rubber Company ("Delta") acquired on February 16, 2001 in a transaction using the purchase method of accounting.</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sales for the second quarter of 2002 were $49.2 million, up 3.9% from $47.3 million for the same period of 2001. Net income for the second quarter of 2002 totaled $2.4 million, or $0.15 per share, compared to net income of $3.5 million, or $0.23 per share, for the second quarter of 2001. Earnings per share of $0.23 for the second quarter of 2001 reflect an after-tax gain on insurance proceeds from the fire in NN's Erwin, Tennessee facility in March 2000 and goodwill amortization expenses. Excluding this gain and the goodwill amortization, net income totaled $2.2 million, or earnings per share of $0.14, for the second quarter of 2001.</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for the first half of 2002 were $96.4 million compared to $97.6 million for the same period of 2001. Net sales in the first half of 2001 reflect approximately 4 1/2 months of revenue contribution from Delta. Net income for the first half of 2002 totaled $4.3 million, or $0.27 per share, compared to $5.0 million, or $0.32 per share, for the first half of 2001. Excluding the aforementioned gain on insurance proceeds and goodwill amortization expenses for the first and second quarters, net income for the first half of 2001 totaled $3.8 million, or $0.25 per share.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January 1, 2002, the company adopted Statement of Financial Accounting Standard No.142 ("SFAS 142") "Goodwill and Other Intangible Assets," which states that goodwill and intangible assets deemed to have indefinite lives are no longer subject to amortization, but rather are periodically evaluated for impairment. The first half of 2001 included goodwill amortization expenses of approximately $490,000 net of tax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minority interest or $0.03 per share. The second quarter of 2001 included goodwill amortization, net of tax and minority interest, of $270,000 or $0.02 per share.</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David L. Dyckman, Chief Financial Officer, commented, "We are both pleased with and encouraged by our second quarter performance as our results exceeded our forecasts. We experienced increased revenue levels of approximately $1.8 million or 3.9% from the same period in 2001 while earnings per share rose 9.1%, after adjusting for the impact of the after-tax gain on insurance proceeds and the adoption of SFAS 142. On the revenue side, we benefited from on-going program initiatives at our bearing retainer and seal businesses. These increases were offset by the improving, yet still soft, economic environment. Volume levels at the domestic ball and roller division were approximately 4% below prior year levels, while Euroball revenues remained relatively flat, despite the favorable movement of currency exchange rates. Additionally, our earnings improvement reflects the significant impact of the cost structure programs we initiated last year. Further significant contributions to our earnings improvement included reduced interest expense due to improved interest rates as well as decreased debt levels and tax rate improvements.</w:t>
      </w:r>
    </w:p>
    <w:p>
      <w:pPr>
        <w:sectPr>
          <w:pgSz w:w="11900" w:h="16838" w:orient="portrait"/>
          <w:cols w:equalWidth="0" w:num="1">
            <w:col w:w="10219"/>
          </w:cols>
          <w:pgMar w:left="240" w:top="1440" w:right="1440" w:bottom="0" w:gutter="0" w:footer="0" w:header="0"/>
          <w:type w:val="continuous"/>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"As a percentage of net sales, the gross profit margin was 26.5% in the second quarter of 2002 versus 25.4% in the second quarter of 2001 and 24.7% in the first quarter of this year. This improvement reflects the continuing benefit of the initiatives to lower our cost structure last year including the consolidation of our domestic ball and roller operations in the fourth quarter of 2001.</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"Selling, general and administrative expenses for the second quarter of 2002 increased $933,000 to 9.8% as a percentage of net sales as compared to 8.2% in the prior year's second quarter. This increase was due primarily to three expense categories: 1) advisory services associated with the pursuit of certain strategic alternatives; 2) initiatives to continue the integration of the Euroball operations; and 3) non-cash compensation charges associated with a portion of the employee stock options. Selling, general and administrative expenses for the first half of 2002 increased $1.4 million to 9.7% as a percentage of net sales as compared to 8.1% in the same period of 2001. Given the majority of these items are non-repetitive in nature and were primarily incurred in the first two quarters, we anticipate the balance of the year to see SG&amp;A levels closer to 9%. Further, as a more typical economic environment returns, SG&amp;A levels should return to our 8.0% to 8.5% historic average."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Roderick R. Baty, Chairman and Chief Executive Officer, stated, "We are particularly pleased with the performance of our global management team and employees from an operating and financial perspective. Our team continues to be successful in serving the quality and service needs of our global customers. Our focus on cost reduction programs, balance sheet management and the maximization of cash flows has enabled us to achieve an aggressive debt reduction of $9.7 million since the beginning of the year. At this pay down rate,we will likely exceed our full year reduction goal of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"Although we are cautious regarding the unpredictable nature of our current economic environment, we are continuing to forecast an on-going modest recovery in the domestic economy and a level European economy. Our earnings per share guidance for the full year remains unchanged at $0.47 to $0.52. It is important to note that this represents an increase in net income of approximately $700,000 from our previous guidance. We have assumed the completion of our previously announced follow-on offering which would increase our outstanding shares by 2,600,000. We expect revenues for the third and fourth quarter of 2002 to be approximately $45.0 million and $47.0 million, respectively and earnings per share to be in the range of $0.10 to $0.11 for each quarter.</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summary, given the current environment, we believe NN is well positioned to achieve improving results. The successful implementation of initiatives to lower our cost structure, combined with our unique position as an integrated supplier of bearing components to our global customers positions us well in today's uncertain economic environment. More importantly, these initiatives have established a foundation for future improvements when the economy rebounds to more normal conditions," concluded Mr. Baty.</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2001.</w:t>
      </w:r>
    </w:p>
    <w:p>
      <w:pPr>
        <w:spacing w:after="0" w:line="208"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and had sales of US $180 million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Condensed Statements of Income</w:t>
      </w:r>
    </w:p>
    <w:p>
      <w:pPr>
        <w:jc w:val="center"/>
        <w:ind w:right="1779"/>
        <w:spacing w:after="0"/>
        <w:rPr>
          <w:sz w:val="20"/>
          <w:szCs w:val="20"/>
          <w:color w:val="auto"/>
        </w:rPr>
      </w:pPr>
      <w:r>
        <w:rPr>
          <w:rFonts w:ascii="Courier New" w:cs="Courier New" w:eastAsia="Courier New" w:hAnsi="Courier New"/>
          <w:sz w:val="18"/>
          <w:szCs w:val="18"/>
          <w:b w:val="1"/>
          <w:bCs w:val="1"/>
          <w:color w:val="auto"/>
        </w:rPr>
        <w:t>(In thousands, except per share amounts)</w:t>
      </w:r>
    </w:p>
    <w:p>
      <w:pPr>
        <w:jc w:val="center"/>
        <w:ind w:right="1659"/>
        <w:spacing w:after="0" w:line="237" w:lineRule="auto"/>
        <w:rPr>
          <w:sz w:val="20"/>
          <w:szCs w:val="20"/>
          <w:color w:val="auto"/>
        </w:rPr>
      </w:pPr>
      <w:r>
        <w:rPr>
          <w:rFonts w:ascii="Courier New" w:cs="Courier New" w:eastAsia="Courier New" w:hAnsi="Courier New"/>
          <w:sz w:val="18"/>
          <w:szCs w:val="18"/>
          <w:b w:val="1"/>
          <w:bCs w:val="1"/>
          <w:color w:val="auto"/>
        </w:rPr>
        <w:t>(Unaudited)</w:t>
      </w:r>
    </w:p>
    <w:p>
      <w:pPr>
        <w:sectPr>
          <w:pgSz w:w="11900" w:h="16838" w:orient="portrait"/>
          <w:cols w:equalWidth="0" w:num="1">
            <w:col w:w="10219"/>
          </w:cols>
          <w:pgMar w:left="240" w:top="344"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580" w:type="dxa"/>
            <w:vAlign w:val="bottom"/>
            <w:gridSpan w:val="4"/>
          </w:tcPr>
          <w:p>
            <w:pPr>
              <w:ind w:left="220"/>
              <w:spacing w:after="0"/>
              <w:rPr>
                <w:sz w:val="20"/>
                <w:szCs w:val="20"/>
                <w:color w:val="auto"/>
              </w:rPr>
            </w:pPr>
            <w:r>
              <w:rPr>
                <w:rFonts w:ascii="Courier New" w:cs="Courier New" w:eastAsia="Courier New" w:hAnsi="Courier New"/>
                <w:sz w:val="18"/>
                <w:szCs w:val="18"/>
                <w:b w:val="1"/>
                <w:bCs w:val="1"/>
                <w:color w:val="auto"/>
              </w:rPr>
              <w:t>Three Months Ended</w:t>
            </w:r>
          </w:p>
        </w:tc>
        <w:tc>
          <w:tcPr>
            <w:tcW w:w="320" w:type="dxa"/>
            <w:vAlign w:val="bottom"/>
          </w:tcPr>
          <w:p>
            <w:pPr>
              <w:spacing w:after="0"/>
              <w:rPr>
                <w:sz w:val="17"/>
                <w:szCs w:val="17"/>
                <w:color w:val="auto"/>
              </w:rPr>
            </w:pPr>
          </w:p>
        </w:tc>
        <w:tc>
          <w:tcPr>
            <w:tcW w:w="2060" w:type="dxa"/>
            <w:vAlign w:val="bottom"/>
            <w:gridSpan w:val="3"/>
          </w:tcPr>
          <w:p>
            <w:pPr>
              <w:jc w:val="right"/>
              <w:ind w:right="232"/>
              <w:spacing w:after="0"/>
              <w:rPr>
                <w:sz w:val="20"/>
                <w:szCs w:val="20"/>
                <w:color w:val="auto"/>
              </w:rPr>
            </w:pPr>
            <w:r>
              <w:rPr>
                <w:rFonts w:ascii="Courier New" w:cs="Courier New" w:eastAsia="Courier New" w:hAnsi="Courier New"/>
                <w:sz w:val="18"/>
                <w:szCs w:val="18"/>
                <w:b w:val="1"/>
                <w:bCs w:val="1"/>
                <w:color w:val="auto"/>
                <w:w w:val="99"/>
              </w:rPr>
              <w:t>Six Months Ended</w:t>
            </w:r>
          </w:p>
        </w:tc>
      </w:tr>
      <w:tr>
        <w:trPr>
          <w:trHeight w:val="203"/>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3"/>
          </w:tcPr>
          <w:p>
            <w:pPr>
              <w:jc w:val="right"/>
              <w:ind w:right="692"/>
              <w:spacing w:after="0" w:line="203" w:lineRule="exact"/>
              <w:rPr>
                <w:sz w:val="20"/>
                <w:szCs w:val="20"/>
                <w:color w:val="auto"/>
              </w:rPr>
            </w:pPr>
            <w:r>
              <w:rPr>
                <w:rFonts w:ascii="Courier New" w:cs="Courier New" w:eastAsia="Courier New" w:hAnsi="Courier New"/>
                <w:sz w:val="18"/>
                <w:szCs w:val="18"/>
                <w:b w:val="1"/>
                <w:bCs w:val="1"/>
                <w:color w:val="auto"/>
              </w:rPr>
              <w:t>June 30,</w:t>
            </w:r>
          </w:p>
        </w:tc>
        <w:tc>
          <w:tcPr>
            <w:tcW w:w="320" w:type="dxa"/>
            <w:vAlign w:val="bottom"/>
          </w:tcPr>
          <w:p>
            <w:pPr>
              <w:spacing w:after="0"/>
              <w:rPr>
                <w:sz w:val="17"/>
                <w:szCs w:val="17"/>
                <w:color w:val="auto"/>
              </w:rPr>
            </w:pPr>
          </w:p>
        </w:tc>
        <w:tc>
          <w:tcPr>
            <w:tcW w:w="206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b w:val="1"/>
                <w:bCs w:val="1"/>
                <w:color w:val="auto"/>
              </w:rPr>
              <w:t>June 30,</w:t>
            </w:r>
          </w:p>
        </w:tc>
      </w:tr>
      <w:tr>
        <w:trPr>
          <w:trHeight w:val="203"/>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3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320" w:type="dxa"/>
            <w:vAlign w:val="bottom"/>
          </w:tcPr>
          <w:p>
            <w:pPr>
              <w:spacing w:after="0"/>
              <w:rPr>
                <w:sz w:val="17"/>
                <w:szCs w:val="17"/>
                <w:color w:val="auto"/>
              </w:rPr>
            </w:pPr>
          </w:p>
        </w:tc>
        <w:tc>
          <w:tcPr>
            <w:tcW w:w="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b w:val="1"/>
                <w:bCs w:val="1"/>
                <w:color w:val="auto"/>
                <w:w w:val="97"/>
              </w:rPr>
              <w:t>2002</w:t>
            </w:r>
          </w:p>
        </w:tc>
        <w:tc>
          <w:tcPr>
            <w:tcW w:w="30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b w:val="1"/>
                <w:bCs w:val="1"/>
                <w:color w:val="auto"/>
              </w:rPr>
              <w:t>2001</w:t>
            </w:r>
          </w:p>
        </w:tc>
      </w:tr>
      <w:tr>
        <w:trPr>
          <w:trHeight w:val="203"/>
        </w:trPr>
        <w:tc>
          <w:tcPr>
            <w:tcW w:w="47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$ 49,186</w:t>
            </w:r>
          </w:p>
        </w:tc>
        <w:tc>
          <w:tcPr>
            <w:tcW w:w="12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$ 47,350</w:t>
            </w:r>
          </w:p>
        </w:tc>
        <w:tc>
          <w:tcPr>
            <w:tcW w:w="12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$ 96,386</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$ 97,577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8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36,139</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35,320</w:t>
            </w:r>
          </w:p>
        </w:tc>
        <w:tc>
          <w:tcPr>
            <w:tcW w:w="32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71,680</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73,504</w:t>
            </w:r>
          </w:p>
        </w:tc>
      </w:tr>
      <w:tr>
        <w:trPr>
          <w:trHeight w:val="203"/>
        </w:trPr>
        <w:tc>
          <w:tcPr>
            <w:tcW w:w="47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Gross profit</w:t>
            </w:r>
          </w:p>
        </w:tc>
        <w:tc>
          <w:tcPr>
            <w:tcW w:w="38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13,047</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12,030</w:t>
            </w:r>
          </w:p>
        </w:tc>
        <w:tc>
          <w:tcPr>
            <w:tcW w:w="32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24,706</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24,073</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administration</w:t>
            </w:r>
          </w:p>
        </w:tc>
        <w:tc>
          <w:tcPr>
            <w:tcW w:w="38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4,819</w:t>
            </w:r>
          </w:p>
        </w:tc>
        <w:tc>
          <w:tcPr>
            <w:tcW w:w="3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3,886</w:t>
            </w:r>
          </w:p>
        </w:tc>
        <w:tc>
          <w:tcPr>
            <w:tcW w:w="32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9,308</w:t>
            </w:r>
          </w:p>
        </w:tc>
        <w:tc>
          <w:tcPr>
            <w:tcW w:w="3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8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2,795</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3,386</w:t>
            </w:r>
          </w:p>
        </w:tc>
        <w:tc>
          <w:tcPr>
            <w:tcW w:w="32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5,620</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6,696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and impairment costs</w:t>
            </w:r>
          </w:p>
        </w:tc>
        <w:tc>
          <w:tcPr>
            <w:tcW w:w="38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w:t>
            </w:r>
          </w:p>
        </w:tc>
        <w:tc>
          <w:tcPr>
            <w:tcW w:w="30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8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5,433</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4,758</w:t>
            </w:r>
          </w:p>
        </w:tc>
        <w:tc>
          <w:tcPr>
            <w:tcW w:w="32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9,700</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9,477</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38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539</w:t>
            </w:r>
          </w:p>
        </w:tc>
        <w:tc>
          <w:tcPr>
            <w:tcW w:w="3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1,112</w:t>
            </w:r>
          </w:p>
        </w:tc>
        <w:tc>
          <w:tcPr>
            <w:tcW w:w="32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1,140</w:t>
            </w:r>
          </w:p>
        </w:tc>
        <w:tc>
          <w:tcPr>
            <w:tcW w:w="3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2,273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loss of unconsolidated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affiliate</w:t>
            </w:r>
          </w:p>
        </w:tc>
        <w:tc>
          <w:tcPr>
            <w:tcW w:w="38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320" w:type="dxa"/>
            <w:vAlign w:val="bottom"/>
          </w:tcPr>
          <w:p>
            <w:pPr>
              <w:spacing w:after="0"/>
              <w:rPr>
                <w:sz w:val="17"/>
                <w:szCs w:val="17"/>
                <w:color w:val="auto"/>
              </w:rPr>
            </w:pPr>
          </w:p>
        </w:tc>
        <w:tc>
          <w:tcPr>
            <w:tcW w:w="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gain on involuntary conversion</w:t>
            </w:r>
          </w:p>
        </w:tc>
        <w:tc>
          <w:tcPr>
            <w:tcW w:w="38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(2,542)</w:t>
            </w:r>
          </w:p>
        </w:tc>
        <w:tc>
          <w:tcPr>
            <w:tcW w:w="320" w:type="dxa"/>
            <w:vAlign w:val="bottom"/>
          </w:tcPr>
          <w:p>
            <w:pPr>
              <w:spacing w:after="0"/>
              <w:rPr>
                <w:sz w:val="17"/>
                <w:szCs w:val="17"/>
                <w:color w:val="auto"/>
              </w:rPr>
            </w:pPr>
          </w:p>
        </w:tc>
        <w:tc>
          <w:tcPr>
            <w:tcW w:w="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3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w:t>
            </w:r>
          </w:p>
        </w:tc>
        <w:tc>
          <w:tcPr>
            <w:tcW w:w="32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(344)</w:t>
            </w:r>
          </w:p>
        </w:tc>
        <w:tc>
          <w:tcPr>
            <w:tcW w:w="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(496)</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w:t>
            </w:r>
          </w:p>
        </w:tc>
      </w:tr>
      <w:tr>
        <w:trPr>
          <w:trHeight w:val="203"/>
        </w:trPr>
        <w:tc>
          <w:tcPr>
            <w:tcW w:w="47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38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5,035</w:t>
            </w:r>
          </w:p>
        </w:tc>
        <w:tc>
          <w:tcPr>
            <w:tcW w:w="3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6,509</w:t>
            </w:r>
          </w:p>
        </w:tc>
        <w:tc>
          <w:tcPr>
            <w:tcW w:w="32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9,056</w:t>
            </w:r>
          </w:p>
        </w:tc>
        <w:tc>
          <w:tcPr>
            <w:tcW w:w="3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10,227</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38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1,840</w:t>
            </w:r>
          </w:p>
        </w:tc>
        <w:tc>
          <w:tcPr>
            <w:tcW w:w="3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2,437</w:t>
            </w:r>
          </w:p>
        </w:tc>
        <w:tc>
          <w:tcPr>
            <w:tcW w:w="32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3,345</w:t>
            </w:r>
          </w:p>
        </w:tc>
        <w:tc>
          <w:tcPr>
            <w:tcW w:w="3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4,073</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w w:val="99"/>
              </w:rPr>
              <w:t>Minority interest in consolidated subsidiary</w:t>
            </w:r>
          </w:p>
        </w:tc>
        <w:tc>
          <w:tcPr>
            <w:tcW w:w="38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787</w:t>
            </w:r>
          </w:p>
        </w:tc>
        <w:tc>
          <w:tcPr>
            <w:tcW w:w="3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566</w:t>
            </w:r>
          </w:p>
        </w:tc>
        <w:tc>
          <w:tcPr>
            <w:tcW w:w="32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1,454</w:t>
            </w:r>
          </w:p>
        </w:tc>
        <w:tc>
          <w:tcPr>
            <w:tcW w:w="3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1,102</w:t>
            </w:r>
          </w:p>
        </w:tc>
      </w:tr>
      <w:tr>
        <w:trPr>
          <w:trHeight w:val="203"/>
        </w:trPr>
        <w:tc>
          <w:tcPr>
            <w:tcW w:w="47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before cumulative effect of change in</w:t>
            </w:r>
          </w:p>
        </w:tc>
        <w:tc>
          <w:tcPr>
            <w:tcW w:w="38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2,408</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3,506</w:t>
            </w:r>
          </w:p>
        </w:tc>
        <w:tc>
          <w:tcPr>
            <w:tcW w:w="32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4,257</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principle, net of income tax benefit of $112</w:t>
            </w:r>
          </w:p>
        </w:tc>
        <w:tc>
          <w:tcPr>
            <w:tcW w:w="38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47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3,506</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4,954</w:t>
            </w:r>
          </w:p>
        </w:tc>
      </w:tr>
      <w:tr>
        <w:trPr>
          <w:trHeight w:val="203"/>
        </w:trPr>
        <w:tc>
          <w:tcPr>
            <w:tcW w:w="47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Diluted Income per common share</w:t>
            </w:r>
          </w:p>
        </w:tc>
        <w:tc>
          <w:tcPr>
            <w:tcW w:w="3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0.23</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0.27</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0.32</w:t>
            </w:r>
          </w:p>
        </w:tc>
      </w:tr>
      <w:tr>
        <w:trPr>
          <w:trHeight w:val="203"/>
        </w:trPr>
        <w:tc>
          <w:tcPr>
            <w:tcW w:w="474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Condensed Balance Sheets</w:t>
      </w:r>
    </w:p>
    <w:p>
      <w:pPr>
        <w:jc w:val="center"/>
        <w:ind w:right="1779"/>
        <w:spacing w:after="0"/>
        <w:rPr>
          <w:sz w:val="20"/>
          <w:szCs w:val="20"/>
          <w:color w:val="auto"/>
        </w:rPr>
      </w:pPr>
      <w:r>
        <w:rPr>
          <w:rFonts w:ascii="Courier New" w:cs="Courier New" w:eastAsia="Courier New" w:hAnsi="Courier New"/>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060" w:type="dxa"/>
            <w:vAlign w:val="bottom"/>
          </w:tcPr>
          <w:p>
            <w:pPr>
              <w:jc w:val="right"/>
              <w:ind w:right="72"/>
              <w:spacing w:after="0"/>
              <w:rPr>
                <w:sz w:val="20"/>
                <w:szCs w:val="20"/>
                <w:color w:val="auto"/>
              </w:rPr>
            </w:pPr>
            <w:r>
              <w:rPr>
                <w:rFonts w:ascii="Courier New" w:cs="Courier New" w:eastAsia="Courier New" w:hAnsi="Courier New"/>
                <w:sz w:val="18"/>
                <w:szCs w:val="18"/>
                <w:b w:val="1"/>
                <w:bCs w:val="1"/>
                <w:color w:val="auto"/>
              </w:rPr>
              <w:t>June 30,</w:t>
            </w:r>
          </w:p>
        </w:tc>
        <w:tc>
          <w:tcPr>
            <w:tcW w:w="132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December 31,</w:t>
            </w:r>
          </w:p>
        </w:tc>
      </w:tr>
      <w:tr>
        <w:trPr>
          <w:trHeight w:val="203"/>
        </w:trPr>
        <w:tc>
          <w:tcPr>
            <w:tcW w:w="4740" w:type="dxa"/>
            <w:vAlign w:val="bottom"/>
          </w:tcPr>
          <w:p>
            <w:pPr>
              <w:spacing w:after="0"/>
              <w:rPr>
                <w:sz w:val="17"/>
                <w:szCs w:val="17"/>
                <w:color w:val="auto"/>
              </w:rPr>
            </w:pPr>
          </w:p>
        </w:tc>
        <w:tc>
          <w:tcPr>
            <w:tcW w:w="2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2001</w:t>
            </w:r>
          </w:p>
        </w:tc>
      </w:tr>
      <w:tr>
        <w:trPr>
          <w:trHeight w:val="203"/>
        </w:trPr>
        <w:tc>
          <w:tcPr>
            <w:tcW w:w="474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(Unaudited)</w:t>
            </w:r>
          </w:p>
        </w:tc>
        <w:tc>
          <w:tcPr>
            <w:tcW w:w="132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 ------------</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Assets</w:t>
            </w: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3,443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3,024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31,600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24,832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net</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21,897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23,418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3,599</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current deferred tax asset</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4740" w:type="dxa"/>
            <w:vAlign w:val="bottom"/>
          </w:tcPr>
          <w:p>
            <w:pPr>
              <w:spacing w:after="0"/>
              <w:rPr>
                <w:sz w:val="17"/>
                <w:szCs w:val="17"/>
                <w:color w:val="auto"/>
              </w:rPr>
            </w:pP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61,895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55,617</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84,756</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82,770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held for sale</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3,628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4,348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40,876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39,805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4,683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4,862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deferred tax asset</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733</w:t>
            </w:r>
          </w:p>
        </w:tc>
      </w:tr>
      <w:tr>
        <w:trPr>
          <w:trHeight w:val="203"/>
        </w:trPr>
        <w:tc>
          <w:tcPr>
            <w:tcW w:w="4740" w:type="dxa"/>
            <w:vAlign w:val="bottom"/>
          </w:tcPr>
          <w:p>
            <w:pPr>
              <w:spacing w:after="0"/>
              <w:rPr>
                <w:sz w:val="17"/>
                <w:szCs w:val="17"/>
                <w:color w:val="auto"/>
              </w:rPr>
            </w:pP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assets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$196,571</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$188,135</w:t>
            </w:r>
          </w:p>
        </w:tc>
      </w:tr>
      <w:tr>
        <w:trPr>
          <w:trHeight w:val="203"/>
        </w:trPr>
        <w:tc>
          <w:tcPr>
            <w:tcW w:w="4740" w:type="dxa"/>
            <w:vAlign w:val="bottom"/>
          </w:tcPr>
          <w:p>
            <w:pPr>
              <w:spacing w:after="0"/>
              <w:rPr>
                <w:sz w:val="17"/>
                <w:szCs w:val="17"/>
                <w:color w:val="auto"/>
              </w:rPr>
            </w:pP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b w:val="1"/>
                <w:bCs w:val="1"/>
                <w:color w:val="auto"/>
              </w:rPr>
              <w:t>Liabilities and Stockholders' Equity</w:t>
            </w: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$ 19,855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$ 15,693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5,757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3,121</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affiliates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portion of long term notes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9,430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7,576</w:t>
            </w:r>
          </w:p>
        </w:tc>
      </w:tr>
    </w:tbl>
    <w:p>
      <w:pPr>
        <w:sectPr>
          <w:pgSz w:w="11900" w:h="16838" w:orient="portrait"/>
          <w:cols w:equalWidth="0" w:num="1">
            <w:col w:w="10219"/>
          </w:cols>
          <w:pgMar w:left="240" w:top="13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46,190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37,736</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subsidiaries</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36,104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30,932</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6,499</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notes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37,957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47,661</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4,167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3,268</w:t>
            </w:r>
          </w:p>
        </w:tc>
      </w:tr>
      <w:tr>
        <w:trPr>
          <w:trHeight w:val="203"/>
        </w:trPr>
        <w:tc>
          <w:tcPr>
            <w:tcW w:w="55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131,069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126,096</w:t>
            </w:r>
          </w:p>
        </w:tc>
      </w:tr>
      <w:tr>
        <w:trPr>
          <w:trHeight w:val="405"/>
        </w:trPr>
        <w:tc>
          <w:tcPr>
            <w:tcW w:w="5540" w:type="dxa"/>
            <w:vAlign w:val="bottom"/>
          </w:tcPr>
          <w:p>
            <w:pPr>
              <w:ind w:left="960"/>
              <w:spacing w:after="0"/>
              <w:rPr>
                <w:sz w:val="20"/>
                <w:szCs w:val="20"/>
                <w:color w:val="auto"/>
              </w:rPr>
            </w:pPr>
            <w:r>
              <w:rPr>
                <w:rFonts w:ascii="Courier New" w:cs="Courier New" w:eastAsia="Courier New" w:hAnsi="Courier New"/>
                <w:sz w:val="18"/>
                <w:szCs w:val="18"/>
                <w:color w:val="auto"/>
              </w:rPr>
              <w:t>Total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65,502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62,039</w:t>
            </w:r>
          </w:p>
        </w:tc>
      </w:tr>
      <w:tr>
        <w:trPr>
          <w:trHeight w:val="203"/>
        </w:trPr>
        <w:tc>
          <w:tcPr>
            <w:tcW w:w="55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96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$196,571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$188,135</w:t>
            </w:r>
          </w:p>
        </w:tc>
      </w:tr>
      <w:tr>
        <w:trPr>
          <w:trHeight w:val="203"/>
        </w:trPr>
        <w:tc>
          <w:tcPr>
            <w:tcW w:w="55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2019-12-14T03:09:27Z</dcterms:created>
  <dcterms:modified xsi:type="dcterms:W3CDTF">2019-12-14T03:09:27Z</dcterms:modified>
</cp:coreProperties>
</file>