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817"/>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1033"/>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249"/>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1933"/>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424"/>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640"/>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2856"/>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640" w:h="160" w:wrap="auto" w:vAnchor="page" w:hAnchor="page" w:x="3640" w:y="3558"/>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May 17, 2012</w:t>
      </w:r>
    </w:p>
    <w:p>
      <w:pPr>
        <w:spacing w:after="0" w:line="185" w:lineRule="auto"/>
        <w:framePr w:w="1540" w:h="321" w:wrap="auto" w:vAnchor="page" w:hAnchor="page" w:x="5180" w:y="6032"/>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t>NN, INC.</w:t>
      </w:r>
    </w:p>
    <w:p>
      <w:pPr>
        <w:spacing w:after="0" w:line="20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998220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2704465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200" w:lineRule="exact"/>
        <w:rPr>
          <w:rFonts w:ascii="Arial" w:cs="Arial" w:eastAsia="Arial" w:hAnsi="Arial"/>
          <w:sz w:val="36"/>
          <w:szCs w:val="36"/>
          <w:b w:val="1"/>
          <w:bCs w:val="1"/>
          <w:u w:val="single" w:color="auto"/>
          <w:color w:val="auto"/>
        </w:rPr>
      </w:pPr>
    </w:p>
    <w:p>
      <w:pPr>
        <w:spacing w:after="0" w:line="393" w:lineRule="exact"/>
        <w:rPr>
          <w:rFonts w:ascii="Arial" w:cs="Arial" w:eastAsia="Arial" w:hAnsi="Arial"/>
          <w:sz w:val="36"/>
          <w:szCs w:val="36"/>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40" w:type="dxa"/>
            <w:vAlign w:val="bottom"/>
            <w:gridSpan w:val="5"/>
          </w:tcPr>
          <w:p>
            <w:pPr>
              <w:jc w:val="center"/>
              <w:ind w:left="1170"/>
              <w:spacing w:after="0"/>
              <w:rPr>
                <w:sz w:val="20"/>
                <w:szCs w:val="20"/>
                <w:color w:val="auto"/>
              </w:rPr>
            </w:pPr>
            <w:r>
              <w:rPr>
                <w:rFonts w:ascii="Arial" w:cs="Arial" w:eastAsia="Arial" w:hAnsi="Arial"/>
                <w:sz w:val="18"/>
                <w:szCs w:val="18"/>
                <w:color w:val="auto"/>
                <w:w w:val="90"/>
              </w:rPr>
              <w:t>(Exact name of registrant as specified in its charter)</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80" w:type="dxa"/>
            <w:vAlign w:val="bottom"/>
            <w:gridSpan w:val="2"/>
          </w:tcPr>
          <w:p>
            <w:pPr>
              <w:spacing w:after="0"/>
              <w:rPr>
                <w:sz w:val="24"/>
                <w:szCs w:val="24"/>
                <w:color w:val="auto"/>
              </w:rPr>
            </w:pPr>
          </w:p>
        </w:tc>
        <w:tc>
          <w:tcPr>
            <w:tcW w:w="35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0-23486</w:t>
            </w:r>
          </w:p>
        </w:tc>
        <w:tc>
          <w:tcPr>
            <w:tcW w:w="290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4060" w:type="dxa"/>
            <w:vAlign w:val="bottom"/>
            <w:gridSpan w:val="4"/>
          </w:tcPr>
          <w:p>
            <w:pPr>
              <w:jc w:val="center"/>
              <w:ind w:right="58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(Commission File Number)</w:t>
            </w:r>
          </w:p>
        </w:tc>
        <w:tc>
          <w:tcPr>
            <w:tcW w:w="2900" w:type="dxa"/>
            <w:vAlign w:val="bottom"/>
            <w:gridSpan w:val="5"/>
          </w:tcPr>
          <w:p>
            <w:pPr>
              <w:jc w:val="center"/>
              <w:ind w:left="1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6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2000 Waters Edge Drive, Johnson City, Tennessee</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4"/>
          </w:tcPr>
          <w:p>
            <w:pPr>
              <w:jc w:val="right"/>
              <w:ind w:right="300"/>
              <w:spacing w:after="0"/>
              <w:rPr>
                <w:sz w:val="20"/>
                <w:szCs w:val="20"/>
                <w:color w:val="auto"/>
              </w:rPr>
            </w:pPr>
            <w:r>
              <w:rPr>
                <w:rFonts w:ascii="Arial" w:cs="Arial" w:eastAsia="Arial" w:hAnsi="Arial"/>
                <w:sz w:val="18"/>
                <w:szCs w:val="18"/>
                <w:color w:val="auto"/>
              </w:rPr>
              <w:t>37604</w:t>
            </w:r>
          </w:p>
        </w:tc>
        <w:tc>
          <w:tcPr>
            <w:tcW w:w="86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00" w:type="dxa"/>
            <w:vAlign w:val="bottom"/>
            <w:gridSpan w:val="5"/>
          </w:tcPr>
          <w:p>
            <w:pPr>
              <w:jc w:val="center"/>
              <w:ind w:left="5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6"/>
          <w:szCs w:val="36"/>
          <w:b w:val="1"/>
          <w:bCs w:val="1"/>
          <w:u w:val="single" w:color="auto"/>
          <w:color w:val="auto"/>
        </w:rPr>
      </w:pPr>
    </w:p>
    <w:p>
      <w:pPr>
        <w:jc w:val="center"/>
        <w:ind w:right="-21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6"/>
          <w:szCs w:val="36"/>
          <w:b w:val="1"/>
          <w:bCs w:val="1"/>
          <w:u w:val="single" w:color="auto"/>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6"/>
          <w:szCs w:val="36"/>
          <w:b w:val="1"/>
          <w:bCs w:val="1"/>
          <w:u w:val="single" w:color="auto"/>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6"/>
          <w:szCs w:val="36"/>
          <w:b w:val="1"/>
          <w:bCs w:val="1"/>
          <w:u w:val="single" w:color="auto"/>
          <w:color w:val="auto"/>
        </w:rPr>
      </w:pPr>
    </w:p>
    <w:p>
      <w:pPr>
        <w:spacing w:after="0" w:line="295" w:lineRule="exact"/>
        <w:rPr>
          <w:rFonts w:ascii="Arial" w:cs="Arial" w:eastAsia="Arial" w:hAnsi="Arial"/>
          <w:sz w:val="36"/>
          <w:szCs w:val="36"/>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6"/>
          <w:szCs w:val="36"/>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6"/>
          <w:szCs w:val="36"/>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tcPr>
          <w:p>
            <w:pPr>
              <w:ind w:left="120"/>
              <w:spacing w:after="0"/>
              <w:rPr>
                <w:sz w:val="20"/>
                <w:szCs w:val="20"/>
                <w:color w:val="auto"/>
              </w:rPr>
            </w:pPr>
            <w:r>
              <w:rPr>
                <w:rFonts w:ascii="Arial" w:cs="Arial" w:eastAsia="Arial" w:hAnsi="Arial"/>
                <w:sz w:val="18"/>
                <w:szCs w:val="18"/>
                <w:color w:val="auto"/>
              </w:rPr>
              <w:t>2(b))</w:t>
            </w:r>
          </w:p>
        </w:tc>
      </w:tr>
      <w:tr>
        <w:trPr>
          <w:trHeight w:val="459"/>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40" w:type="dxa"/>
            <w:vAlign w:val="bottom"/>
          </w:tcPr>
          <w:p>
            <w:pPr>
              <w:ind w:left="100"/>
              <w:spacing w:after="0"/>
              <w:rPr>
                <w:sz w:val="20"/>
                <w:szCs w:val="20"/>
                <w:color w:val="auto"/>
              </w:rPr>
            </w:pPr>
            <w:r>
              <w:rPr>
                <w:rFonts w:ascii="Arial" w:cs="Arial" w:eastAsia="Arial" w:hAnsi="Arial"/>
                <w:sz w:val="18"/>
                <w:szCs w:val="18"/>
                <w:color w:val="auto"/>
              </w:rPr>
              <w:t>4(c))</w:t>
            </w:r>
          </w:p>
        </w:tc>
      </w:tr>
      <w:tr>
        <w:trPr>
          <w:trHeight w:val="341"/>
        </w:trPr>
        <w:tc>
          <w:tcPr>
            <w:tcW w:w="4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71"/>
        </w:trPr>
        <w:tc>
          <w:tcPr>
            <w:tcW w:w="420" w:type="dxa"/>
            <w:vAlign w:val="bottom"/>
            <w:shd w:val="clear" w:color="auto" w:fill="808080"/>
          </w:tcPr>
          <w:p>
            <w:pPr>
              <w:spacing w:after="0"/>
              <w:rPr>
                <w:sz w:val="6"/>
                <w:szCs w:val="6"/>
                <w:color w:val="auto"/>
              </w:rPr>
            </w:pPr>
          </w:p>
        </w:tc>
        <w:tc>
          <w:tcPr>
            <w:tcW w:w="8060" w:type="dxa"/>
            <w:vAlign w:val="bottom"/>
            <w:shd w:val="clear" w:color="auto" w:fill="808080"/>
          </w:tcPr>
          <w:p>
            <w:pPr>
              <w:spacing w:after="0"/>
              <w:rPr>
                <w:sz w:val="6"/>
                <w:szCs w:val="6"/>
                <w:color w:val="auto"/>
              </w:rPr>
            </w:pPr>
          </w:p>
        </w:tc>
        <w:tc>
          <w:tcPr>
            <w:tcW w:w="2940" w:type="dxa"/>
            <w:vAlign w:val="bottom"/>
            <w:shd w:val="clear" w:color="auto" w:fill="808080"/>
          </w:tcPr>
          <w:p>
            <w:pPr>
              <w:spacing w:after="0"/>
              <w:rPr>
                <w:sz w:val="6"/>
                <w:szCs w:val="6"/>
                <w:color w:val="auto"/>
              </w:rPr>
            </w:pPr>
          </w:p>
        </w:tc>
      </w:tr>
      <w:tr>
        <w:trPr>
          <w:trHeight w:val="510"/>
        </w:trPr>
        <w:tc>
          <w:tcPr>
            <w:tcW w:w="42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rFonts w:ascii="Arial" w:cs="Arial" w:eastAsia="Arial" w:hAnsi="Arial"/>
          <w:sz w:val="36"/>
          <w:szCs w:val="36"/>
          <w:b w:val="1"/>
          <w:bCs w:val="1"/>
          <w:u w:val="single" w:color="auto"/>
          <w:color w:val="auto"/>
        </w:rPr>
      </w:pPr>
      <w:r>
        <w:rPr>
          <w:rFonts w:ascii="Arial" w:cs="Arial" w:eastAsia="Arial" w:hAnsi="Arial"/>
          <w:sz w:val="36"/>
          <w:szCs w:val="36"/>
          <w:b w:val="1"/>
          <w:bCs w:val="1"/>
          <w:u w:val="single" w:color="auto"/>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firstLine="42"/>
        <w:spacing w:after="0" w:line="277" w:lineRule="auto"/>
        <w:rPr>
          <w:sz w:val="20"/>
          <w:szCs w:val="20"/>
          <w:color w:val="auto"/>
        </w:rPr>
      </w:pPr>
      <w:r>
        <w:rPr>
          <w:rFonts w:ascii="Arial" w:cs="Arial" w:eastAsia="Arial" w:hAnsi="Arial"/>
          <w:sz w:val="18"/>
          <w:szCs w:val="18"/>
          <w:color w:val="auto"/>
        </w:rPr>
        <w:t>The 2012 Annual Meeting of the shareholders of NN, Inc. (the “</w:t>
      </w:r>
      <w:r>
        <w:rPr>
          <w:rFonts w:ascii="Arial" w:cs="Arial" w:eastAsia="Arial" w:hAnsi="Arial"/>
          <w:sz w:val="18"/>
          <w:szCs w:val="18"/>
          <w:u w:val="single" w:color="auto"/>
          <w:color w:val="auto"/>
        </w:rPr>
        <w:t>Company</w:t>
      </w:r>
      <w:r>
        <w:rPr>
          <w:rFonts w:ascii="Arial" w:cs="Arial" w:eastAsia="Arial" w:hAnsi="Arial"/>
          <w:sz w:val="18"/>
          <w:szCs w:val="18"/>
          <w:color w:val="auto"/>
        </w:rPr>
        <w:t>”) was held on May 17, 2012. At the Annual Meeting, the following proposals were considered:</w:t>
      </w:r>
    </w:p>
    <w:p>
      <w:pPr>
        <w:spacing w:after="0" w:line="197" w:lineRule="exact"/>
        <w:rPr>
          <w:sz w:val="20"/>
          <w:szCs w:val="20"/>
          <w:color w:val="auto"/>
        </w:rPr>
      </w:pPr>
    </w:p>
    <w:p>
      <w:pPr>
        <w:ind w:left="980" w:hanging="299"/>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II directors to serve for a term of three years;</w:t>
      </w:r>
    </w:p>
    <w:p>
      <w:pPr>
        <w:spacing w:after="0" w:line="252" w:lineRule="exact"/>
        <w:rPr>
          <w:rFonts w:ascii="Arial" w:cs="Arial" w:eastAsia="Arial" w:hAnsi="Arial"/>
          <w:sz w:val="18"/>
          <w:szCs w:val="18"/>
          <w:color w:val="auto"/>
        </w:rPr>
      </w:pPr>
    </w:p>
    <w:p>
      <w:pPr>
        <w:ind w:left="980" w:hanging="299"/>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resolution to approve executive compensation; and</w:t>
      </w:r>
    </w:p>
    <w:p>
      <w:pPr>
        <w:spacing w:after="0" w:line="252" w:lineRule="exact"/>
        <w:rPr>
          <w:rFonts w:ascii="Arial" w:cs="Arial" w:eastAsia="Arial" w:hAnsi="Arial"/>
          <w:sz w:val="18"/>
          <w:szCs w:val="18"/>
          <w:color w:val="auto"/>
        </w:rPr>
      </w:pPr>
    </w:p>
    <w:p>
      <w:pPr>
        <w:ind w:left="980" w:hanging="299"/>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selection of PricewaterhouseCoopers LLP as the Company’s registered independent public accounting firm for the fiscal year ending December 31, 2012.</w:t>
      </w:r>
    </w:p>
    <w:p>
      <w:pPr>
        <w:spacing w:after="0" w:line="197" w:lineRule="exact"/>
        <w:rPr>
          <w:sz w:val="20"/>
          <w:szCs w:val="20"/>
          <w:color w:val="auto"/>
        </w:rPr>
      </w:pPr>
    </w:p>
    <w:p>
      <w:pPr>
        <w:jc w:val="both"/>
        <w:ind w:firstLine="69"/>
        <w:spacing w:after="0" w:line="264" w:lineRule="auto"/>
        <w:rPr>
          <w:sz w:val="20"/>
          <w:szCs w:val="20"/>
          <w:color w:val="auto"/>
        </w:rPr>
      </w:pPr>
      <w:r>
        <w:rPr>
          <w:rFonts w:ascii="Arial" w:cs="Arial" w:eastAsia="Arial" w:hAnsi="Arial"/>
          <w:sz w:val="18"/>
          <w:szCs w:val="18"/>
          <w:color w:val="auto"/>
        </w:rPr>
        <w:t>Each of the proposals were approved, and 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Two Class II directors were elected, and the aggregate votes cast for or withheld, and the broker non-votes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20" w:type="dxa"/>
            <w:vAlign w:val="bottom"/>
            <w:gridSpan w:val="2"/>
          </w:tcPr>
          <w:p>
            <w:pPr>
              <w:jc w:val="center"/>
              <w:ind w:right="1380"/>
              <w:spacing w:after="0"/>
              <w:rPr>
                <w:sz w:val="20"/>
                <w:szCs w:val="20"/>
                <w:color w:val="auto"/>
              </w:rPr>
            </w:pPr>
            <w:r>
              <w:rPr>
                <w:rFonts w:ascii="Arial" w:cs="Arial" w:eastAsia="Arial" w:hAnsi="Arial"/>
                <w:sz w:val="18"/>
                <w:szCs w:val="18"/>
                <w:color w:val="auto"/>
                <w:w w:val="88"/>
              </w:rPr>
              <w:t>For</w:t>
            </w:r>
          </w:p>
        </w:tc>
        <w:tc>
          <w:tcPr>
            <w:tcW w:w="1760" w:type="dxa"/>
            <w:vAlign w:val="bottom"/>
            <w:gridSpan w:val="2"/>
          </w:tcPr>
          <w:p>
            <w:pPr>
              <w:jc w:val="center"/>
              <w:ind w:left="1010"/>
              <w:spacing w:after="0"/>
              <w:rPr>
                <w:sz w:val="20"/>
                <w:szCs w:val="20"/>
                <w:color w:val="auto"/>
              </w:rPr>
            </w:pPr>
            <w:r>
              <w:rPr>
                <w:rFonts w:ascii="Arial" w:cs="Arial" w:eastAsia="Arial" w:hAnsi="Arial"/>
                <w:sz w:val="18"/>
                <w:szCs w:val="18"/>
                <w:color w:val="auto"/>
                <w:w w:val="94"/>
              </w:rPr>
              <w:t>Withheld</w:t>
            </w:r>
          </w:p>
        </w:tc>
        <w:tc>
          <w:tcPr>
            <w:tcW w:w="3180" w:type="dxa"/>
            <w:vAlign w:val="bottom"/>
            <w:gridSpan w:val="2"/>
          </w:tcPr>
          <w:p>
            <w:pPr>
              <w:jc w:val="center"/>
              <w:ind w:left="1770"/>
              <w:spacing w:after="0"/>
              <w:rPr>
                <w:sz w:val="20"/>
                <w:szCs w:val="20"/>
                <w:color w:val="auto"/>
              </w:rPr>
            </w:pPr>
            <w:r>
              <w:rPr>
                <w:rFonts w:ascii="Arial" w:cs="Arial" w:eastAsia="Arial" w:hAnsi="Arial"/>
                <w:sz w:val="18"/>
                <w:szCs w:val="18"/>
                <w:color w:val="auto"/>
                <w:w w:val="92"/>
              </w:rPr>
              <w:t>Broker Non-Votes</w:t>
            </w:r>
          </w:p>
        </w:tc>
      </w:tr>
      <w:tr>
        <w:trPr>
          <w:trHeight w:val="20"/>
        </w:trPr>
        <w:tc>
          <w:tcPr>
            <w:tcW w:w="2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49"/>
        </w:trPr>
        <w:tc>
          <w:tcPr>
            <w:tcW w:w="2580" w:type="dxa"/>
            <w:vAlign w:val="bottom"/>
          </w:tcPr>
          <w:p>
            <w:pPr>
              <w:spacing w:after="0"/>
              <w:rPr>
                <w:sz w:val="20"/>
                <w:szCs w:val="20"/>
                <w:color w:val="auto"/>
              </w:rPr>
            </w:pPr>
            <w:r>
              <w:rPr>
                <w:rFonts w:ascii="Arial" w:cs="Arial" w:eastAsia="Arial" w:hAnsi="Arial"/>
                <w:sz w:val="18"/>
                <w:szCs w:val="18"/>
                <w:color w:val="auto"/>
              </w:rPr>
              <w:t>Roderick R. Baty</w:t>
            </w:r>
          </w:p>
        </w:tc>
        <w:tc>
          <w:tcPr>
            <w:tcW w:w="320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11,013,936</w:t>
            </w:r>
          </w:p>
        </w:tc>
        <w:tc>
          <w:tcPr>
            <w:tcW w:w="176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721,316</w:t>
            </w:r>
          </w:p>
        </w:tc>
        <w:tc>
          <w:tcPr>
            <w:tcW w:w="31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3,052,481</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David L. Pugh</w:t>
            </w:r>
          </w:p>
        </w:tc>
        <w:tc>
          <w:tcPr>
            <w:tcW w:w="320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11,389,740</w:t>
            </w:r>
          </w:p>
        </w:tc>
        <w:tc>
          <w:tcPr>
            <w:tcW w:w="176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345,512</w:t>
            </w:r>
          </w:p>
        </w:tc>
        <w:tc>
          <w:tcPr>
            <w:tcW w:w="318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3,052,481</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advisory resolution on the compensation of our named executive officers was approved, and the aggregate votes cast for or against, as well as the abstentions and broker non-votes, were as follows:</w:t>
      </w:r>
    </w:p>
    <w:p>
      <w:pPr>
        <w:spacing w:after="0" w:line="180"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1600" w:type="dxa"/>
            <w:vAlign w:val="bottom"/>
            <w:gridSpan w:val="2"/>
          </w:tcPr>
          <w:p>
            <w:pPr>
              <w:jc w:val="center"/>
              <w:ind w:right="1360"/>
              <w:spacing w:after="0"/>
              <w:rPr>
                <w:sz w:val="20"/>
                <w:szCs w:val="20"/>
                <w:color w:val="auto"/>
              </w:rPr>
            </w:pPr>
            <w:r>
              <w:rPr>
                <w:rFonts w:ascii="Arial" w:cs="Arial" w:eastAsia="Arial" w:hAnsi="Arial"/>
                <w:sz w:val="18"/>
                <w:szCs w:val="18"/>
                <w:color w:val="auto"/>
                <w:w w:val="88"/>
              </w:rPr>
              <w:t>For</w:t>
            </w:r>
          </w:p>
        </w:tc>
        <w:tc>
          <w:tcPr>
            <w:tcW w:w="10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Against</w:t>
            </w:r>
          </w:p>
        </w:tc>
        <w:tc>
          <w:tcPr>
            <w:tcW w:w="2880" w:type="dxa"/>
            <w:vAlign w:val="bottom"/>
            <w:gridSpan w:val="3"/>
          </w:tcPr>
          <w:p>
            <w:pPr>
              <w:jc w:val="center"/>
              <w:ind w:left="170"/>
              <w:spacing w:after="0"/>
              <w:rPr>
                <w:sz w:val="20"/>
                <w:szCs w:val="20"/>
                <w:color w:val="auto"/>
              </w:rPr>
            </w:pPr>
            <w:r>
              <w:rPr>
                <w:rFonts w:ascii="Arial" w:cs="Arial" w:eastAsia="Arial" w:hAnsi="Arial"/>
                <w:sz w:val="18"/>
                <w:szCs w:val="18"/>
                <w:color w:val="auto"/>
                <w:w w:val="91"/>
              </w:rPr>
              <w:t>Abstentions</w:t>
            </w:r>
          </w:p>
        </w:tc>
        <w:tc>
          <w:tcPr>
            <w:tcW w:w="2200" w:type="dxa"/>
            <w:vAlign w:val="bottom"/>
            <w:gridSpan w:val="2"/>
          </w:tcPr>
          <w:p>
            <w:pPr>
              <w:jc w:val="center"/>
              <w:ind w:left="790"/>
              <w:spacing w:after="0"/>
              <w:rPr>
                <w:sz w:val="20"/>
                <w:szCs w:val="20"/>
                <w:color w:val="auto"/>
              </w:rPr>
            </w:pPr>
            <w:r>
              <w:rPr>
                <w:rFonts w:ascii="Arial" w:cs="Arial" w:eastAsia="Arial" w:hAnsi="Arial"/>
                <w:sz w:val="18"/>
                <w:szCs w:val="18"/>
                <w:color w:val="auto"/>
                <w:w w:val="92"/>
              </w:rPr>
              <w:t>Broker Non-Votes</w:t>
            </w:r>
          </w:p>
        </w:tc>
      </w:tr>
      <w:tr>
        <w:trPr>
          <w:trHeight w:val="20"/>
        </w:trPr>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64"/>
        </w:trPr>
        <w:tc>
          <w:tcPr>
            <w:tcW w:w="1880" w:type="dxa"/>
            <w:vAlign w:val="bottom"/>
            <w:gridSpan w:val="3"/>
          </w:tcPr>
          <w:p>
            <w:pPr>
              <w:jc w:val="right"/>
              <w:ind w:right="1080"/>
              <w:spacing w:after="0"/>
              <w:rPr>
                <w:sz w:val="20"/>
                <w:szCs w:val="20"/>
                <w:color w:val="auto"/>
              </w:rPr>
            </w:pPr>
            <w:r>
              <w:rPr>
                <w:rFonts w:ascii="Arial" w:cs="Arial" w:eastAsia="Arial" w:hAnsi="Arial"/>
                <w:sz w:val="18"/>
                <w:szCs w:val="18"/>
                <w:color w:val="auto"/>
                <w:w w:val="86"/>
              </w:rPr>
              <w:t>10,901,563</w:t>
            </w:r>
          </w:p>
        </w:tc>
        <w:tc>
          <w:tcPr>
            <w:tcW w:w="2800" w:type="dxa"/>
            <w:vAlign w:val="bottom"/>
            <w:gridSpan w:val="3"/>
          </w:tcPr>
          <w:p>
            <w:pPr>
              <w:ind w:left="1080"/>
              <w:spacing w:after="0"/>
              <w:rPr>
                <w:sz w:val="20"/>
                <w:szCs w:val="20"/>
                <w:color w:val="auto"/>
              </w:rPr>
            </w:pPr>
            <w:r>
              <w:rPr>
                <w:rFonts w:ascii="Arial" w:cs="Arial" w:eastAsia="Arial" w:hAnsi="Arial"/>
                <w:sz w:val="18"/>
                <w:szCs w:val="18"/>
                <w:color w:val="auto"/>
              </w:rPr>
              <w:t>696,238</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137,451</w:t>
            </w:r>
          </w:p>
        </w:tc>
        <w:tc>
          <w:tcPr>
            <w:tcW w:w="880" w:type="dxa"/>
            <w:vAlign w:val="bottom"/>
          </w:tcPr>
          <w:p>
            <w:pPr>
              <w:spacing w:after="0"/>
              <w:rPr>
                <w:sz w:val="22"/>
                <w:szCs w:val="22"/>
                <w:color w:val="auto"/>
              </w:rPr>
            </w:pPr>
          </w:p>
        </w:tc>
        <w:tc>
          <w:tcPr>
            <w:tcW w:w="2200" w:type="dxa"/>
            <w:vAlign w:val="bottom"/>
            <w:gridSpan w:val="2"/>
          </w:tcPr>
          <w:p>
            <w:pPr>
              <w:jc w:val="right"/>
              <w:ind w:right="300"/>
              <w:spacing w:after="0"/>
              <w:rPr>
                <w:sz w:val="20"/>
                <w:szCs w:val="20"/>
                <w:color w:val="auto"/>
              </w:rPr>
            </w:pPr>
            <w:r>
              <w:rPr>
                <w:rFonts w:ascii="Arial" w:cs="Arial" w:eastAsia="Arial" w:hAnsi="Arial"/>
                <w:sz w:val="18"/>
                <w:szCs w:val="18"/>
                <w:color w:val="auto"/>
              </w:rPr>
              <w:t>3,052,481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selection of PricewaterhouseCoopers LLP as the Company’s registered independent public accounting firm for the fiscal year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was ratified, and the aggregate votes cast for or against and the abstentions,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6"/>
              </w:rPr>
              <w:t>For</w:t>
            </w:r>
          </w:p>
        </w:tc>
        <w:tc>
          <w:tcPr>
            <w:tcW w:w="1780" w:type="dxa"/>
            <w:vAlign w:val="bottom"/>
          </w:tcPr>
          <w:p>
            <w:pPr>
              <w:spacing w:after="0"/>
              <w:rPr>
                <w:sz w:val="18"/>
                <w:szCs w:val="18"/>
                <w:color w:val="auto"/>
              </w:rPr>
            </w:pPr>
          </w:p>
        </w:tc>
        <w:tc>
          <w:tcPr>
            <w:tcW w:w="5300" w:type="dxa"/>
            <w:vAlign w:val="bottom"/>
            <w:gridSpan w:val="3"/>
          </w:tcPr>
          <w:p>
            <w:pPr>
              <w:ind w:left="1520"/>
              <w:spacing w:after="0"/>
              <w:rPr>
                <w:sz w:val="20"/>
                <w:szCs w:val="20"/>
                <w:color w:val="auto"/>
              </w:rPr>
            </w:pPr>
            <w:r>
              <w:rPr>
                <w:rFonts w:ascii="Arial" w:cs="Arial" w:eastAsia="Arial" w:hAnsi="Arial"/>
                <w:sz w:val="18"/>
                <w:szCs w:val="18"/>
                <w:color w:val="auto"/>
              </w:rPr>
              <w:t>Against</w:t>
            </w:r>
          </w:p>
        </w:tc>
        <w:tc>
          <w:tcPr>
            <w:tcW w:w="2420" w:type="dxa"/>
            <w:vAlign w:val="bottom"/>
            <w:gridSpan w:val="2"/>
          </w:tcPr>
          <w:p>
            <w:pPr>
              <w:jc w:val="center"/>
              <w:ind w:right="1560"/>
              <w:spacing w:after="0"/>
              <w:rPr>
                <w:sz w:val="20"/>
                <w:szCs w:val="20"/>
                <w:color w:val="auto"/>
              </w:rPr>
            </w:pPr>
            <w:r>
              <w:rPr>
                <w:rFonts w:ascii="Arial" w:cs="Arial" w:eastAsia="Arial" w:hAnsi="Arial"/>
                <w:sz w:val="18"/>
                <w:szCs w:val="18"/>
                <w:color w:val="auto"/>
                <w:w w:val="91"/>
              </w:rPr>
              <w:t>Abstentions</w:t>
            </w:r>
          </w:p>
        </w:tc>
      </w:tr>
      <w:tr>
        <w:trPr>
          <w:trHeight w:val="20"/>
        </w:trPr>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4"/>
        </w:trPr>
        <w:tc>
          <w:tcPr>
            <w:tcW w:w="3700" w:type="dxa"/>
            <w:vAlign w:val="bottom"/>
            <w:gridSpan w:val="3"/>
          </w:tcPr>
          <w:p>
            <w:pPr>
              <w:jc w:val="right"/>
              <w:ind w:right="1500"/>
              <w:spacing w:after="0"/>
              <w:rPr>
                <w:sz w:val="20"/>
                <w:szCs w:val="20"/>
                <w:color w:val="auto"/>
              </w:rPr>
            </w:pPr>
            <w:r>
              <w:rPr>
                <w:rFonts w:ascii="Arial" w:cs="Arial" w:eastAsia="Arial" w:hAnsi="Arial"/>
                <w:sz w:val="18"/>
                <w:szCs w:val="18"/>
                <w:color w:val="auto"/>
              </w:rPr>
              <w:t>14,160,636</w:t>
            </w:r>
          </w:p>
        </w:tc>
        <w:tc>
          <w:tcPr>
            <w:tcW w:w="5300" w:type="dxa"/>
            <w:vAlign w:val="bottom"/>
            <w:gridSpan w:val="3"/>
          </w:tcPr>
          <w:p>
            <w:pPr>
              <w:ind w:left="1500"/>
              <w:spacing w:after="0"/>
              <w:rPr>
                <w:sz w:val="20"/>
                <w:szCs w:val="20"/>
                <w:color w:val="auto"/>
              </w:rPr>
            </w:pPr>
            <w:r>
              <w:rPr>
                <w:rFonts w:ascii="Arial" w:cs="Arial" w:eastAsia="Arial" w:hAnsi="Arial"/>
                <w:sz w:val="18"/>
                <w:szCs w:val="18"/>
                <w:color w:val="auto"/>
              </w:rPr>
              <w:t>618,974</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8,123</w:t>
            </w:r>
          </w:p>
        </w:tc>
        <w:tc>
          <w:tcPr>
            <w:tcW w:w="1560" w:type="dxa"/>
            <w:vAlign w:val="bottom"/>
          </w:tcPr>
          <w:p>
            <w:pPr>
              <w:spacing w:after="0"/>
              <w:rPr>
                <w:sz w:val="22"/>
                <w:szCs w:val="22"/>
                <w:color w:val="auto"/>
              </w:rPr>
            </w:pPr>
          </w:p>
        </w:tc>
      </w:tr>
      <w:tr>
        <w:trPr>
          <w:trHeight w:val="1145"/>
        </w:trPr>
        <w:tc>
          <w:tcPr>
            <w:tcW w:w="1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18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89"/>
              </w:rPr>
              <w:t>Other Events</w:t>
            </w:r>
          </w:p>
        </w:tc>
        <w:tc>
          <w:tcPr>
            <w:tcW w:w="0" w:type="dxa"/>
            <w:vAlign w:val="bottom"/>
          </w:tcPr>
          <w:p>
            <w:pPr>
              <w:spacing w:after="0"/>
              <w:rPr>
                <w:sz w:val="1"/>
                <w:szCs w:val="1"/>
                <w:color w:val="auto"/>
              </w:rPr>
            </w:pPr>
          </w:p>
        </w:tc>
      </w:tr>
      <w:tr>
        <w:trPr>
          <w:trHeight w:val="126"/>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8.01</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18, 2012, the Company issued a press release regarding the election of David L. Pugh to the Board of Directors. A copy of the press release is furnished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280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89"/>
              </w:rPr>
              <w:t>Financial Statements and Exhibits</w:t>
            </w:r>
          </w:p>
        </w:tc>
        <w:tc>
          <w:tcPr>
            <w:tcW w:w="0" w:type="dxa"/>
            <w:vAlign w:val="bottom"/>
          </w:tcPr>
          <w:p>
            <w:pPr>
              <w:spacing w:after="0"/>
              <w:rPr>
                <w:sz w:val="1"/>
                <w:szCs w:val="1"/>
                <w:color w:val="auto"/>
              </w:rPr>
            </w:pPr>
          </w:p>
        </w:tc>
      </w:tr>
      <w:tr>
        <w:trPr>
          <w:trHeight w:val="126"/>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9.01</w:t>
            </w: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auto"/>
          <w:vertAlign w:val="superscript"/>
        </w:rPr>
        <w:t>Exhibit</w:t>
      </w:r>
      <w:r>
        <w:rPr>
          <w:rFonts w:ascii="Arial" w:cs="Arial" w:eastAsia="Arial" w:hAnsi="Arial"/>
          <w:sz w:val="18"/>
          <w:szCs w:val="18"/>
          <w:b w:val="1"/>
          <w:bCs w:val="1"/>
          <w:u w:val="single" w:color="auto"/>
          <w:color w:val="auto"/>
        </w:rPr>
        <w:t xml:space="preserve">  Description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18,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2012</w:t>
      </w:r>
    </w:p>
    <w:p>
      <w:pPr>
        <w:spacing w:after="0" w:line="200" w:lineRule="exact"/>
        <w:rPr>
          <w:sz w:val="20"/>
          <w:szCs w:val="20"/>
          <w:color w:val="auto"/>
        </w:rPr>
      </w:pPr>
    </w:p>
    <w:p>
      <w:pPr>
        <w:spacing w:after="0" w:line="29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H. Dorton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Sr. Vice President and Chief</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220"/>
          </w:cols>
          <w:pgMar w:left="240" w:top="513" w:right="439" w:bottom="1440" w:gutter="0" w:footer="0" w:header="0"/>
        </w:sectPr>
      </w:pPr>
    </w:p>
    <w:bookmarkStart w:id="4" w:name="page5"/>
    <w:bookmarkEnd w:id="4"/>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24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24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355"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March 26, 2012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18, 2012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DAVID L. PUGH JOINS NN, INC.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Johnson City, Tenn, May 18, 2012 – NN, Inc. </w:t>
      </w:r>
      <w:r>
        <w:rPr>
          <w:rFonts w:ascii="Arial" w:cs="Arial" w:eastAsia="Arial" w:hAnsi="Arial"/>
          <w:sz w:val="18"/>
          <w:szCs w:val="18"/>
          <w:color w:val="auto"/>
        </w:rPr>
        <w:t>(Nasdaq: NNBR) today announced that David L. Pugh was elected to its Board of Directors at the May 17,</w:t>
      </w:r>
      <w:r>
        <w:rPr>
          <w:rFonts w:ascii="Arial" w:cs="Arial" w:eastAsia="Arial" w:hAnsi="Arial"/>
          <w:sz w:val="18"/>
          <w:szCs w:val="18"/>
          <w:b w:val="1"/>
          <w:bCs w:val="1"/>
          <w:color w:val="auto"/>
        </w:rPr>
        <w:t xml:space="preserve"> </w:t>
      </w:r>
      <w:r>
        <w:rPr>
          <w:rFonts w:ascii="Arial" w:cs="Arial" w:eastAsia="Arial" w:hAnsi="Arial"/>
          <w:sz w:val="18"/>
          <w:szCs w:val="18"/>
          <w:color w:val="auto"/>
        </w:rPr>
        <w:t>2012 Annual Meeting. Mr. Pugh, age 63, retired in 2011 as President, Chief Executive Officer and Chairman of the Board of Applied Industrial Technologies (AIT:NYSE), a leading distributor of industrial products and services.</w:t>
      </w:r>
    </w:p>
    <w:p>
      <w:pPr>
        <w:spacing w:after="0" w:line="20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Roderick R. Baty, Chairman of the Board and Chief Executive Officer commented, “We are delighted to announce the addition of Dave to the NN, Inc. Board of Directors. Dave’s accomplished career includes various executive management positions in international industrial companies as well as specialized operational experience in global bearing distribution. This diverse experience will be invaluable to NN as we continue to execute our strategic growth plan.”</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Pugh joined Applied in 1999 as President and Chief Operating Officer and served as Chairman and Chief Executive Officer from 2000 until his retirement in 2011. Prior to joining Applied, Mr. Pugh served as Senior Vice President of the Industrial Control Group of Rockwell International Corporation, a provider of industrial automation control and information solutions, which he joined in 1994. Previous to joining Rockwell, Mr. Pugh held various positions in sales, marketing and operations at Square D Company and Westinghouse Electric. He currently serves on the board of directors of Hexcel Corporation, a publicly held company and a leading producer of advanced composites, as well as the board of directors of R.W. Beckett Corporation, a premiere manufacturer of oil and gas burners.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sectPr>
      <w:pgSz w:w="11900" w:h="16838" w:orient="portrait"/>
      <w:cols w:equalWidth="0" w:num="1">
        <w:col w:w="11120"/>
      </w:cols>
      <w:pgMar w:left="240" w:top="51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2019-12-09T11:51:58Z</dcterms:created>
  <dcterms:modified xsi:type="dcterms:W3CDTF">2019-12-09T11:51:58Z</dcterms:modified>
</cp:coreProperties>
</file>