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png" ContentType="image/png"/>
  <Override PartName="/word/media/image3.jpeg" ContentType="image/jpeg"/>
  <Override PartName="/word/media/image6.jpeg" ContentType="image/jpeg"/>
  <Override PartName="/word/media/image4.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CURRENT REPORT</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spacing w:lineRule="auto" w:line="288" w:before="120" w:after="6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May 8, 2023</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pPr>
      <w:r>
        <w:rPr>
          <w:color w:val="000000"/>
        </w:rPr>
        <w:t> </w:t>
      </w:r>
      <w:r>
        <w:rPr/>
        <w:drawing>
          <wp:inline distT="0" distB="63500" distL="0" distR="0">
            <wp:extent cx="4381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8150" cy="43815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NN,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5698" w:type="dxa"/>
        <w:jc w:val="center"/>
        <w:tblInd w:w="0" w:type="dxa"/>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color w:val="000000"/>
              </w:rPr>
              <w:t> </w:t>
            </w:r>
            <w:r>
              <w:rPr>
                <w:rFonts w:ascii="Times New Roman;sans-serif" w:hAnsi="Times New Roman;sans-serif"/>
                <w:b/>
                <w:color w:val="000000"/>
                <w:sz w:val="18"/>
              </w:rPr>
              <w:t>000-23486</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62-1096725</w:t>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(Commission File Number)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spacing w:before="0" w:after="0"/>
        <w:jc w:val="center"/>
        <w:rPr/>
      </w:pPr>
      <w:r>
        <w:rPr/>
      </w:r>
    </w:p>
    <w:tbl>
      <w:tblPr>
        <w:tblW w:w="4120" w:type="dxa"/>
        <w:jc w:val="center"/>
        <w:tblInd w:w="0" w:type="dxa"/>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 Ardrey Kell Road, Suite 600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Charlotte, North Carolina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28277</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p>
      <w:pPr>
        <w:pStyle w:val="TextBody"/>
        <w:spacing w:before="0" w:after="0"/>
        <w:jc w:val="center"/>
        <w:rPr/>
      </w:pPr>
      <w:r>
        <w:rPr/>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(980) 264-4300</w:t>
      </w:r>
    </w:p>
    <w:p>
      <w:pPr>
        <w:pStyle w:val="TextBody"/>
        <w:spacing w:lineRule="auto" w:line="288" w:before="0" w:after="60"/>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 </w:t>
      </w:r>
    </w:p>
    <w:p>
      <w:pPr>
        <w:pStyle w:val="TextBody"/>
        <w:spacing w:lineRule="auto" w:line="288" w:before="180" w:after="283"/>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2195"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240.14d- 2(b))</w:t>
            </w:r>
          </w:p>
        </w:tc>
      </w:tr>
      <w:tr>
        <w:trPr/>
        <w:tc>
          <w:tcPr>
            <w:tcW w:w="4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240.13e- 4(c))</w:t>
            </w:r>
          </w:p>
        </w:tc>
      </w:tr>
    </w:tbl>
    <w:p>
      <w:pPr>
        <w:pStyle w:val="TextBody"/>
        <w:spacing w:before="0" w:after="0"/>
        <w:rPr/>
      </w:pPr>
      <w:r>
        <w:rPr/>
      </w:r>
    </w:p>
    <w:tbl>
      <w:tblPr>
        <w:tblW w:w="8507" w:type="dxa"/>
        <w:jc w:val="center"/>
        <w:tblInd w:w="0" w:type="dxa"/>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r>
      <w:tr>
        <w:trPr/>
        <w:tc>
          <w:tcPr>
            <w:tcW w:w="8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Title of each class</w:t>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Trading symbol</w:t>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Name of each exchange on which registered</w:t>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$0.01</w:t>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NNBR</w:t>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52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02995"/>
                <wp:effectExtent l="0" t="0" r="0" b="0"/>
                <wp:wrapNone/>
                <wp:docPr id="2" name="Frame1"/>
                <a:graphic xmlns:a="http://schemas.openxmlformats.org/drawingml/2006/main">
                  <a:graphicData uri="http://schemas.microsoft.com/office/word/2010/wordprocessingShape">
                    <wps:wsp>
                      <wps:cNvSpPr txBox="1"/>
                      <wps:spPr>
                        <a:xfrm>
                          <a:off x="0" y="0"/>
                          <a:ext cx="6480175" cy="1102995"/>
                        </a:xfrm>
                        <a:prstGeom prst="rect"/>
                      </wps:spPr>
                      <wps:txbx>
                        <w:txbxContent>
                          <w:p>
                            <w:pPr>
                              <w:pStyle w:val="TextBody"/>
                              <w:spacing w:before="100" w:after="283"/>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00" w:after="283"/>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2022, NN, Inc. (the “Company”) previously announced that Warren Veltman will be retiring from his position as President and Chief Executive Officer of the Company in 2023. Accordingly, and as previously publicly announced, Mr. Veltman was not nominated for reelection at the Company’s 2023 Annual Meeting of the Stockholders. On May 9, 2023, the Board of Directors (the “Board”) of the Company announced the appointment of Harold Bevis as the Company’s President and Chief Executive Officer, effective May 22, 2023 (the “Transition Date”). The Board also expects to appoint Mr. Bevis as a director of the Board, following the Transition Date. Mr. Veltman will retire as the President and Chief Executive Officer of the Company and from the Board, effective as of the Transition Date. </w:t>
      </w:r>
    </w:p>
    <w:p>
      <w:pPr>
        <w:pStyle w:val="TextBody"/>
        <w:spacing w:lineRule="auto" w:line="26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Mr. Bevis has more than 25 years of business leadership, including more than 20 years’ experience in the CEO role at a number of companies. He was previously President and CEO of Commercial Vehicle Group, Inc. (“CVGI”), a publicly traded manufacturer of electrical, mechanical and seating systems for electric and internal combustion engine commercial vehicles, as well as warehouse automation and robotic systems to retailers and ecommerce shippers. At CVGI, Mr. Bevis demonstrated a track record of driving new business wins in the electric vehicle industry and he repositioned CVGI towards electrification, automation and connectivity. Prior to his experience at CVGI, Mr. Bevis was Chairman and CEO of Boxlight, a startup company focused on education technology solutions. Previously, Mr. Bevis led a number of companies in the packaging industry, including as President and CEO of Xerium Technologies, Inc., Chairman and CEO of Prolamina, and President and CEO of Pliant Corporation. Mr. Bevis has a bachelor’s degree in industrial engineering from Iowa State University, and an MBA in marketing from Columbia Business School. </w:t>
      </w:r>
    </w:p>
    <w:p>
      <w:pPr>
        <w:pStyle w:val="TextBody"/>
        <w:spacing w:lineRule="auto" w:line="26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Mr. Bevis’ appointment, the Company and Mr. Bevis entered into a letter of understanding and relocation agreement, dated as of May 8, 2023 (the “Letter of Understanding”), setting forth the terms of his employment, compensation and relocation benefits. Pursuant to the Letter of Understanding, Mr. Bevis’ annual base salary will be $835,000, and he will be eligible to receive an annual incentive award under the Company’s Executive Incentive Compensation Program, which is based on a target amount of a minimum of 50% and maximum of 150% of his annual base salary, with a guaranteed minimum bonus of $835,000 for 2023. The Letter of Understanding also provides that Mr. Bevis will not be eligible to participate in the Company’s long-term equity incentive program until 2028. </w:t>
      </w:r>
    </w:p>
    <w:p>
      <w:pPr>
        <w:pStyle w:val="TextBody"/>
        <w:spacing w:lineRule="auto" w:line="26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an inducement material to his entering into employment with the Company, Mr. Bevis will be granted on the Transition Date (i) a one-time conditional equity grant as an inducement to his employment with the Company, consisting of (i) 1,500,000 time-vesting restricted stock units, which will vest ratably in one fifth increments on each of the first five anniversaries of the Transition Date (the “RSU Award”); and (ii) 2,500,000 performance-vesting restricted stock units (“PSUs”) that will be realized incrementally upon certain increases in the price of the Company’s common stock, par value $0.001 per share, over a five-year performance period (the “PSU Award” and together with the RSU Award, the “Inducement Grants”). The RSU Award will be granted pursuant to that certain form of Restricted Share Award Agreement (the “RSU Agreement”), and the PSU Award will be granted pursuant to that certain form of Performance Share Unit Award Agreement (the “PSU Agreement”).</w:t>
      </w:r>
    </w:p>
    <w:p>
      <w:pPr>
        <w:pStyle w:val="TextBody"/>
        <w:spacing w:lineRule="auto" w:line="26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enter into its standard form of separation agreement with Mr. Bevis (the “Separation Agreement”) as of the Transition Date. Under the Separation Agreement, if terminated by the Company without cause or if Mr. Bevis resigns with “Good Reason”) (as defined in the Separation Agreement”), Mr. Bevis would receive: (i) a lump-sum payment equal to two-times his base salary (as of the date of termination), (ii) any vested rights in accordance with the terms of his RSU Award Agreement and PSU Award Agreement, and (iii) a lump sum payment in an amount equal to twelve (12) months of monthly premiums that Mr. Bevis would be required to pay to continue the group health coverage for himself and/or his eligible dependents. The Separation Agreement also includes non-competition and non-solicitation obligations of Mr. Bevis for the period ending when the salary continuation benefit ends or, in circumstances not entitling Mr. Bevis to such salary continuation, on the date one year after the termination of his employment with the Company. </w:t>
      </w:r>
    </w:p>
    <w:p>
      <w:pPr>
        <w:pStyle w:val="TextBody"/>
        <w:spacing w:lineRule="auto" w:line="26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Further, under the Separation Agreement, if terminated within the twenty-four month period following a change of control (i.e., a “double-trigger”), as defined therein, he will receive: (i) a lump sum payment equal to the sum of two-times his base salary (as of the date of termination) plus two-times his target bonus, (ii) any vested rights in accordance with the terms of his RSU Award Agreement and PSU Award Agreement, and (iii) a lump sum payment in an amount equal to twelve (12) months of monthly premiums that Mr. Bevis would be required to pay to continue the group health coverage for himself and/or his eligible dependents.</w:t>
      </w:r>
    </w:p>
    <w:p>
      <w:pPr>
        <w:pStyle w:val="TextBody"/>
        <w:spacing w:lineRule="auto" w:line="268" w:before="0" w:after="120"/>
        <w:ind w:left="0" w:right="0" w:firstLine="720"/>
        <w:rPr/>
      </w:pPr>
      <w:r>
        <w:rPr>
          <w:rFonts w:ascii="Times New Roman;sans-serif" w:hAnsi="Times New Roman;sans-serif"/>
          <w:b w:val="false"/>
          <w:color w:val="000000"/>
          <w:sz w:val="20"/>
        </w:rPr>
        <w:t xml:space="preserve">The Company will also enter into its standard form of indemnification agreement with Mr. Bevis (the “Indemnification Agreement”) as of the Transition Date, in the form previously entered into by the Company with its current directors and officers, a copy of which was previously filed as </w:t>
      </w:r>
      <w:hyperlink r:id="rId3">
        <w:r>
          <w:rPr>
            <w:rStyle w:val="InternetLink"/>
            <w:rFonts w:ascii="Times New Roman;sans-serif" w:hAnsi="Times New Roman;sans-serif"/>
            <w:b w:val="false"/>
            <w:color w:val="0000FF"/>
            <w:sz w:val="20"/>
            <w:u w:val="single"/>
          </w:rPr>
          <w:t>Exhibit 10.6</w:t>
        </w:r>
      </w:hyperlink>
      <w:r>
        <w:rPr>
          <w:color w:val="000000"/>
        </w:rPr>
        <w:t xml:space="preserve"> </w:t>
      </w:r>
      <w:r>
        <w:rPr>
          <w:rFonts w:ascii="Times New Roman;sans-serif" w:hAnsi="Times New Roman;sans-serif"/>
          <w:b w:val="false"/>
          <w:color w:val="000000"/>
          <w:sz w:val="20"/>
        </w:rPr>
        <w:t>to the Company’s Registration Statement on Form S-3/A, as originally filed on July 15, 2002.</w:t>
      </w:r>
    </w:p>
    <w:p>
      <w:pPr>
        <w:pStyle w:val="TextBody"/>
        <w:spacing w:lineRule="auto" w:line="26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descriptions of the terms of the Letter of Understanding, Employment Agreement, Separation Agreement and Indemnification Agreement are only summaries and are qualified in their entirety by the full text of (i) the Letter of Understanding, a copy of which is filed as Exhibit 10.1 to this Current Report on Form 8-K (this “Current Report”); </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68" w:before="0" w:after="120"/>
        <w:rPr/>
      </w:pPr>
      <w:r>
        <w:rPr>
          <w:rFonts w:ascii="Times New Roman;sans-serif" w:hAnsi="Times New Roman;sans-serif"/>
          <w:b w:val="false"/>
          <w:color w:val="000000"/>
          <w:sz w:val="20"/>
        </w:rPr>
        <w:t xml:space="preserve">(ii) the RSU Agreement, a copy of which is filed as Exhibit 10.2 to this Current Report; (iii) the PSU Agreement, a copy of which is filed as Exhibit 10.3 to this Current Report; (iv) the Separation Agreement, a copy of which is filed as Exhibit 10.4 to this Current Report on Form 8-K; and (v) the Indemnification Agreement, the form of which was previously filed as </w:t>
      </w:r>
      <w:hyperlink r:id="rId4">
        <w:r>
          <w:rPr>
            <w:rStyle w:val="InternetLink"/>
            <w:rFonts w:ascii="Times New Roman;sans-serif" w:hAnsi="Times New Roman;sans-serif"/>
            <w:b w:val="false"/>
            <w:color w:val="0000FF"/>
            <w:sz w:val="20"/>
            <w:u w:val="single"/>
          </w:rPr>
          <w:t>Exhibit 10.6</w:t>
        </w:r>
      </w:hyperlink>
      <w:r>
        <w:rPr>
          <w:color w:val="000000"/>
        </w:rPr>
        <w:t xml:space="preserve"> </w:t>
      </w:r>
      <w:r>
        <w:rPr>
          <w:rFonts w:ascii="Times New Roman;sans-serif" w:hAnsi="Times New Roman;sans-serif"/>
          <w:b w:val="false"/>
          <w:color w:val="000000"/>
          <w:sz w:val="20"/>
        </w:rPr>
        <w:t>to the Company’s Registration Statement on Form S-3/A, as originally filed on July 15, 2002, each of which are incorporated herein by reference.</w:t>
      </w:r>
    </w:p>
    <w:p>
      <w:pPr>
        <w:pStyle w:val="TextBody"/>
        <w:spacing w:lineRule="auto" w:line="26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are no arrangements or understandings between Mr. Bevis and any other persons pursuant to which he was appointed as President and Chief Executive Officer of the Company. There are no family relationships between Mr. Bevis and any of the Company’s directors or other executive officers, and Mr. Bevis is not a party to any transaction, or any proposed transaction, required to be disclosed pursuant to Item 404(a) of Regulation S-K</w:t>
      </w:r>
    </w:p>
    <w:p>
      <w:pPr>
        <w:pStyle w:val="TextBody"/>
        <w:spacing w:before="0" w:after="120"/>
        <w:ind w:left="0" w:right="0" w:firstLine="720"/>
        <w:rPr/>
      </w:pPr>
      <w:r>
        <w:rPr/>
      </w:r>
    </w:p>
    <w:p>
      <w:pPr>
        <w:pStyle w:val="TextBody"/>
        <w:spacing w:lineRule="auto" w:line="288" w:before="120" w:after="60"/>
        <w:ind w:left="0" w:right="0" w:hanging="1440"/>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May 9, 2023, the Company issued a press release regarding Mr. Bevis’ appointment as Chief Executive Officer. A copy of this press release is included as Exhibit 99.1 to this Current Report.</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including the press releases,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pStyle w:val="TextBody"/>
        <w:spacing w:before="0" w:after="60"/>
        <w:rPr/>
      </w:pPr>
      <w:r>
        <w:rPr/>
      </w:r>
    </w:p>
    <w:p>
      <w:pPr>
        <w:pStyle w:val="TextBody"/>
        <w:spacing w:lineRule="auto" w:line="288" w:before="120" w:after="60"/>
        <w:ind w:left="0" w:right="0" w:hanging="144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88" w:before="0" w:after="0"/>
        <w:rPr>
          <w:color w:val="000000"/>
        </w:rPr>
      </w:pPr>
      <w:r>
        <w:rPr>
          <w:color w:val="000000"/>
        </w:rPr>
        <w:t> </w:t>
      </w:r>
      <w:r>
        <w:rPr>
          <w:rFonts w:ascii="Times New Roman;sans-serif" w:hAnsi="Times New Roman;sans-serif"/>
          <w:b w:val="false"/>
          <w:i/>
          <w:color w:val="000000"/>
          <w:sz w:val="20"/>
        </w:rPr>
        <w:t>(d)    Exhibits.</w:t>
      </w:r>
    </w:p>
    <w:tbl>
      <w:tblPr>
        <w:tblW w:w="10205" w:type="dxa"/>
        <w:jc w:val="left"/>
        <w:tblInd w:w="0" w:type="dxa"/>
        <w:tblCellMar>
          <w:top w:w="28" w:type="dxa"/>
          <w:left w:w="28" w:type="dxa"/>
          <w:bottom w:w="28" w:type="dxa"/>
          <w:right w:w="28" w:type="dxa"/>
        </w:tblCellMar>
      </w:tblPr>
      <w:tblGrid>
        <w:gridCol w:w="234"/>
        <w:gridCol w:w="205"/>
        <w:gridCol w:w="207"/>
        <w:gridCol w:w="109"/>
        <w:gridCol w:w="109"/>
        <w:gridCol w:w="109"/>
        <w:gridCol w:w="2758"/>
        <w:gridCol w:w="2720"/>
        <w:gridCol w:w="3754"/>
      </w:tblGrid>
      <w:tr>
        <w:trPr/>
        <w:tc>
          <w:tcPr>
            <w:tcW w:w="23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8" w:type="dxa"/>
            <w:tcBorders/>
            <w:shd w:fill="auto" w:val="clear"/>
            <w:vAlign w:val="center"/>
          </w:tcPr>
          <w:p>
            <w:pPr>
              <w:pStyle w:val="TableContents"/>
              <w:spacing w:before="0" w:after="283"/>
              <w:rPr>
                <w:sz w:val="4"/>
                <w:szCs w:val="4"/>
              </w:rPr>
            </w:pPr>
            <w:r>
              <w:rPr>
                <w:sz w:val="4"/>
                <w:szCs w:val="4"/>
              </w:rPr>
            </w:r>
          </w:p>
        </w:tc>
        <w:tc>
          <w:tcPr>
            <w:tcW w:w="2720" w:type="dxa"/>
            <w:tcBorders/>
            <w:shd w:fill="auto" w:val="clear"/>
            <w:vAlign w:val="center"/>
          </w:tcPr>
          <w:p>
            <w:pPr>
              <w:pStyle w:val="TableContents"/>
              <w:spacing w:before="0" w:after="283"/>
              <w:rPr>
                <w:sz w:val="4"/>
                <w:szCs w:val="4"/>
              </w:rPr>
            </w:pPr>
            <w:r>
              <w:rPr>
                <w:sz w:val="4"/>
                <w:szCs w:val="4"/>
              </w:rPr>
            </w:r>
          </w:p>
        </w:tc>
        <w:tc>
          <w:tcPr>
            <w:tcW w:w="37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 of Exhibit</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hibit101letterofundersta.htm">
              <w:r>
                <w:rPr>
                  <w:rStyle w:val="InternetLink"/>
                  <w:rFonts w:ascii="Times New Roman;sans-serif" w:hAnsi="Times New Roman;sans-serif"/>
                  <w:b w:val="false"/>
                  <w:color w:val="0000FF"/>
                  <w:sz w:val="20"/>
                  <w:u w:val="single"/>
                </w:rPr>
                <w:t xml:space="preserve">Letter of Understanding, dated May 8, 2023, by and between NN, Inc. and Harold Bevis. </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2rsuaward2023-05.htm">
              <w:r>
                <w:rPr>
                  <w:rStyle w:val="InternetLink"/>
                  <w:rFonts w:ascii="Times New Roman;sans-serif" w:hAnsi="Times New Roman;sans-serif"/>
                  <w:b w:val="false"/>
                  <w:color w:val="0000FF"/>
                  <w:sz w:val="20"/>
                  <w:u w:val="single"/>
                </w:rPr>
                <w:t>Form of Restricted Share Award Agreement, by and between NN, Inc. and Harold Bevis.</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3psuaward2023-05.htm">
              <w:r>
                <w:rPr>
                  <w:rStyle w:val="InternetLink"/>
                  <w:rFonts w:ascii="Times New Roman;sans-serif" w:hAnsi="Times New Roman;sans-serif"/>
                  <w:b w:val="false"/>
                  <w:color w:val="0000FF"/>
                  <w:sz w:val="20"/>
                  <w:u w:val="single"/>
                </w:rPr>
                <w:t>Form of Performance Share Unit Award Agreement, by and between NN, Inc. and Harold Bevis.</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4separationagreem.htm">
              <w:r>
                <w:rPr>
                  <w:rStyle w:val="InternetLink"/>
                  <w:rFonts w:ascii="Times New Roman;sans-serif" w:hAnsi="Times New Roman;sans-serif"/>
                  <w:b w:val="false"/>
                  <w:color w:val="0000FF"/>
                  <w:sz w:val="20"/>
                  <w:u w:val="single"/>
                </w:rPr>
                <w:t>Form of Separation Agreement, by and between NN, Inc. and Harold Bevis.</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 xml:space="preserve">Form of Indemnification Agreement (filed as Exhibit 10.6 to the Company’s Registration Statement on Form S-3/A, as originally filed on July 15, 2002 and incorporated herein by reference) </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1pressrelease2023.htm">
              <w:r>
                <w:rPr>
                  <w:rStyle w:val="InternetLink"/>
                  <w:rFonts w:ascii="Times New Roman;sans-serif" w:hAnsi="Times New Roman;sans-serif"/>
                  <w:b w:val="false"/>
                  <w:color w:val="0000FF"/>
                  <w:sz w:val="20"/>
                  <w:u w:val="single"/>
                </w:rPr>
                <w:t>Press Release, dated May 9, 2023</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before="120" w:after="283"/>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53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r>
    </w:tbl>
    <w:p>
      <w:pPr>
        <w:pStyle w:val="TextBody"/>
        <w:spacing w:before="0" w:after="0"/>
        <w:rPr/>
      </w:pPr>
      <w:r>
        <w:rPr/>
      </w:r>
    </w:p>
    <w:tbl>
      <w:tblPr>
        <w:tblW w:w="4872" w:type="dxa"/>
        <w:jc w:val="center"/>
        <w:tblInd w:w="0" w:type="dxa"/>
        <w:tblCellMar>
          <w:top w:w="28" w:type="dxa"/>
          <w:left w:w="28" w:type="dxa"/>
          <w:bottom w:w="28" w:type="dxa"/>
          <w:right w:w="28" w:type="dxa"/>
        </w:tblCellMar>
      </w:tblPr>
      <w:tblGrid>
        <w:gridCol w:w="124"/>
        <w:gridCol w:w="109"/>
        <w:gridCol w:w="109"/>
        <w:gridCol w:w="233"/>
        <w:gridCol w:w="197"/>
        <w:gridCol w:w="200"/>
        <w:gridCol w:w="1143"/>
        <w:gridCol w:w="1143"/>
        <w:gridCol w:w="161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NN,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90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 Felcher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9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Chief Financial Officer</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90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90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90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90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240" w:after="283"/>
        <w:ind w:left="0" w:right="0" w:firstLine="495"/>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spacing w:before="0" w:after="0"/>
                        <w:rPr/>
                      </w:pPr>
                      <w:r>
                        <w:rPr/>
                      </w:r>
                    </w:p>
                  </w:txbxContent>
                </v:textbox>
              </v:rect>
            </w:pict>
          </mc:Fallback>
        </mc:AlternateContent>
      </w:r>
    </w:p>
    <w:tbl>
      <w:tblPr>
        <w:tblW w:w="4871" w:type="dxa"/>
        <w:jc w:val="left"/>
        <w:tblInd w:w="0" w:type="dxa"/>
        <w:tblCellMar>
          <w:top w:w="28" w:type="dxa"/>
          <w:left w:w="28" w:type="dxa"/>
          <w:bottom w:w="28" w:type="dxa"/>
          <w:right w:w="28" w:type="dxa"/>
        </w:tblCellMar>
      </w:tblPr>
      <w:tblGrid>
        <w:gridCol w:w="526"/>
        <w:gridCol w:w="462"/>
        <w:gridCol w:w="463"/>
        <w:gridCol w:w="1001"/>
        <w:gridCol w:w="1001"/>
        <w:gridCol w:w="1418"/>
      </w:tblGrid>
      <w:tr>
        <w:trPr/>
        <w:tc>
          <w:tcPr>
            <w:tcW w:w="52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r>
      <w:tr>
        <w:trPr/>
        <w:tc>
          <w:tcPr>
            <w:tcW w:w="145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857250" cy="8572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6"/>
                          <a:stretch>
                            <a:fillRect/>
                          </a:stretch>
                        </pic:blipFill>
                        <pic:spPr bwMode="auto">
                          <a:xfrm>
                            <a:off x="0" y="0"/>
                            <a:ext cx="857250" cy="857250"/>
                          </a:xfrm>
                          <a:prstGeom prst="rect">
                            <a:avLst/>
                          </a:prstGeom>
                        </pic:spPr>
                      </pic:pic>
                    </a:graphicData>
                  </a:graphic>
                </wp:inline>
              </w:drawing>
            </w:r>
          </w:p>
        </w:tc>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Calibri;sans-serif" w:hAnsi="Calibri;sans-serif"/>
                <w:b/>
                <w:color w:val="000000"/>
                <w:sz w:val="28"/>
              </w:rPr>
            </w:pPr>
            <w:r>
              <w:rPr>
                <w:rFonts w:ascii="Calibri;sans-serif" w:hAnsi="Calibri;sans-serif"/>
                <w:b/>
                <w:color w:val="000000"/>
                <w:sz w:val="28"/>
              </w:rPr>
              <w:t>NN, Inc.</w:t>
            </w:r>
          </w:p>
          <w:p>
            <w:pPr>
              <w:pStyle w:val="TableContents"/>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Corporate Headquarters</w:t>
            </w:r>
          </w:p>
          <w:p>
            <w:pPr>
              <w:pStyle w:val="TableContents"/>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6210 Ardrey Kell Road • Charlotte, NC 28277</w:t>
            </w:r>
          </w:p>
          <w:p>
            <w:pPr>
              <w:pStyle w:val="TableContents"/>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Phone: 980-264-4300</w:t>
            </w:r>
          </w:p>
        </w:tc>
      </w:tr>
      <w:tr>
        <w:trPr/>
        <w:tc>
          <w:tcPr>
            <w:tcW w:w="145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42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May 8, 2023</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Mr. Harold Bevis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6210 Ardrey Kell Road, Suite 600</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Charlotte, NC 28277</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RE:    Letter of Understanding (LOU) and Relocation Agreement</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Dear Harold:</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pleased to extend you an offer to join NN, Inc. (“NN” or the “Company”) as its President and Chief Executive Officer (“CEO”), as well as joining the Company’s Board of Directors (the “Board”) following the 2023 Annual Meeting of Stockholders. In this salaried exempt role, you will report directly to the Board of Directors of the Company and will be located at the Company’s headquarters in Charlotte, NC. Following is a summary of the terms of our offer:</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73"/>
        <w:gridCol w:w="329"/>
        <w:gridCol w:w="332"/>
        <w:gridCol w:w="2680"/>
        <w:gridCol w:w="2680"/>
        <w:gridCol w:w="3811"/>
      </w:tblGrid>
      <w:tr>
        <w:trPr/>
        <w:tc>
          <w:tcPr>
            <w:tcW w:w="373"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2680" w:type="dxa"/>
            <w:tcBorders/>
            <w:shd w:fill="auto" w:val="clear"/>
            <w:vAlign w:val="center"/>
          </w:tcPr>
          <w:p>
            <w:pPr>
              <w:pStyle w:val="TableContents"/>
              <w:spacing w:before="0" w:after="283"/>
              <w:rPr>
                <w:sz w:val="4"/>
                <w:szCs w:val="4"/>
              </w:rPr>
            </w:pPr>
            <w:r>
              <w:rPr>
                <w:sz w:val="4"/>
                <w:szCs w:val="4"/>
              </w:rPr>
            </w:r>
          </w:p>
        </w:tc>
        <w:tc>
          <w:tcPr>
            <w:tcW w:w="2680" w:type="dxa"/>
            <w:tcBorders/>
            <w:shd w:fill="auto" w:val="clear"/>
            <w:vAlign w:val="center"/>
          </w:tcPr>
          <w:p>
            <w:pPr>
              <w:pStyle w:val="TableContents"/>
              <w:spacing w:before="0" w:after="283"/>
              <w:rPr>
                <w:sz w:val="4"/>
                <w:szCs w:val="4"/>
              </w:rPr>
            </w:pPr>
            <w:r>
              <w:rPr>
                <w:sz w:val="4"/>
                <w:szCs w:val="4"/>
              </w:rPr>
            </w:r>
          </w:p>
        </w:tc>
        <w:tc>
          <w:tcPr>
            <w:tcW w:w="3811"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Duties:</w:t>
            </w:r>
          </w:p>
        </w:tc>
        <w:tc>
          <w:tcPr>
            <w:tcW w:w="917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Report directly to the Board; oversee execution of the Company’s strategic plan, financial and operating performance, analysis and development of business opportunities and leadership of the Company’s executive team; and such other duties, authorities and responsibilities as are customary for the position of President and CEO and as may be reasonably assigned by the Board that are commensurate with and not inconsistent with your position as President and CEO. You will devote your full business time to the discharge of your duties and responsibilities hereunder; provided, however, that you may manage personal investments and affairs for yourself and your family, and participate in industry, trade, professional, non-profit, community or philanthropic activities, serve on civic or charitable boards or committees, in each case to the extent that such activities do not materially interfere with the performance of your duties and are not in conflict with the business interests of the Company and, subject to providing notice to the Board, may serve as a director of one (1) for-profit external board of directors.</w:t>
            </w:r>
          </w:p>
        </w:tc>
      </w:tr>
      <w:tr>
        <w:trPr/>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Effective Date:</w:t>
            </w:r>
          </w:p>
        </w:tc>
        <w:tc>
          <w:tcPr>
            <w:tcW w:w="917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2"/>
              </w:rPr>
              <w:t xml:space="preserve">As soon as practicable, but no later than </w:t>
            </w:r>
            <w:r>
              <w:rPr>
                <w:rFonts w:ascii="Times New Roman;sans-serif" w:hAnsi="Times New Roman;sans-serif"/>
                <w:b/>
                <w:color w:val="000000"/>
                <w:sz w:val="22"/>
              </w:rPr>
              <w:t>May 22, 2023</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term “Effective Date” refers to the date you actively begin employment with NN.</w:t>
            </w:r>
          </w:p>
        </w:tc>
      </w:tr>
      <w:tr>
        <w:trPr/>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Base Salary:</w:t>
            </w:r>
          </w:p>
        </w:tc>
        <w:tc>
          <w:tcPr>
            <w:tcW w:w="917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2"/>
              </w:rPr>
              <w:t xml:space="preserve">Your base salary will be </w:t>
            </w:r>
            <w:r>
              <w:rPr>
                <w:rFonts w:ascii="Times New Roman;sans-serif" w:hAnsi="Times New Roman;sans-serif"/>
                <w:b/>
                <w:color w:val="000000"/>
                <w:sz w:val="22"/>
              </w:rPr>
              <w:t>$835,000</w:t>
            </w:r>
            <w:r>
              <w:rPr>
                <w:color w:val="000000"/>
              </w:rPr>
              <w:t xml:space="preserve"> </w:t>
            </w:r>
            <w:r>
              <w:rPr>
                <w:rFonts w:ascii="Times New Roman;sans-serif" w:hAnsi="Times New Roman;sans-serif"/>
                <w:b w:val="false"/>
                <w:color w:val="000000"/>
                <w:sz w:val="22"/>
              </w:rPr>
              <w:t>and will be subject to an annual review by the Compensation Committee of the Board</w:t>
            </w:r>
            <w:r>
              <w:rPr>
                <w:color w:val="000000"/>
              </w:rPr>
              <w:t xml:space="preserve"> </w:t>
            </w:r>
            <w:r>
              <w:rPr>
                <w:rFonts w:ascii="Times New Roman;sans-serif" w:hAnsi="Times New Roman;sans-serif"/>
                <w:b w:val="false"/>
                <w:color w:val="000000"/>
                <w:sz w:val="22"/>
              </w:rPr>
              <w:t>and may be subject to increase from time to time by the Board (but not decrease, except as set forth in the Separation Agreement (as defined below)), in the Board’s sole discretion.</w:t>
            </w:r>
          </w:p>
        </w:tc>
      </w:tr>
    </w:tbl>
    <w:p>
      <w:pPr>
        <w:pStyle w:val="TextBody"/>
        <w:spacing w:before="0" w:after="0"/>
        <w:jc w:val="center"/>
        <w:rPr/>
      </w:pPr>
      <w:r>
        <w:br w:type="page"/>
      </w: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940"/>
        <w:gridCol w:w="826"/>
        <w:gridCol w:w="376"/>
        <w:gridCol w:w="2688"/>
        <w:gridCol w:w="2221"/>
        <w:gridCol w:w="3154"/>
      </w:tblGrid>
      <w:tr>
        <w:trPr/>
        <w:tc>
          <w:tcPr>
            <w:tcW w:w="94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688"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c>
          <w:tcPr>
            <w:tcW w:w="3154" w:type="dxa"/>
            <w:tcBorders/>
            <w:shd w:fill="auto" w:val="clear"/>
            <w:vAlign w:val="center"/>
          </w:tcPr>
          <w:p>
            <w:pPr>
              <w:pStyle w:val="TableContents"/>
              <w:spacing w:before="0" w:after="283"/>
              <w:rPr>
                <w:sz w:val="4"/>
                <w:szCs w:val="4"/>
              </w:rPr>
            </w:pPr>
            <w:r>
              <w:rPr>
                <w:sz w:val="4"/>
                <w:szCs w:val="4"/>
              </w:rPr>
            </w:r>
          </w:p>
        </w:tc>
      </w:tr>
      <w:tr>
        <w:trPr/>
        <w:tc>
          <w:tcPr>
            <w:tcW w:w="2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Annual Incentive Award:</w:t>
            </w:r>
          </w:p>
        </w:tc>
        <w:tc>
          <w:tcPr>
            <w:tcW w:w="80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2"/>
              </w:rPr>
              <w:t xml:space="preserve">You will be entitled to participate in all executive-level annual bonus plans from time to time in effect for senior executives of the Company generally; you will be entitled to a target bonus under such annual bonus plans of </w:t>
            </w:r>
            <w:r>
              <w:rPr>
                <w:rFonts w:ascii="Times New Roman;sans-serif" w:hAnsi="Times New Roman;sans-serif"/>
                <w:b/>
                <w:color w:val="000000"/>
                <w:sz w:val="22"/>
              </w:rPr>
              <w:t>100%</w:t>
            </w:r>
            <w:r>
              <w:rPr>
                <w:color w:val="000000"/>
              </w:rPr>
              <w:t xml:space="preserve"> </w:t>
            </w:r>
            <w:r>
              <w:rPr>
                <w:rFonts w:ascii="Times New Roman;sans-serif" w:hAnsi="Times New Roman;sans-serif"/>
                <w:b w:val="false"/>
                <w:color w:val="000000"/>
                <w:sz w:val="22"/>
              </w:rPr>
              <w:t xml:space="preserve">of your base annual salary during the year. Such bonus plans will be dependent upon corporate, group and individual performance, and any bonus amounts will be determined in accordance with NN corporate guidelines. Bonuses of this type are distributed after completion of the year-end financial audit, which is typically completed in March but shall in all cases be payable not later than two and one-half (2½) months following the end of the fiscal year for which the awards were earned. </w:t>
            </w:r>
          </w:p>
          <w:p>
            <w:pPr>
              <w:pStyle w:val="TableContents"/>
              <w:spacing w:before="0" w:after="0"/>
              <w:jc w:val="both"/>
              <w:rPr/>
            </w:pPr>
            <w:r>
              <w:rPr/>
            </w:r>
          </w:p>
          <w:p>
            <w:pPr>
              <w:pStyle w:val="TableContents"/>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Annual incentive awards are subject to your execution, and governed by the terms, of the Executive Incentive Compensation (“EIC”) Program document. </w:t>
            </w:r>
          </w:p>
          <w:p>
            <w:pPr>
              <w:pStyle w:val="TableContents"/>
              <w:spacing w:before="0" w:after="0"/>
              <w:jc w:val="both"/>
              <w:rPr/>
            </w:pPr>
            <w:r>
              <w:rPr/>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2023 only, your bonus amount under the EIC will be guaranteed and will be no less than $835,000 (100% of your target bonus) and you will have a maximum bonus opportunity equal to $1,252,500 (150% of your target bonus) for performance at or above top performance levels. </w:t>
            </w:r>
          </w:p>
        </w:tc>
      </w:tr>
      <w:tr>
        <w:trPr/>
        <w:tc>
          <w:tcPr>
            <w:tcW w:w="2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Inducement Award:</w:t>
            </w:r>
          </w:p>
        </w:tc>
        <w:tc>
          <w:tcPr>
            <w:tcW w:w="80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 material inducement to you accepting employment with the Company), the Company will grant to the Executive the following one-time equity awards:</w:t>
            </w:r>
          </w:p>
          <w:p>
            <w:pPr>
              <w:pStyle w:val="TableContents"/>
              <w:spacing w:before="0" w:after="0"/>
              <w:jc w:val="both"/>
              <w:rPr/>
            </w:pPr>
            <w:r>
              <w:rPr/>
            </w:r>
          </w:p>
          <w:p>
            <w:pPr>
              <w:pStyle w:val="TableContents"/>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1,500,000 time-vesting restricted stock units (“RSUs”), outside of the Company’s 2022 Omnibus Incentive Plan, as amended (the “Omnibus Plan”) as an “inducement grant” (within the meaning of NASDAQ Listing Rule 5635(c)) having substantially the same terms, definitions and provisions of the Omnibus Plan. The RSUs will vest with respect to one fifth (1/5) of the shares subject thereto on each of the first five anniversaries of the Effective Date, subject to potential acceleration and the other terms and conditions set forth in an award agreement to be entered into by the Company and the Executive, which shall evidence the grant of the RSUs. </w:t>
            </w:r>
          </w:p>
          <w:p>
            <w:pPr>
              <w:pStyle w:val="TableContents"/>
              <w:spacing w:before="0" w:after="0"/>
              <w:jc w:val="both"/>
              <w:rPr/>
            </w:pPr>
            <w:r>
              <w:rPr/>
            </w:r>
          </w:p>
          <w:p>
            <w:pPr>
              <w:pStyle w:val="TableContents"/>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 2,500,000 performance-vesting restricted stock units (“PSUs”), outside of the Omnibus Plan as an “inducement grant” (within the meaning of NASDAQ Listing Rule 5635(c)) having substantially the same terms, definitions and provisions of the Omnibus Plan. Each PSU shall entitle the Executive to receive one share of the Company’s common stock for each PSU that vests. The PSUs will vest based on the performance conditions set forth in an award agreement to be entered into by the Company and the Executive, which shall evidence the grant of the PSUs.</w:t>
            </w:r>
          </w:p>
        </w:tc>
      </w:tr>
      <w:tr>
        <w:trPr/>
        <w:tc>
          <w:tcPr>
            <w:tcW w:w="214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160"/>
              <w:jc w:val="left"/>
              <w:rPr>
                <w:rFonts w:ascii="Times New Roman;sans-serif" w:hAnsi="Times New Roman;sans-serif"/>
                <w:b/>
                <w:color w:val="000000"/>
                <w:sz w:val="22"/>
              </w:rPr>
            </w:pPr>
            <w:r>
              <w:rPr>
                <w:rFonts w:ascii="Times New Roman;sans-serif" w:hAnsi="Times New Roman;sans-serif"/>
                <w:b/>
                <w:color w:val="000000"/>
                <w:sz w:val="22"/>
              </w:rPr>
              <w:t>LTI Award</w:t>
            </w:r>
          </w:p>
        </w:tc>
        <w:tc>
          <w:tcPr>
            <w:tcW w:w="80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Beginning in 2028, you will be eligible to participate in the Company’s Long-Term Incentive (“LTI”) program. LTI awards are subject to your execution, and governed by the terms, of the LTI program document.</w:t>
            </w:r>
          </w:p>
        </w:tc>
      </w:tr>
      <w:tr>
        <w:trPr/>
        <w:tc>
          <w:tcPr>
            <w:tcW w:w="21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Separation Provisions:</w:t>
            </w:r>
          </w:p>
        </w:tc>
        <w:tc>
          <w:tcPr>
            <w:tcW w:w="80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You will be eligible for additional separation provisions related to qualifying terminations—specifically, terminations both prior to and following a Change in Control. These provisions will be set forth in a Separation Agreement (the “Separation Agreement”) that will be executed separately from and concurrently with the LOU.</w:t>
            </w:r>
          </w:p>
        </w:tc>
      </w:tr>
      <w:tr>
        <w:trPr/>
        <w:tc>
          <w:tcPr>
            <w:tcW w:w="2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Employment-at-Will:</w:t>
            </w:r>
          </w:p>
        </w:tc>
        <w:tc>
          <w:tcPr>
            <w:tcW w:w="80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Except as expressly set forth herein and in the Separation Agreement, nothing in this Letter of Understanding and Relocation Agreement is intended to supersede NN, Inc.’s employment-at-will policy. Under these provisions, employment with NN, Inc. is voluntarily entered into, and the associate is free to resign at will at any time, with or without cause. Similarly, NN, Inc. may terminate the employment relationship at will at any time, with or without notice or cause, so long as there is no violation of applicable federal and state law. For purposes of clarification, although employment is on an at-will basis, any termination of your employment will be subject to and in compliance with the terms of the Separation Agreement and the documents governing your RSUs and PSUs.</w:t>
            </w:r>
          </w:p>
        </w:tc>
      </w:tr>
      <w:tr>
        <w:trPr/>
        <w:tc>
          <w:tcPr>
            <w:tcW w:w="2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Relocation</w:t>
            </w:r>
          </w:p>
        </w:tc>
        <w:tc>
          <w:tcPr>
            <w:tcW w:w="80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2"/>
              </w:rPr>
              <w:t xml:space="preserve">Relocation provisions are described in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attached hereto.</w:t>
            </w:r>
          </w:p>
        </w:tc>
      </w:tr>
    </w:tbl>
    <w:p>
      <w:pPr>
        <w:pStyle w:val="TextBody"/>
        <w:spacing w:before="0" w:after="0"/>
        <w:jc w:val="center"/>
        <w:rPr/>
      </w:pPr>
      <w:r>
        <w:br w:type="page"/>
      </w: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40410"/>
                <wp:effectExtent l="0" t="0" r="0" b="0"/>
                <wp:wrapNone/>
                <wp:docPr id="8" name="Frame6"/>
                <a:graphic xmlns:a="http://schemas.openxmlformats.org/drawingml/2006/main">
                  <a:graphicData uri="http://schemas.microsoft.com/office/word/2010/wordprocessingShape">
                    <wps:wsp>
                      <wps:cNvSpPr txBox="1"/>
                      <wps:spPr>
                        <a:xfrm>
                          <a:off x="0" y="0"/>
                          <a:ext cx="6480175" cy="74041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404040"/>
                                <w:sz w:val="18"/>
                              </w:rPr>
                            </w:pPr>
                            <w:r>
                              <w:rPr>
                                <w:rFonts w:ascii="Times New Roman;sans-serif" w:hAnsi="Times New Roman;sans-serif"/>
                                <w:b/>
                                <w:color w:val="404040"/>
                                <w:sz w:val="18"/>
                              </w:rPr>
                              <w:t>www.nninc.com</w:t>
                            </w:r>
                          </w:p>
                          <w:p>
                            <w:pPr>
                              <w:pStyle w:val="TextBody"/>
                              <w:spacing w:lineRule="auto" w:line="240" w:before="0" w:after="0"/>
                              <w:jc w:val="center"/>
                              <w:rPr>
                                <w:rFonts w:ascii="Times New Roman;sans-serif" w:hAnsi="Times New Roman;sans-serif"/>
                                <w:b w:val="false"/>
                                <w:color w:val="404040"/>
                                <w:sz w:val="18"/>
                              </w:rPr>
                            </w:pPr>
                            <w:r>
                              <w:rPr>
                                <w:rFonts w:ascii="Times New Roman;sans-serif" w:hAnsi="Times New Roman;sans-serif"/>
                                <w:b w:val="false"/>
                                <w:color w:val="40404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226.85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404040"/>
                          <w:sz w:val="18"/>
                        </w:rPr>
                      </w:pPr>
                      <w:r>
                        <w:rPr>
                          <w:rFonts w:ascii="Times New Roman;sans-serif" w:hAnsi="Times New Roman;sans-serif"/>
                          <w:b/>
                          <w:color w:val="404040"/>
                          <w:sz w:val="18"/>
                        </w:rPr>
                        <w:t>www.nninc.com</w:t>
                      </w:r>
                    </w:p>
                    <w:p>
                      <w:pPr>
                        <w:pStyle w:val="TextBody"/>
                        <w:spacing w:lineRule="auto" w:line="240" w:before="0" w:after="0"/>
                        <w:jc w:val="center"/>
                        <w:rPr>
                          <w:rFonts w:ascii="Times New Roman;sans-serif" w:hAnsi="Times New Roman;sans-serif"/>
                          <w:b w:val="false"/>
                          <w:color w:val="404040"/>
                          <w:sz w:val="18"/>
                        </w:rPr>
                      </w:pPr>
                      <w:r>
                        <w:rPr>
                          <w:rFonts w:ascii="Times New Roman;sans-serif" w:hAnsi="Times New Roman;sans-serif"/>
                          <w:b w:val="false"/>
                          <w:color w:val="404040"/>
                          <w:sz w:val="18"/>
                        </w:rPr>
                        <w:t>Page 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717"/>
        <w:gridCol w:w="629"/>
        <w:gridCol w:w="633"/>
        <w:gridCol w:w="2406"/>
        <w:gridCol w:w="2406"/>
        <w:gridCol w:w="3414"/>
      </w:tblGrid>
      <w:tr>
        <w:trPr/>
        <w:tc>
          <w:tcPr>
            <w:tcW w:w="717"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406" w:type="dxa"/>
            <w:tcBorders/>
            <w:shd w:fill="auto" w:val="clear"/>
            <w:vAlign w:val="center"/>
          </w:tcPr>
          <w:p>
            <w:pPr>
              <w:pStyle w:val="TableContents"/>
              <w:spacing w:before="0" w:after="283"/>
              <w:rPr>
                <w:sz w:val="4"/>
                <w:szCs w:val="4"/>
              </w:rPr>
            </w:pPr>
            <w:r>
              <w:rPr>
                <w:sz w:val="4"/>
                <w:szCs w:val="4"/>
              </w:rPr>
            </w:r>
          </w:p>
        </w:tc>
        <w:tc>
          <w:tcPr>
            <w:tcW w:w="2406" w:type="dxa"/>
            <w:tcBorders/>
            <w:shd w:fill="auto" w:val="clear"/>
            <w:vAlign w:val="center"/>
          </w:tcPr>
          <w:p>
            <w:pPr>
              <w:pStyle w:val="TableContents"/>
              <w:spacing w:before="0" w:after="283"/>
              <w:rPr>
                <w:sz w:val="4"/>
                <w:szCs w:val="4"/>
              </w:rPr>
            </w:pPr>
            <w:r>
              <w:rPr>
                <w:sz w:val="4"/>
                <w:szCs w:val="4"/>
              </w:rPr>
            </w:r>
          </w:p>
        </w:tc>
        <w:tc>
          <w:tcPr>
            <w:tcW w:w="341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Confidentiality:</w:t>
            </w:r>
          </w:p>
        </w:tc>
        <w:tc>
          <w:tcPr>
            <w:tcW w:w="822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 you will be in a position of trust requiring the maintenance of confidence, you will be required to sign a confidentiality and non-disclosure agreement on your first day of employment. A copy of the current agreement will be provided to you for your review.</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Reimbursement of Legal Expenses:</w:t>
            </w:r>
          </w:p>
        </w:tc>
        <w:tc>
          <w:tcPr>
            <w:tcW w:w="822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Not to exceed $25,000, the Company will reimburse you for reasonable legal fees and expenses incurred by you in connection with the negotiation and execution of this LOU and the agreements ancillary hereto.</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Benefits:</w:t>
            </w:r>
          </w:p>
        </w:tc>
        <w:tc>
          <w:tcPr>
            <w:tcW w:w="822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offers a broad range of benefits for you and your eligible dependents. All such benefits are subject to the terms of the benefit plans and are available to employees generally. Plans include medical, dental, life, and disability benefits, as well as voluntary offerings such as vision, 401(k), and other voluntary offerings are also available; a copy of the current enrollment guide will be provided to you for your review.</w:t>
            </w:r>
          </w:p>
        </w:tc>
      </w:tr>
    </w:tbl>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Any provision of this Agreement to the contrary notwithstanding, all payments made by the Company hereunder to you, your estate, or your beneficiaries shall be subject to the withholding of such amounts, if any, relating to tax and other payroll deductions as the Company may reasonably determine are required to be withheld pursuant to any applicable law or regulation.</w:t>
      </w:r>
    </w:p>
    <w:p>
      <w:pPr>
        <w:pStyle w:val="TextBody"/>
        <w:spacing w:before="0" w:after="0"/>
        <w:jc w:val="both"/>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Harold, we look forward to welcoming you to the NN team. If you are in agreement with the terms of this offer, please sign and return a copy of the executed letter to us for your file. If you have any questions, please feel free to call me directly. </w:t>
      </w:r>
    </w:p>
    <w:p>
      <w:pPr>
        <w:pStyle w:val="TextBody"/>
        <w:spacing w:before="0" w:after="0"/>
        <w:jc w:val="both"/>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Sincerely,</w:t>
      </w:r>
    </w:p>
    <w:p>
      <w:pPr>
        <w:pStyle w:val="TextBody"/>
        <w:spacing w:before="0" w:after="0"/>
        <w:rPr/>
      </w:pPr>
      <w:r>
        <w:rPr/>
      </w:r>
    </w:p>
    <w:p>
      <w:pPr>
        <w:pStyle w:val="TextBody"/>
        <w:spacing w:before="0" w:after="0"/>
        <w:rPr/>
      </w:pPr>
      <w:r>
        <w:rPr/>
        <w:drawing>
          <wp:inline distT="0" distB="63500" distL="0" distR="0">
            <wp:extent cx="1219200" cy="5810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7"/>
                    <a:stretch>
                      <a:fillRect/>
                    </a:stretch>
                  </pic:blipFill>
                  <pic:spPr bwMode="auto">
                    <a:xfrm>
                      <a:off x="0" y="0"/>
                      <a:ext cx="1219200" cy="58102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Jeri Harman Chairman of the Board of Directors</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Enclosures</w:t>
      </w:r>
    </w:p>
    <w:p>
      <w:pPr>
        <w:pStyle w:val="TextBody"/>
        <w:spacing w:before="0" w:after="0"/>
        <w:rPr/>
      </w:pPr>
      <w:r>
        <w:rPr/>
      </w:r>
    </w:p>
    <w:p>
      <w:pPr>
        <w:pStyle w:val="TextBody"/>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40410"/>
                <wp:effectExtent l="0" t="0" r="0" b="0"/>
                <wp:wrapNone/>
                <wp:docPr id="10" name="Frame7"/>
                <a:graphic xmlns:a="http://schemas.openxmlformats.org/drawingml/2006/main">
                  <a:graphicData uri="http://schemas.microsoft.com/office/word/2010/wordprocessingShape">
                    <wps:wsp>
                      <wps:cNvSpPr txBox="1"/>
                      <wps:spPr>
                        <a:xfrm>
                          <a:off x="0" y="0"/>
                          <a:ext cx="6480175" cy="74041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404040"/>
                                <w:sz w:val="18"/>
                              </w:rPr>
                            </w:pPr>
                            <w:r>
                              <w:rPr>
                                <w:rFonts w:ascii="Times New Roman;sans-serif" w:hAnsi="Times New Roman;sans-serif"/>
                                <w:b/>
                                <w:color w:val="404040"/>
                                <w:sz w:val="18"/>
                              </w:rPr>
                              <w:t>www.nninc.com</w:t>
                            </w:r>
                          </w:p>
                          <w:p>
                            <w:pPr>
                              <w:pStyle w:val="TextBody"/>
                              <w:spacing w:lineRule="auto" w:line="240" w:before="0" w:after="0"/>
                              <w:jc w:val="center"/>
                              <w:rPr>
                                <w:rFonts w:ascii="Times New Roman;sans-serif" w:hAnsi="Times New Roman;sans-serif"/>
                                <w:b w:val="false"/>
                                <w:color w:val="404040"/>
                                <w:sz w:val="18"/>
                              </w:rPr>
                            </w:pPr>
                            <w:r>
                              <w:rPr>
                                <w:rFonts w:ascii="Times New Roman;sans-serif" w:hAnsi="Times New Roman;sans-serif"/>
                                <w:b w:val="false"/>
                                <w:color w:val="40404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226.85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404040"/>
                          <w:sz w:val="18"/>
                        </w:rPr>
                      </w:pPr>
                      <w:r>
                        <w:rPr>
                          <w:rFonts w:ascii="Times New Roman;sans-serif" w:hAnsi="Times New Roman;sans-serif"/>
                          <w:b/>
                          <w:color w:val="404040"/>
                          <w:sz w:val="18"/>
                        </w:rPr>
                        <w:t>www.nninc.com</w:t>
                      </w:r>
                    </w:p>
                    <w:p>
                      <w:pPr>
                        <w:pStyle w:val="TextBody"/>
                        <w:spacing w:lineRule="auto" w:line="240" w:before="0" w:after="0"/>
                        <w:jc w:val="center"/>
                        <w:rPr>
                          <w:rFonts w:ascii="Times New Roman;sans-serif" w:hAnsi="Times New Roman;sans-serif"/>
                          <w:b w:val="false"/>
                          <w:color w:val="404040"/>
                          <w:sz w:val="18"/>
                        </w:rPr>
                      </w:pPr>
                      <w:r>
                        <w:rPr>
                          <w:rFonts w:ascii="Times New Roman;sans-serif" w:hAnsi="Times New Roman;sans-serif"/>
                          <w:b w:val="false"/>
                          <w:color w:val="404040"/>
                          <w:sz w:val="18"/>
                        </w:rPr>
                        <w:t>Page 3</w:t>
                      </w:r>
                    </w:p>
                  </w:txbxContent>
                </v:textbox>
              </v:rect>
            </w:pict>
          </mc:Fallback>
        </mc:AlternateContent>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NN, Inc. Relocation Agreement</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guidelines set forth the provisions of the Company’s relocation offer. These relocation benefits are only available in conjunction with the purchase of a primary residence in the Charlotte, NC area. It may not be used to purchase vacation property, vacant land or other non-primary housing. Sections A through D below must each be initiated within 12 months of the Effective Date or they will be forfeited.</w:t>
      </w:r>
    </w:p>
    <w:p>
      <w:pPr>
        <w:pStyle w:val="TextBody"/>
        <w:spacing w:before="0" w:after="0"/>
        <w:rPr/>
      </w:pPr>
      <w:r>
        <w:rPr/>
      </w:r>
    </w:p>
    <w:p>
      <w:pPr>
        <w:pStyle w:val="TextBody"/>
        <w:spacing w:lineRule="auto" w:line="240" w:before="0" w:after="0"/>
        <w:ind w:left="0" w:right="0" w:hanging="360"/>
        <w:rPr>
          <w:rFonts w:ascii="Times New Roman;sans-serif" w:hAnsi="Times New Roman;sans-serif"/>
          <w:b/>
          <w:color w:val="000000"/>
          <w:sz w:val="22"/>
        </w:rPr>
      </w:pPr>
      <w:r>
        <w:rPr>
          <w:rFonts w:ascii="Times New Roman;sans-serif" w:hAnsi="Times New Roman;sans-serif"/>
          <w:b/>
          <w:color w:val="000000"/>
          <w:sz w:val="22"/>
        </w:rPr>
        <w:t>A.Temporary Living and Duplicate Real Estate Costs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will pay temporary living expenses (room, meals and incidentals) while you are purchasing a home or arranging for other permanent housing, and/or will pay any duplicate costs associated with mortgages payable including the mortgage payment, utilities and routine maintenance on the home beginning with the Effective Date. The benefit for these two provisions combined shall not exceed a total of four (4) months, and the amount of the reimbursement shall not exceed thirty-six thousand dollars ($36,000). </w:t>
      </w:r>
    </w:p>
    <w:p>
      <w:pPr>
        <w:pStyle w:val="TextBody"/>
        <w:spacing w:before="0" w:after="0"/>
        <w:rPr/>
      </w:pPr>
      <w:r>
        <w:rPr/>
      </w:r>
    </w:p>
    <w:p>
      <w:pPr>
        <w:pStyle w:val="TextBody"/>
        <w:spacing w:lineRule="auto" w:line="240" w:before="0" w:after="0"/>
        <w:ind w:left="0" w:right="0" w:hanging="360"/>
        <w:rPr>
          <w:rFonts w:ascii="Times New Roman;sans-serif" w:hAnsi="Times New Roman;sans-serif"/>
          <w:b/>
          <w:color w:val="000000"/>
          <w:sz w:val="22"/>
        </w:rPr>
      </w:pPr>
      <w:r>
        <w:rPr>
          <w:rFonts w:ascii="Times New Roman;sans-serif" w:hAnsi="Times New Roman;sans-serif"/>
          <w:b/>
          <w:color w:val="000000"/>
          <w:sz w:val="22"/>
        </w:rPr>
        <w:t>B.Purchase/Sale of Real Estate</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will pay usual and customary closing costs on the purchase of a new home.</w:t>
      </w:r>
    </w:p>
    <w:p>
      <w:pPr>
        <w:pStyle w:val="TextBody"/>
        <w:spacing w:before="0" w:after="0"/>
        <w:rPr/>
      </w:pPr>
      <w:r>
        <w:rPr/>
      </w:r>
    </w:p>
    <w:p>
      <w:pPr>
        <w:pStyle w:val="TextBody"/>
        <w:spacing w:lineRule="auto" w:line="240" w:before="0" w:after="0"/>
        <w:ind w:left="0" w:right="0" w:hanging="360"/>
        <w:rPr>
          <w:rFonts w:ascii="Times New Roman;sans-serif" w:hAnsi="Times New Roman;sans-serif"/>
          <w:b/>
          <w:color w:val="000000"/>
          <w:sz w:val="22"/>
        </w:rPr>
      </w:pPr>
      <w:r>
        <w:rPr>
          <w:rFonts w:ascii="Times New Roman;sans-serif" w:hAnsi="Times New Roman;sans-serif"/>
          <w:b/>
          <w:color w:val="000000"/>
          <w:sz w:val="22"/>
        </w:rPr>
        <w:t>C.Relocation Allowance</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will pay an aggregate amount not to exceed $50,000 for movement of standard household items (excluding boats, antiques, and other similar or heavy/oversized items) and up to three (3) automobiles, as well as reasonable travel of household family members, including the movement of all household goods and items in your current residence and currently in storage in both the greater Atlanta, Georgia and Columbus, Ohio areas. You will be required to first submit two (2) moving estimates to corporate Human Resources for review and approval.</w:t>
      </w:r>
    </w:p>
    <w:p>
      <w:pPr>
        <w:pStyle w:val="TextBody"/>
        <w:spacing w:before="0" w:after="0"/>
        <w:rPr/>
      </w:pPr>
      <w:r>
        <w:rPr/>
      </w:r>
    </w:p>
    <w:p>
      <w:pPr>
        <w:pStyle w:val="TextBody"/>
        <w:spacing w:lineRule="auto" w:line="240" w:before="0" w:after="0"/>
        <w:ind w:left="0" w:right="0" w:hanging="360"/>
        <w:rPr>
          <w:rFonts w:ascii="Times New Roman;sans-serif" w:hAnsi="Times New Roman;sans-serif"/>
          <w:b/>
          <w:color w:val="000000"/>
          <w:sz w:val="22"/>
        </w:rPr>
      </w:pPr>
      <w:r>
        <w:rPr>
          <w:rFonts w:ascii="Times New Roman;sans-serif" w:hAnsi="Times New Roman;sans-serif"/>
          <w:b/>
          <w:color w:val="000000"/>
          <w:sz w:val="22"/>
        </w:rPr>
        <w:t>D.Home Finding Trip</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You will be reimbursed for three (3) trips, not to exceed nine (9) days, including actual and reasonable expenses from the departure location to the destination location. This shall only include reimbursement for members of your immediate family that currently reside with you. Reimbursable expenses include:</w:t>
      </w:r>
    </w:p>
    <w:p>
      <w:pPr>
        <w:pStyle w:val="TextBody"/>
        <w:spacing w:before="0" w:after="0"/>
        <w:rPr/>
      </w:pPr>
      <w:r>
        <w:rPr/>
      </w:r>
    </w:p>
    <w:p>
      <w:pPr>
        <w:pStyle w:val="TextBody"/>
        <w:spacing w:lineRule="auto" w:line="240" w:before="0" w:after="60"/>
        <w:ind w:left="0" w:right="0" w:hanging="360"/>
        <w:rPr/>
      </w:pPr>
      <w:r>
        <w:rPr>
          <w:color w:val="000000"/>
        </w:rPr>
        <w:t>•</w:t>
      </w:r>
      <w:r>
        <w:rPr>
          <w:rFonts w:ascii="Times New Roman;sans-serif" w:hAnsi="Times New Roman;sans-serif"/>
          <w:b/>
          <w:color w:val="000000"/>
          <w:sz w:val="22"/>
        </w:rPr>
        <w:t>Airfare</w:t>
      </w:r>
      <w:r>
        <w:rPr>
          <w:color w:val="000000"/>
        </w:rPr>
        <w:t xml:space="preserve"> </w:t>
      </w:r>
      <w:r>
        <w:rPr>
          <w:rFonts w:ascii="Times New Roman;sans-serif" w:hAnsi="Times New Roman;sans-serif"/>
          <w:b w:val="false"/>
          <w:color w:val="000000"/>
          <w:sz w:val="22"/>
        </w:rPr>
        <w:t>(provided if the distance to the destination location is over 300 miles one-way): Coach fare; and reasonable and appropriate car rental fees (full size or smaller), in accordance with the Company’s travel policy</w:t>
      </w:r>
    </w:p>
    <w:p>
      <w:pPr>
        <w:pStyle w:val="TextBody"/>
        <w:spacing w:lineRule="auto" w:line="240" w:before="0" w:after="60"/>
        <w:ind w:left="0" w:right="0" w:hanging="360"/>
        <w:rPr/>
      </w:pPr>
      <w:r>
        <w:rPr>
          <w:color w:val="000000"/>
        </w:rPr>
        <w:t>•</w:t>
      </w:r>
      <w:r>
        <w:rPr>
          <w:rFonts w:ascii="Times New Roman;sans-serif" w:hAnsi="Times New Roman;sans-serif"/>
          <w:b/>
          <w:color w:val="000000"/>
          <w:sz w:val="22"/>
        </w:rPr>
        <w:t>Vehicle</w:t>
      </w:r>
      <w:r>
        <w:rPr>
          <w:color w:val="000000"/>
        </w:rPr>
        <w:t xml:space="preserve"> </w:t>
      </w:r>
      <w:r>
        <w:rPr>
          <w:rFonts w:ascii="Times New Roman;sans-serif" w:hAnsi="Times New Roman;sans-serif"/>
          <w:b/>
          <w:color w:val="000000"/>
          <w:sz w:val="22"/>
        </w:rPr>
        <w:t>Mileage</w:t>
      </w:r>
      <w:r>
        <w:rPr>
          <w:color w:val="000000"/>
        </w:rPr>
        <w:t xml:space="preserve"> </w:t>
      </w:r>
      <w:r>
        <w:rPr>
          <w:rFonts w:ascii="Times New Roman;sans-serif" w:hAnsi="Times New Roman;sans-serif"/>
          <w:b w:val="false"/>
          <w:color w:val="000000"/>
          <w:sz w:val="22"/>
        </w:rPr>
        <w:t>(required if the distance to the new location is 300 or fewer miles one-way): Reimbursed at Company’s current mileage reimbursement rate</w:t>
      </w:r>
    </w:p>
    <w:p>
      <w:pPr>
        <w:pStyle w:val="TextBody"/>
        <w:spacing w:lineRule="auto" w:line="240" w:before="0" w:after="0"/>
        <w:ind w:left="0" w:right="0" w:hanging="360"/>
        <w:rPr/>
      </w:pPr>
      <w:r>
        <w:rPr>
          <w:color w:val="000000"/>
        </w:rPr>
        <w:t>•</w:t>
      </w:r>
      <w:r>
        <w:rPr>
          <w:rFonts w:ascii="Times New Roman;sans-serif" w:hAnsi="Times New Roman;sans-serif"/>
          <w:b/>
          <w:color w:val="000000"/>
          <w:sz w:val="22"/>
        </w:rPr>
        <w:t>Meals and Lodging</w:t>
      </w:r>
      <w:r>
        <w:rPr>
          <w:rFonts w:ascii="Times New Roman;sans-serif" w:hAnsi="Times New Roman;sans-serif"/>
          <w:b w:val="false"/>
          <w:color w:val="000000"/>
          <w:sz w:val="22"/>
        </w:rPr>
        <w:t>: Reasonable meals and overnight lodging for you and your immediate family members traveling with you</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Your trip must be made by the most direct route; i.e., no vacation, extended trips, personal side trips, or leisure travel will be covered.</w:t>
      </w:r>
    </w:p>
    <w:p>
      <w:pPr>
        <w:pStyle w:val="TextBody"/>
        <w:spacing w:before="0" w:after="0"/>
        <w:rPr/>
      </w:pPr>
      <w:r>
        <w:rPr/>
      </w:r>
    </w:p>
    <w:p>
      <w:pPr>
        <w:pStyle w:val="TextBody"/>
        <w:spacing w:lineRule="auto" w:line="240" w:before="0" w:after="0"/>
        <w:ind w:left="0" w:right="0" w:hanging="360"/>
        <w:rPr>
          <w:rFonts w:ascii="Times New Roman;sans-serif" w:hAnsi="Times New Roman;sans-serif"/>
          <w:b/>
          <w:color w:val="000000"/>
          <w:sz w:val="22"/>
        </w:rPr>
      </w:pPr>
      <w:r>
        <w:rPr>
          <w:rFonts w:ascii="Times New Roman;sans-serif" w:hAnsi="Times New Roman;sans-serif"/>
          <w:b/>
          <w:color w:val="000000"/>
          <w:sz w:val="22"/>
        </w:rPr>
        <w:t>E.Termination of Benefits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Relocation benefits will cease if you resign your employment or are terminated for cause, including for performance. In addition, if you resign your employment or are terminated for cause, including for performance, within the first eighteen (18) months following your first date of work in this position, you will be required to reimburse the Company for 100% of the relocation expenses and relocation benefits paid for by the Company under this program. </w:t>
      </w:r>
    </w:p>
    <w:p>
      <w:pPr>
        <w:pStyle w:val="TextBody"/>
        <w:spacing w:before="0" w:after="0"/>
        <w:rPr/>
      </w:pPr>
      <w:r>
        <w:rPr/>
      </w:r>
    </w:p>
    <w:p>
      <w:pPr>
        <w:pStyle w:val="TextBody"/>
        <w:spacing w:lineRule="auto" w:line="240" w:before="0" w:after="0"/>
        <w:ind w:left="0" w:right="0" w:hanging="360"/>
        <w:rPr>
          <w:rFonts w:ascii="Times New Roman;sans-serif" w:hAnsi="Times New Roman;sans-serif"/>
          <w:b/>
          <w:color w:val="000000"/>
          <w:sz w:val="22"/>
        </w:rPr>
      </w:pPr>
      <w:r>
        <w:rPr>
          <w:rFonts w:ascii="Times New Roman;sans-serif" w:hAnsi="Times New Roman;sans-serif"/>
          <w:b/>
          <w:color w:val="000000"/>
          <w:sz w:val="22"/>
        </w:rPr>
        <w:t>F.Tax Treatment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The IRS requires all relocation expenses, which are reimbursed or paid directly by the company, be reported as income. Certain reimbursements are taxed by the federal and appropriate state taxing authorities and are subject to withholding for the current tax year.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40410"/>
                <wp:effectExtent l="0" t="0" r="0" b="0"/>
                <wp:wrapNone/>
                <wp:docPr id="11" name="Frame8"/>
                <a:graphic xmlns:a="http://schemas.openxmlformats.org/drawingml/2006/main">
                  <a:graphicData uri="http://schemas.microsoft.com/office/word/2010/wordprocessingShape">
                    <wps:wsp>
                      <wps:cNvSpPr txBox="1"/>
                      <wps:spPr>
                        <a:xfrm>
                          <a:off x="0" y="0"/>
                          <a:ext cx="6480175" cy="74041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404040"/>
                                <w:sz w:val="18"/>
                              </w:rPr>
                            </w:pPr>
                            <w:r>
                              <w:rPr>
                                <w:rFonts w:ascii="Times New Roman;sans-serif" w:hAnsi="Times New Roman;sans-serif"/>
                                <w:b/>
                                <w:color w:val="404040"/>
                                <w:sz w:val="18"/>
                              </w:rPr>
                              <w:t>www.nninc.com</w:t>
                            </w:r>
                          </w:p>
                          <w:p>
                            <w:pPr>
                              <w:pStyle w:val="TextBody"/>
                              <w:spacing w:lineRule="auto" w:line="240" w:before="0" w:after="0"/>
                              <w:jc w:val="center"/>
                              <w:rPr>
                                <w:rFonts w:ascii="Times New Roman;sans-serif" w:hAnsi="Times New Roman;sans-serif"/>
                                <w:b w:val="false"/>
                                <w:color w:val="404040"/>
                                <w:sz w:val="18"/>
                              </w:rPr>
                            </w:pPr>
                            <w:r>
                              <w:rPr>
                                <w:rFonts w:ascii="Times New Roman;sans-serif" w:hAnsi="Times New Roman;sans-serif"/>
                                <w:b w:val="false"/>
                                <w:color w:val="40404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404040"/>
                          <w:sz w:val="18"/>
                        </w:rPr>
                      </w:pPr>
                      <w:r>
                        <w:rPr>
                          <w:rFonts w:ascii="Times New Roman;sans-serif" w:hAnsi="Times New Roman;sans-serif"/>
                          <w:b/>
                          <w:color w:val="404040"/>
                          <w:sz w:val="18"/>
                        </w:rPr>
                        <w:t>www.nninc.com</w:t>
                      </w:r>
                    </w:p>
                    <w:p>
                      <w:pPr>
                        <w:pStyle w:val="TextBody"/>
                        <w:spacing w:lineRule="auto" w:line="240" w:before="0" w:after="0"/>
                        <w:jc w:val="center"/>
                        <w:rPr>
                          <w:rFonts w:ascii="Times New Roman;sans-serif" w:hAnsi="Times New Roman;sans-serif"/>
                          <w:b w:val="false"/>
                          <w:color w:val="404040"/>
                          <w:sz w:val="18"/>
                        </w:rPr>
                      </w:pPr>
                      <w:r>
                        <w:rPr>
                          <w:rFonts w:ascii="Times New Roman;sans-serif" w:hAnsi="Times New Roman;sans-serif"/>
                          <w:b w:val="false"/>
                          <w:color w:val="404040"/>
                          <w:sz w:val="18"/>
                        </w:rPr>
                        <w:t>Page 4</w:t>
                      </w:r>
                    </w:p>
                  </w:txbxContent>
                </v:textbox>
              </v:rect>
            </w:pict>
          </mc:Fallback>
        </mc:AlternateContent>
      </w:r>
    </w:p>
    <w:tbl>
      <w:tblPr>
        <w:tblW w:w="4871" w:type="dxa"/>
        <w:jc w:val="left"/>
        <w:tblInd w:w="0" w:type="dxa"/>
        <w:tblCellMar>
          <w:top w:w="28" w:type="dxa"/>
          <w:left w:w="28" w:type="dxa"/>
          <w:bottom w:w="28" w:type="dxa"/>
          <w:right w:w="28" w:type="dxa"/>
        </w:tblCellMar>
      </w:tblPr>
      <w:tblGrid>
        <w:gridCol w:w="526"/>
        <w:gridCol w:w="462"/>
        <w:gridCol w:w="463"/>
        <w:gridCol w:w="1001"/>
        <w:gridCol w:w="1001"/>
        <w:gridCol w:w="1418"/>
      </w:tblGrid>
      <w:tr>
        <w:trPr/>
        <w:tc>
          <w:tcPr>
            <w:tcW w:w="52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r>
      <w:tr>
        <w:trPr/>
        <w:tc>
          <w:tcPr>
            <w:tcW w:w="145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857250" cy="85725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8"/>
                          <a:stretch>
                            <a:fillRect/>
                          </a:stretch>
                        </pic:blipFill>
                        <pic:spPr bwMode="auto">
                          <a:xfrm>
                            <a:off x="0" y="0"/>
                            <a:ext cx="857250" cy="857250"/>
                          </a:xfrm>
                          <a:prstGeom prst="rect">
                            <a:avLst/>
                          </a:prstGeom>
                        </pic:spPr>
                      </pic:pic>
                    </a:graphicData>
                  </a:graphic>
                </wp:inline>
              </w:drawing>
            </w:r>
          </w:p>
        </w:tc>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Calibri;sans-serif" w:hAnsi="Calibri;sans-serif"/>
                <w:b/>
                <w:color w:val="000000"/>
                <w:sz w:val="28"/>
              </w:rPr>
            </w:pPr>
            <w:r>
              <w:rPr>
                <w:rFonts w:ascii="Calibri;sans-serif" w:hAnsi="Calibri;sans-serif"/>
                <w:b/>
                <w:color w:val="000000"/>
                <w:sz w:val="28"/>
              </w:rPr>
              <w:t>NN, Inc.</w:t>
            </w:r>
          </w:p>
          <w:p>
            <w:pPr>
              <w:pStyle w:val="TableContents"/>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Corporate Headquarters</w:t>
            </w:r>
          </w:p>
          <w:p>
            <w:pPr>
              <w:pStyle w:val="TableContents"/>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6210 Ardrey Kell Road • Charlotte, NC 28277</w:t>
            </w:r>
          </w:p>
          <w:p>
            <w:pPr>
              <w:pStyle w:val="TableContents"/>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Phone: 980-264-4300</w:t>
            </w:r>
          </w:p>
        </w:tc>
      </w:tr>
      <w:tr>
        <w:trPr/>
        <w:tc>
          <w:tcPr>
            <w:tcW w:w="145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42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jc w:val="center"/>
        <w:rPr/>
      </w:pPr>
      <w:r>
        <w:rPr/>
      </w:r>
    </w:p>
    <w:p>
      <w:pPr>
        <w:pStyle w:val="TextBody"/>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Letter of Understanding and Relocation Agreement</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Harold Bevis</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 xml:space="preserve">Agreement and Acceptance: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I hereby acknowledge and accept the terms and conditions cited in the foregoing Letter of Understanding and Relocation Agreement. </w:t>
      </w:r>
    </w:p>
    <w:p>
      <w:pPr>
        <w:pStyle w:val="TextBody"/>
        <w:spacing w:before="0" w:after="0"/>
        <w:rPr/>
      </w:pPr>
      <w:r>
        <w:rPr/>
      </w:r>
    </w:p>
    <w:p>
      <w:pPr>
        <w:pStyle w:val="TextBody"/>
        <w:spacing w:before="0" w:after="0"/>
        <w:rPr/>
      </w:pPr>
      <w:r>
        <w:rPr/>
      </w:r>
    </w:p>
    <w:tbl>
      <w:tblPr>
        <w:tblW w:w="3164" w:type="dxa"/>
        <w:jc w:val="left"/>
        <w:tblInd w:w="0" w:type="dxa"/>
        <w:tblCellMar>
          <w:top w:w="28" w:type="dxa"/>
          <w:left w:w="28" w:type="dxa"/>
          <w:bottom w:w="28" w:type="dxa"/>
          <w:right w:w="28" w:type="dxa"/>
        </w:tblCellMar>
      </w:tblPr>
      <w:tblGrid>
        <w:gridCol w:w="547"/>
        <w:gridCol w:w="483"/>
        <w:gridCol w:w="485"/>
        <w:gridCol w:w="483"/>
        <w:gridCol w:w="483"/>
        <w:gridCol w:w="683"/>
      </w:tblGrid>
      <w:tr>
        <w:trPr/>
        <w:tc>
          <w:tcPr>
            <w:tcW w:w="547"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Signed:</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Harold Bevis</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Printed Name: </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Harold Bevis</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10.2</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NN, INC.</w:t>
        <w:br/>
        <w:t>RESTRICTED SHARES GRANT NOTICE</w:t>
      </w:r>
    </w:p>
    <w:p>
      <w:pPr>
        <w:pStyle w:val="TextBody"/>
        <w:spacing w:lineRule="auto" w:line="240" w:before="0" w:after="240"/>
        <w:ind w:left="0" w:right="0" w:firstLine="720"/>
        <w:jc w:val="both"/>
        <w:rPr/>
      </w:pPr>
      <w:r>
        <w:rPr>
          <w:rFonts w:ascii="Times New Roman;sans-serif" w:hAnsi="Times New Roman;sans-serif"/>
          <w:b w:val="false"/>
          <w:color w:val="000000"/>
          <w:sz w:val="22"/>
        </w:rPr>
        <w:t>NN,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holder listed below (“</w:t>
      </w:r>
      <w:r>
        <w:rPr>
          <w:rFonts w:ascii="Times New Roman;sans-serif" w:hAnsi="Times New Roman;sans-serif"/>
          <w:b w:val="false"/>
          <w:color w:val="000000"/>
          <w:sz w:val="22"/>
          <w:u w:val="single"/>
        </w:rPr>
        <w:t>Grantee</w:t>
      </w:r>
      <w:r>
        <w:rPr>
          <w:color w:val="000000"/>
        </w:rPr>
        <w:t>”</w:t>
      </w:r>
      <w:r>
        <w:rPr>
          <w:rFonts w:ascii="Times New Roman;sans-serif" w:hAnsi="Times New Roman;sans-serif"/>
          <w:b w:val="false"/>
          <w:color w:val="000000"/>
          <w:sz w:val="22"/>
        </w:rPr>
        <w:t>), the right to receive a number of Restricted Shares as set forth below (the “</w:t>
      </w:r>
      <w:r>
        <w:rPr>
          <w:rFonts w:ascii="Times New Roman;sans-serif" w:hAnsi="Times New Roman;sans-serif"/>
          <w:b w:val="false"/>
          <w:color w:val="000000"/>
          <w:sz w:val="22"/>
          <w:u w:val="single"/>
        </w:rPr>
        <w:t>Restricted Share Award</w:t>
      </w:r>
      <w:r>
        <w:rPr>
          <w:color w:val="000000"/>
        </w:rPr>
        <w:t>”</w:t>
      </w:r>
      <w:r>
        <w:rPr>
          <w:rFonts w:ascii="Times New Roman;sans-serif" w:hAnsi="Times New Roman;sans-serif"/>
          <w:b w:val="false"/>
          <w:color w:val="000000"/>
          <w:sz w:val="22"/>
        </w:rPr>
        <w:t>). The Restricted Shares are subject to the terms and conditions set forth in this Restricted Shares Grant Notice (the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xml:space="preserve">) and the Restricted Share Award Agreement attached hereto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which are incorporated herein by reference.</w:t>
      </w:r>
    </w:p>
    <w:p>
      <w:pPr>
        <w:pStyle w:val="TextBody"/>
        <w:spacing w:lineRule="auto" w:line="240" w:before="0" w:after="240"/>
        <w:ind w:left="0" w:right="0" w:firstLine="720"/>
        <w:jc w:val="both"/>
        <w:rPr/>
      </w:pPr>
      <w:r>
        <w:rPr>
          <w:rFonts w:ascii="Times New Roman;sans-serif" w:hAnsi="Times New Roman;sans-serif"/>
          <w:b w:val="false"/>
          <w:color w:val="000000"/>
          <w:sz w:val="22"/>
        </w:rPr>
        <w:t>This Restricted Share Award is a stand-alone award separate and apart from, and outside of, the Company’s 2022 Omnibus Incentive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and is intended to constitute a non-plan based inducement grant as described in Nasdaq Listing Rule 5635(c)(4) and shall not constitute Restricted Shares granted under the Plan. Notwithstanding the foregoing, the terms, conditions and definitions set forth in the Plan shall apply to this Grant Notice and the Agreement as though this Restricted Share Award had been granted under the Plan, and this Restricted Share Award shall be subject to such terms, conditions and definitions, which are hereby incorporated herein by reference and made a part hereof.</w:t>
      </w:r>
    </w:p>
    <w:tbl>
      <w:tblPr>
        <w:tblW w:w="7678" w:type="dxa"/>
        <w:jc w:val="left"/>
        <w:tblInd w:w="0" w:type="dxa"/>
        <w:tblCellMar>
          <w:top w:w="28" w:type="dxa"/>
          <w:left w:w="28" w:type="dxa"/>
          <w:bottom w:w="28" w:type="dxa"/>
          <w:right w:w="28" w:type="dxa"/>
        </w:tblCellMar>
      </w:tblPr>
      <w:tblGrid>
        <w:gridCol w:w="1309"/>
        <w:gridCol w:w="1147"/>
        <w:gridCol w:w="1158"/>
        <w:gridCol w:w="569"/>
        <w:gridCol w:w="569"/>
        <w:gridCol w:w="571"/>
        <w:gridCol w:w="690"/>
        <w:gridCol w:w="690"/>
        <w:gridCol w:w="975"/>
      </w:tblGrid>
      <w:tr>
        <w:trPr/>
        <w:tc>
          <w:tcPr>
            <w:tcW w:w="1309"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Grantee:</w:t>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Harold Bevis</w:t>
            </w:r>
          </w:p>
        </w:tc>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Grant Date:</w:t>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22, 2023</w:t>
            </w:r>
          </w:p>
        </w:tc>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Total Number of Restricted Shares:</w:t>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1,500,000 shares</w:t>
            </w:r>
          </w:p>
        </w:tc>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Vesting Schedule:</w:t>
            </w:r>
          </w:p>
        </w:tc>
        <w:tc>
          <w:tcPr>
            <w:tcW w:w="1709"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Vesting Date</w:t>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2"/>
              </w:rPr>
              <w:t>Percentage of</w:t>
              <w:br/>
              <w:t>Restricted Shares</w:t>
              <w:br/>
            </w:r>
            <w:r>
              <w:rPr>
                <w:rFonts w:ascii="Times New Roman;sans-serif" w:hAnsi="Times New Roman;sans-serif"/>
                <w:b w:val="false"/>
                <w:color w:val="000000"/>
                <w:sz w:val="22"/>
                <w:u w:val="single"/>
              </w:rPr>
              <w:t>Which Become Vested</w:t>
            </w:r>
            <w:r>
              <w:rPr>
                <w:color w:val="000000"/>
              </w:rPr>
              <w:t xml:space="preserve"> </w:t>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09" w:type="dxa"/>
            <w:gridSpan w:val="3"/>
            <w:tcBorders/>
            <w:shd w:fill="auto" w:val="clear"/>
            <w:tcMar>
              <w:top w:w="0" w:type="dxa"/>
              <w:left w:w="0" w:type="dxa"/>
              <w:bottom w:w="0" w:type="dxa"/>
              <w:right w:w="0" w:type="dxa"/>
            </w:tcMar>
            <w:vAlign w:val="center"/>
          </w:tcPr>
          <w:p>
            <w:pPr>
              <w:pStyle w:val="TableContents"/>
              <w:spacing w:before="0" w:after="120"/>
              <w:jc w:val="center"/>
              <w:rPr/>
            </w:pPr>
            <w:r>
              <w:rPr/>
            </w:r>
          </w:p>
          <w:p>
            <w:pPr>
              <w:pStyle w:val="TableContents"/>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May 22, 2024</w:t>
            </w:r>
          </w:p>
          <w:p>
            <w:pPr>
              <w:pStyle w:val="TableContents"/>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May 22, 2025</w:t>
            </w:r>
          </w:p>
          <w:p>
            <w:pPr>
              <w:pStyle w:val="TableContents"/>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May 22, 2026</w:t>
            </w:r>
          </w:p>
          <w:p>
            <w:pPr>
              <w:pStyle w:val="TableContents"/>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May 22, 2027</w:t>
            </w:r>
          </w:p>
          <w:p>
            <w:pPr>
              <w:pStyle w:val="TableContents"/>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May 22, 2028</w:t>
            </w:r>
          </w:p>
        </w:tc>
        <w:tc>
          <w:tcPr>
            <w:tcW w:w="2355" w:type="dxa"/>
            <w:gridSpan w:val="3"/>
            <w:tcBorders/>
            <w:shd w:fill="auto" w:val="clear"/>
            <w:tcMar>
              <w:top w:w="0" w:type="dxa"/>
              <w:left w:w="0" w:type="dxa"/>
              <w:bottom w:w="0" w:type="dxa"/>
              <w:right w:w="0" w:type="dxa"/>
            </w:tcMar>
            <w:vAlign w:val="center"/>
          </w:tcPr>
          <w:p>
            <w:pPr>
              <w:pStyle w:val="TableContents"/>
              <w:spacing w:before="0" w:after="120"/>
              <w:jc w:val="center"/>
              <w:rPr/>
            </w:pPr>
            <w:r>
              <w:rPr/>
            </w:r>
          </w:p>
          <w:p>
            <w:pPr>
              <w:pStyle w:val="TableContents"/>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20.00%</w:t>
            </w:r>
          </w:p>
          <w:p>
            <w:pPr>
              <w:pStyle w:val="TableContents"/>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20.00%</w:t>
            </w:r>
          </w:p>
          <w:p>
            <w:pPr>
              <w:pStyle w:val="TableContents"/>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20.00%</w:t>
            </w:r>
          </w:p>
          <w:p>
            <w:pPr>
              <w:pStyle w:val="TableContents"/>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20.00%</w:t>
            </w:r>
          </w:p>
          <w:p>
            <w:pPr>
              <w:pStyle w:val="TableContents"/>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20.00%</w:t>
            </w:r>
          </w:p>
        </w:tc>
      </w:tr>
    </w:tbl>
    <w:p>
      <w:pPr>
        <w:pStyle w:val="TextBody"/>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 his signature and the Company’s signature below, Grantee agrees to be bound by the terms and conditions of the Agreement and this Grant Notice.  Grantee has reviewed the Agreement and this Grant Notice in their entirety. Grantee hereby agrees to accept as binding, conclusive and final all decisions or interpretations of the Committee upon any questions arising under this Grant Notice or the Agreement.</w:t>
      </w:r>
    </w:p>
    <w:p>
      <w:pPr>
        <w:pStyle w:val="TextBody"/>
        <w:spacing w:before="0" w:after="0"/>
        <w:rPr/>
      </w:pPr>
      <w:r>
        <w:rPr/>
      </w:r>
    </w:p>
    <w:p>
      <w:pPr>
        <w:pStyle w:val="TextBody"/>
        <w:spacing w:before="0" w:after="0"/>
        <w:rPr/>
      </w:pPr>
      <w:r>
        <w:rPr/>
      </w:r>
    </w:p>
    <w:tbl>
      <w:tblPr>
        <w:tblW w:w="8667" w:type="dxa"/>
        <w:jc w:val="left"/>
        <w:tblInd w:w="0" w:type="dxa"/>
        <w:tblCellMar>
          <w:top w:w="28" w:type="dxa"/>
          <w:left w:w="28" w:type="dxa"/>
          <w:bottom w:w="28" w:type="dxa"/>
          <w:right w:w="28" w:type="dxa"/>
        </w:tblCellMar>
      </w:tblPr>
      <w:tblGrid>
        <w:gridCol w:w="442"/>
        <w:gridCol w:w="389"/>
        <w:gridCol w:w="398"/>
        <w:gridCol w:w="1498"/>
        <w:gridCol w:w="1498"/>
        <w:gridCol w:w="1503"/>
        <w:gridCol w:w="115"/>
        <w:gridCol w:w="115"/>
        <w:gridCol w:w="116"/>
        <w:gridCol w:w="404"/>
        <w:gridCol w:w="404"/>
        <w:gridCol w:w="406"/>
        <w:gridCol w:w="400"/>
        <w:gridCol w:w="400"/>
        <w:gridCol w:w="579"/>
      </w:tblGrid>
      <w:tr>
        <w:trPr/>
        <w:tc>
          <w:tcPr>
            <w:tcW w:w="442"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r>
      <w:tr>
        <w:trPr/>
        <w:tc>
          <w:tcPr>
            <w:tcW w:w="607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NN, INC.</w:t>
            </w:r>
          </w:p>
        </w:tc>
        <w:tc>
          <w:tcPr>
            <w:tcW w:w="2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GRANTEE</w:t>
            </w:r>
          </w:p>
        </w:tc>
      </w:tr>
      <w:tr>
        <w:trPr/>
        <w:tc>
          <w:tcPr>
            <w:tcW w:w="607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07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Print Name:</w:t>
            </w:r>
          </w:p>
        </w:tc>
        <w:tc>
          <w:tcPr>
            <w:tcW w:w="4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2"/>
              </w:rPr>
              <w:t>Michael C. Felcher</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Print Name:</w:t>
            </w:r>
          </w:p>
        </w:tc>
        <w:tc>
          <w:tcPr>
            <w:tcW w:w="137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Harold Bevis</w:t>
            </w:r>
          </w:p>
        </w:tc>
      </w:tr>
      <w:tr>
        <w:trPr/>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Senior Vice President – Chief Financial Officer</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 </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4"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jc w:val="center"/>
        <w:rPr/>
      </w:pPr>
      <w:r>
        <w:rPr>
          <w:rFonts w:ascii="Times New Roman;sans-serif" w:hAnsi="Times New Roman;sans-serif"/>
          <w:b/>
          <w:color w:val="000000"/>
          <w:sz w:val="22"/>
          <w:u w:val="single"/>
        </w:rPr>
        <w:t>EXHIBIT A</w:t>
        <w:br/>
      </w:r>
      <w:r>
        <w:rPr>
          <w:rFonts w:ascii="Times New Roman;sans-serif" w:hAnsi="Times New Roman;sans-serif"/>
          <w:b/>
          <w:color w:val="000000"/>
          <w:sz w:val="22"/>
        </w:rPr>
        <w:t>RESTRICTED SHARE AWARD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Pursuant to this Restricted Share Award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xml:space="preserve">) and the Grant Notice to which it is attached, the Company has granted to Grantee the right to receive the number of Restricted Shares set forth in the Grant Notice, subject to the terms and conditions of this Agreement. </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I</w:t>
        <w:br/>
        <w:t>GENERAL</w:t>
      </w:r>
    </w:p>
    <w:p>
      <w:pPr>
        <w:pStyle w:val="TextBody"/>
        <w:spacing w:lineRule="auto" w:line="240" w:before="0" w:after="240"/>
        <w:ind w:left="0" w:right="0" w:firstLine="72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Although the Restricted Share Award is not granted under the Company’s 2022 Omnibus Incentive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for purposes of this Agreement, Capitalized terms not specifically defined herein shall have the meanings specified in the Plan or the Grant Notice.</w:t>
      </w:r>
      <w:r>
        <w:rPr>
          <w:color w:val="000000"/>
        </w:rPr>
        <w:t xml:space="preserve"> </w:t>
      </w:r>
      <w:r>
        <w:rPr>
          <w:rFonts w:ascii="Times New Roman;sans-serif" w:hAnsi="Times New Roman;sans-serif"/>
          <w:b w:val="false"/>
          <w:color w:val="000000"/>
          <w:sz w:val="22"/>
        </w:rPr>
        <w:t>In the event of any inconsistency between the Plan and this Agreement, the terms of this Agreement shall control.</w:t>
      </w:r>
    </w:p>
    <w:p>
      <w:pPr>
        <w:pStyle w:val="TextBody"/>
        <w:spacing w:lineRule="auto" w:line="240" w:before="0" w:after="240"/>
        <w:jc w:val="center"/>
        <w:rPr/>
      </w:pPr>
      <w:r>
        <w:rPr>
          <w:rFonts w:ascii="Times New Roman;sans-serif" w:hAnsi="Times New Roman;sans-serif"/>
          <w:b/>
          <w:color w:val="000000"/>
          <w:sz w:val="22"/>
        </w:rPr>
        <w:t>ARTICLE II</w:t>
      </w:r>
      <w:r>
        <w:rPr>
          <w:rFonts w:ascii="Times New Roman;sans-serif" w:hAnsi="Times New Roman;sans-serif"/>
          <w:b w:val="false"/>
          <w:color w:val="000000"/>
          <w:sz w:val="22"/>
        </w:rPr>
        <w:br/>
      </w:r>
      <w:r>
        <w:rPr>
          <w:rFonts w:ascii="Times New Roman;sans-serif" w:hAnsi="Times New Roman;sans-serif"/>
          <w:b/>
          <w:color w:val="000000"/>
          <w:sz w:val="22"/>
        </w:rPr>
        <w:t>GRANT OF RESTRICTED SHARES</w:t>
      </w:r>
    </w:p>
    <w:p>
      <w:pPr>
        <w:pStyle w:val="TextBody"/>
        <w:spacing w:lineRule="auto" w:line="240" w:before="0" w:after="240"/>
        <w:ind w:left="0" w:right="0" w:firstLine="720"/>
        <w:jc w:val="both"/>
        <w:rPr/>
      </w:pPr>
      <w:r>
        <w:rPr>
          <w:rFonts w:ascii="Times New Roman;sans-serif" w:hAnsi="Times New Roman;sans-serif"/>
          <w:b w:val="false"/>
          <w:color w:val="000000"/>
          <w:sz w:val="22"/>
        </w:rPr>
        <w:t>2.1    </w:t>
      </w:r>
      <w:r>
        <w:rPr>
          <w:rFonts w:ascii="Times New Roman;sans-serif" w:hAnsi="Times New Roman;sans-serif"/>
          <w:b w:val="false"/>
          <w:color w:val="000000"/>
          <w:sz w:val="22"/>
          <w:u w:val="single"/>
        </w:rPr>
        <w:t>Grant</w:t>
      </w:r>
      <w:r>
        <w:rPr>
          <w:rFonts w:ascii="Times New Roman;sans-serif" w:hAnsi="Times New Roman;sans-serif"/>
          <w:b w:val="false"/>
          <w:color w:val="000000"/>
          <w:sz w:val="22"/>
        </w:rPr>
        <w:t>. In consideration of Grantee’s past and/or continued employment with or service to the Company or a Subsidiary and for other good and valuable consideration, effective as of the grant date set forth in the Grant Notice (the “</w:t>
      </w:r>
      <w:r>
        <w:rPr>
          <w:rFonts w:ascii="Times New Roman;sans-serif" w:hAnsi="Times New Roman;sans-serif"/>
          <w:b w:val="false"/>
          <w:color w:val="000000"/>
          <w:sz w:val="22"/>
          <w:u w:val="single"/>
        </w:rPr>
        <w:t>Grant Date</w:t>
      </w:r>
      <w:r>
        <w:rPr>
          <w:color w:val="000000"/>
        </w:rPr>
        <w:t>”</w:t>
      </w:r>
      <w:r>
        <w:rPr>
          <w:rFonts w:ascii="Times New Roman;sans-serif" w:hAnsi="Times New Roman;sans-serif"/>
          <w:b w:val="false"/>
          <w:color w:val="000000"/>
          <w:sz w:val="22"/>
        </w:rPr>
        <w:t>), the Company has granted to Grantee the Restricted Share Award. The Restricted Shares granted pursuant to this Award shall be issued in the form of a book entry of Shares in Grantee’s name as soon as reasonably practicable after the Grant Date and shall be subject to Grantee’s acknowledgement and acceptance of the Grant Notice and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2.2    </w:t>
      </w:r>
      <w:r>
        <w:rPr>
          <w:rFonts w:ascii="Times New Roman;sans-serif" w:hAnsi="Times New Roman;sans-serif"/>
          <w:b w:val="false"/>
          <w:color w:val="000000"/>
          <w:sz w:val="22"/>
          <w:u w:val="single"/>
        </w:rPr>
        <w:t>Lapse of Restrictions</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Sections 3.2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3.3</w:t>
      </w:r>
      <w:r>
        <w:rPr>
          <w:color w:val="000000"/>
        </w:rPr>
        <w:t xml:space="preserve"> </w:t>
      </w:r>
      <w:r>
        <w:rPr>
          <w:rFonts w:ascii="Times New Roman;sans-serif" w:hAnsi="Times New Roman;sans-serif"/>
          <w:b w:val="false"/>
          <w:color w:val="000000"/>
          <w:sz w:val="22"/>
        </w:rPr>
        <w:t>hereof, the restrictions associated with the Restricted Shares granted pursuant to the Grant Notice shall lapse at such times (each, a “</w:t>
      </w:r>
      <w:r>
        <w:rPr>
          <w:rFonts w:ascii="Times New Roman;sans-serif" w:hAnsi="Times New Roman;sans-serif"/>
          <w:b w:val="false"/>
          <w:color w:val="000000"/>
          <w:sz w:val="22"/>
          <w:u w:val="single"/>
        </w:rPr>
        <w:t>Vesting Date</w:t>
      </w:r>
      <w:r>
        <w:rPr>
          <w:color w:val="000000"/>
        </w:rPr>
        <w:t>”</w:t>
      </w:r>
      <w:r>
        <w:rPr>
          <w:rFonts w:ascii="Times New Roman;sans-serif" w:hAnsi="Times New Roman;sans-serif"/>
          <w:b w:val="false"/>
          <w:color w:val="000000"/>
          <w:sz w:val="22"/>
        </w:rPr>
        <w:t xml:space="preserve">) as set forth on the Vesting Schedule contained in the Grant Notice. Certificates representing the Restricted Shares that have vested under pursuant to this </w:t>
      </w:r>
      <w:r>
        <w:rPr>
          <w:rFonts w:ascii="Times New Roman;sans-serif" w:hAnsi="Times New Roman;sans-serif"/>
          <w:b w:val="false"/>
          <w:color w:val="000000"/>
          <w:sz w:val="22"/>
          <w:u w:val="single"/>
        </w:rPr>
        <w:t>Section 2.2</w:t>
      </w:r>
      <w:r>
        <w:rPr>
          <w:color w:val="000000"/>
        </w:rPr>
        <w:t xml:space="preserve"> </w:t>
      </w:r>
      <w:r>
        <w:rPr>
          <w:rFonts w:ascii="Times New Roman;sans-serif" w:hAnsi="Times New Roman;sans-serif"/>
          <w:b w:val="false"/>
          <w:color w:val="000000"/>
          <w:sz w:val="22"/>
        </w:rPr>
        <w:t>will be distributed to the Grantee as soon as practicable after each Vesting Date, or an appropriate book entry notation shall be made.</w:t>
      </w:r>
    </w:p>
    <w:p>
      <w:pPr>
        <w:pStyle w:val="TextBody"/>
        <w:spacing w:lineRule="auto" w:line="240" w:before="0" w:after="240"/>
        <w:ind w:left="0" w:right="0" w:firstLine="720"/>
        <w:jc w:val="both"/>
        <w:rPr/>
      </w:pPr>
      <w:r>
        <w:rPr>
          <w:rFonts w:ascii="Times New Roman;sans-serif" w:hAnsi="Times New Roman;sans-serif"/>
          <w:b w:val="false"/>
          <w:color w:val="000000"/>
          <w:sz w:val="22"/>
        </w:rPr>
        <w:t>2.3    </w:t>
      </w:r>
      <w:r>
        <w:rPr>
          <w:rFonts w:ascii="Times New Roman;sans-serif" w:hAnsi="Times New Roman;sans-serif"/>
          <w:b w:val="false"/>
          <w:color w:val="000000"/>
          <w:sz w:val="22"/>
          <w:u w:val="single"/>
        </w:rPr>
        <w:t>Voting Rights and Dividends</w:t>
      </w:r>
      <w:r>
        <w:rPr>
          <w:rFonts w:ascii="Times New Roman;sans-serif" w:hAnsi="Times New Roman;sans-serif"/>
          <w:b w:val="false"/>
          <w:color w:val="000000"/>
          <w:sz w:val="22"/>
        </w:rPr>
        <w:t xml:space="preserve">. During the period prior to vesting, except as otherwise provided herein, Grantee will have all of the rights of a shareholder with respect to all of the Restricted Shares, including without limitation the right to vote such Restricted Shares and the right to receive all dividends or other distributions with respect to such Restricted Shares. Prior to the distribution of unrestricted Shares pursuant to </w:t>
      </w:r>
      <w:r>
        <w:rPr>
          <w:rFonts w:ascii="Times New Roman;sans-serif" w:hAnsi="Times New Roman;sans-serif"/>
          <w:b w:val="false"/>
          <w:color w:val="000000"/>
          <w:sz w:val="22"/>
          <w:u w:val="single"/>
        </w:rPr>
        <w:t>Section 2.2</w:t>
      </w:r>
      <w:r>
        <w:rPr>
          <w:color w:val="000000"/>
        </w:rPr>
        <w:t xml:space="preserve"> </w:t>
      </w:r>
      <w:r>
        <w:rPr>
          <w:rFonts w:ascii="Times New Roman;sans-serif" w:hAnsi="Times New Roman;sans-serif"/>
          <w:b w:val="false"/>
          <w:color w:val="000000"/>
          <w:sz w:val="22"/>
        </w:rPr>
        <w:t>hereof, certificates representing Restricted Shares issued pursuant to this Agreement will be held (or appropriate book entry notation will be made) by the Company (the "</w:t>
      </w:r>
      <w:r>
        <w:rPr>
          <w:rFonts w:ascii="Times New Roman;sans-serif" w:hAnsi="Times New Roman;sans-serif"/>
          <w:b w:val="false"/>
          <w:color w:val="000000"/>
          <w:sz w:val="22"/>
          <w:u w:val="single"/>
        </w:rPr>
        <w:t>Custodian</w:t>
      </w:r>
      <w:r>
        <w:rPr>
          <w:rFonts w:ascii="Times New Roman;sans-serif" w:hAnsi="Times New Roman;sans-serif"/>
          <w:b w:val="false"/>
          <w:color w:val="000000"/>
          <w:sz w:val="22"/>
        </w:rPr>
        <w:t xml:space="preserve">") in the name of the Grantee. The Custodian will take such action as is necessary and appropriate to enable the Grantee to vote the Restricted Shares.  All cash dividends received by the Custodian, if any, with respect to the Restricted Shares will be delivered to Grantee as soon as practicable after the Custodian’s receipt thereof. Stock dividends issued with respect to the Restricted Shares shall be treated as additional Restricted Shares that are subject to the same restrictions and other terms and conditions that apply to the Restricted Shares granted in the Grant Notice. Notwithstanding the foregoing, no voting rights or dividend rights shall inure to the Grantee following the forfeiture of the Restricted Shares pursuant to </w:t>
      </w:r>
      <w:r>
        <w:rPr>
          <w:rFonts w:ascii="Times New Roman;sans-serif" w:hAnsi="Times New Roman;sans-serif"/>
          <w:b w:val="false"/>
          <w:color w:val="000000"/>
          <w:sz w:val="22"/>
          <w:u w:val="single"/>
        </w:rPr>
        <w:t>Section 3.1</w:t>
      </w:r>
      <w:r>
        <w:rPr>
          <w:color w:val="000000"/>
        </w:rPr>
        <w:t xml:space="preserve"> </w:t>
      </w:r>
      <w:r>
        <w:rPr>
          <w:rFonts w:ascii="Times New Roman;sans-serif" w:hAnsi="Times New Roman;sans-serif"/>
          <w:b w:val="false"/>
          <w:color w:val="000000"/>
          <w:sz w:val="22"/>
        </w:rPr>
        <w:t>hereof.</w:t>
      </w:r>
    </w:p>
    <w:p>
      <w:pPr>
        <w:pStyle w:val="TextBody"/>
        <w:spacing w:lineRule="auto" w:line="240" w:before="0" w:after="240"/>
        <w:jc w:val="center"/>
        <w:rPr/>
      </w:pPr>
      <w:r>
        <w:rPr>
          <w:rFonts w:ascii="Times New Roman;sans-serif" w:hAnsi="Times New Roman;sans-serif"/>
          <w:b/>
          <w:color w:val="000000"/>
          <w:sz w:val="22"/>
        </w:rPr>
        <w:t>ARTICLE III</w:t>
      </w:r>
      <w:r>
        <w:rPr>
          <w:rFonts w:ascii="Times New Roman;sans-serif" w:hAnsi="Times New Roman;sans-serif"/>
          <w:b w:val="false"/>
          <w:color w:val="000000"/>
          <w:sz w:val="22"/>
        </w:rPr>
        <w:br/>
      </w:r>
      <w:r>
        <w:rPr>
          <w:rFonts w:ascii="Times New Roman;sans-serif" w:hAnsi="Times New Roman;sans-serif"/>
          <w:b/>
          <w:color w:val="000000"/>
          <w:sz w:val="22"/>
        </w:rPr>
        <w:t>SEPARATION FROM SERVICE; CHANGE IN CONTROL</w:t>
      </w:r>
    </w:p>
    <w:p>
      <w:pPr>
        <w:pStyle w:val="TextBody"/>
        <w:spacing w:lineRule="auto" w:line="240" w:before="0" w:after="240"/>
        <w:ind w:left="0" w:right="0" w:firstLine="720"/>
        <w:jc w:val="both"/>
        <w:rPr/>
      </w:pPr>
      <w:r>
        <w:rPr>
          <w:rFonts w:ascii="Times New Roman;sans-serif" w:hAnsi="Times New Roman;sans-serif"/>
          <w:b w:val="false"/>
          <w:color w:val="000000"/>
          <w:sz w:val="22"/>
        </w:rPr>
        <w:t>3.1    </w:t>
      </w:r>
      <w:r>
        <w:rPr>
          <w:rFonts w:ascii="Times New Roman;sans-serif" w:hAnsi="Times New Roman;sans-serif"/>
          <w:b w:val="false"/>
          <w:color w:val="000000"/>
          <w:sz w:val="22"/>
          <w:u w:val="single"/>
        </w:rPr>
        <w:t>In General</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3.3</w:t>
      </w:r>
      <w:r>
        <w:rPr>
          <w:rFonts w:ascii="Times New Roman;sans-serif" w:hAnsi="Times New Roman;sans-serif"/>
          <w:b w:val="false"/>
          <w:color w:val="000000"/>
          <w:sz w:val="22"/>
        </w:rPr>
        <w:t xml:space="preserve">, in the event that Grantee Separates from Service for any reason, other than death, Retirement or Disability, all Restricted Shares for which the forfeiture restrictions have not lapsed pursuant to </w:t>
      </w:r>
      <w:r>
        <w:rPr>
          <w:rFonts w:ascii="Times New Roman;sans-serif" w:hAnsi="Times New Roman;sans-serif"/>
          <w:b w:val="false"/>
          <w:color w:val="000000"/>
          <w:sz w:val="22"/>
          <w:u w:val="single"/>
        </w:rPr>
        <w:t>Section 2.2</w:t>
      </w:r>
      <w:r>
        <w:rPr>
          <w:color w:val="000000"/>
        </w:rPr>
        <w:t xml:space="preserve"> </w:t>
      </w:r>
      <w:r>
        <w:rPr>
          <w:rFonts w:ascii="Times New Roman;sans-serif" w:hAnsi="Times New Roman;sans-serif"/>
          <w:b w:val="false"/>
          <w:color w:val="000000"/>
          <w:sz w:val="22"/>
        </w:rPr>
        <w:t>prior to the Grantee’s Separation from Service shall be immediately forfeited and Grantee shall have no further rights with respect to such Restricted Shares, except as may be determined otherwise by the Committee in its the sole and absolute discretion.</w:t>
      </w:r>
    </w:p>
    <w:p>
      <w:pPr>
        <w:pStyle w:val="TextBody"/>
        <w:spacing w:lineRule="auto" w:line="240" w:before="0" w:after="240"/>
        <w:ind w:left="0" w:right="0" w:firstLine="720"/>
        <w:jc w:val="both"/>
        <w:rPr/>
      </w:pPr>
      <w:r>
        <w:rPr>
          <w:rFonts w:ascii="Times New Roman;sans-serif" w:hAnsi="Times New Roman;sans-serif"/>
          <w:b w:val="false"/>
          <w:color w:val="000000"/>
          <w:sz w:val="22"/>
        </w:rPr>
        <w:t>3.2    </w:t>
      </w:r>
      <w:r>
        <w:rPr>
          <w:rFonts w:ascii="Times New Roman;sans-serif" w:hAnsi="Times New Roman;sans-serif"/>
          <w:b w:val="false"/>
          <w:color w:val="000000"/>
          <w:sz w:val="22"/>
          <w:u w:val="single"/>
        </w:rPr>
        <w:t>Death or Disability</w:t>
      </w:r>
      <w:r>
        <w:rPr>
          <w:rFonts w:ascii="Times New Roman;sans-serif" w:hAnsi="Times New Roman;sans-serif"/>
          <w:b w:val="false"/>
          <w:color w:val="000000"/>
          <w:sz w:val="22"/>
        </w:rPr>
        <w:t xml:space="preserve">. In the event that the Grantee’s employment terminates by reason of death or Disability, all Restricted Shares shall be deemed vested and, the restrictions under this Agreement with respect to the Restricted Shares, including the restriction on transfer set forth in </w:t>
      </w:r>
      <w:r>
        <w:rPr>
          <w:rFonts w:ascii="Times New Roman;sans-serif" w:hAnsi="Times New Roman;sans-serif"/>
          <w:b w:val="false"/>
          <w:color w:val="000000"/>
          <w:sz w:val="22"/>
          <w:u w:val="single"/>
        </w:rPr>
        <w:t>Section 4.1</w:t>
      </w:r>
      <w:r>
        <w:rPr>
          <w:color w:val="000000"/>
        </w:rPr>
        <w:t xml:space="preserve"> </w:t>
      </w:r>
      <w:r>
        <w:rPr>
          <w:rFonts w:ascii="Times New Roman;sans-serif" w:hAnsi="Times New Roman;sans-serif"/>
          <w:b w:val="false"/>
          <w:color w:val="000000"/>
          <w:sz w:val="22"/>
        </w:rPr>
        <w:t xml:space="preserve">hereof, shall automatically expire and shall be of no further force or effect. </w:t>
      </w:r>
    </w:p>
    <w:p>
      <w:pPr>
        <w:pStyle w:val="TextBody"/>
        <w:spacing w:lineRule="auto" w:line="240" w:before="0" w:after="240"/>
        <w:ind w:left="0" w:right="0" w:firstLine="720"/>
        <w:jc w:val="both"/>
        <w:rPr/>
      </w:pPr>
      <w:r>
        <w:rPr>
          <w:rFonts w:ascii="Times New Roman;sans-serif" w:hAnsi="Times New Roman;sans-serif"/>
          <w:b w:val="false"/>
          <w:color w:val="000000"/>
          <w:sz w:val="22"/>
        </w:rPr>
        <w:t>3.3    </w:t>
      </w:r>
      <w:r>
        <w:rPr>
          <w:rFonts w:ascii="Times New Roman;sans-serif" w:hAnsi="Times New Roman;sans-serif"/>
          <w:b w:val="false"/>
          <w:color w:val="000000"/>
          <w:sz w:val="22"/>
          <w:u w:val="single"/>
        </w:rPr>
        <w:t>Qualifying Termination.</w:t>
      </w:r>
      <w:r>
        <w:rPr>
          <w:color w:val="000000"/>
        </w:rPr>
        <w:t xml:space="preserve"> </w:t>
      </w:r>
      <w:r>
        <w:rPr>
          <w:rFonts w:ascii="Times New Roman;sans-serif" w:hAnsi="Times New Roman;sans-serif"/>
          <w:b w:val="false"/>
          <w:color w:val="000000"/>
          <w:sz w:val="22"/>
        </w:rPr>
        <w:t xml:space="preserve">In the event that the Grantee’s employment terminates by reason of a Qualifying Termination (as defined in that certain Separation Agreement, dated May 22, 2023, by and between </w:t>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the Company and the Grantee (the “</w:t>
      </w:r>
      <w:r>
        <w:rPr>
          <w:rFonts w:ascii="Times New Roman;sans-serif" w:hAnsi="Times New Roman;sans-serif"/>
          <w:b w:val="false"/>
          <w:color w:val="000000"/>
          <w:sz w:val="22"/>
          <w:u w:val="single"/>
        </w:rPr>
        <w:t>Separation Agreement</w:t>
      </w:r>
      <w:r>
        <w:rPr>
          <w:color w:val="000000"/>
        </w:rPr>
        <w:t>”</w:t>
      </w:r>
      <w:r>
        <w:rPr>
          <w:rFonts w:ascii="Times New Roman;sans-serif" w:hAnsi="Times New Roman;sans-serif"/>
          <w:b w:val="false"/>
          <w:color w:val="000000"/>
          <w:sz w:val="22"/>
        </w:rPr>
        <w:t xml:space="preserve">)), all Restricted Shares shall be deemed vested and, the restrictions under this Agreement with respect to the Restricted Shares, including the restriction on transfer set forth in </w:t>
      </w:r>
      <w:r>
        <w:rPr>
          <w:rFonts w:ascii="Times New Roman;sans-serif" w:hAnsi="Times New Roman;sans-serif"/>
          <w:b w:val="false"/>
          <w:color w:val="000000"/>
          <w:sz w:val="22"/>
          <w:u w:val="single"/>
        </w:rPr>
        <w:t>Section 4.1</w:t>
      </w:r>
      <w:r>
        <w:rPr>
          <w:color w:val="000000"/>
        </w:rPr>
        <w:t xml:space="preserve"> </w:t>
      </w:r>
      <w:r>
        <w:rPr>
          <w:rFonts w:ascii="Times New Roman;sans-serif" w:hAnsi="Times New Roman;sans-serif"/>
          <w:b w:val="false"/>
          <w:color w:val="000000"/>
          <w:sz w:val="22"/>
        </w:rPr>
        <w:t xml:space="preserve">hereof, shall automatically expire and shall be of no further force or effect. </w:t>
      </w:r>
    </w:p>
    <w:p>
      <w:pPr>
        <w:pStyle w:val="TextBody"/>
        <w:spacing w:lineRule="auto" w:line="240" w:before="0" w:after="240"/>
        <w:ind w:left="0" w:right="0" w:firstLine="720"/>
        <w:jc w:val="both"/>
        <w:rPr/>
      </w:pPr>
      <w:r>
        <w:rPr>
          <w:rFonts w:ascii="Times New Roman;sans-serif" w:hAnsi="Times New Roman;sans-serif"/>
          <w:b w:val="false"/>
          <w:color w:val="000000"/>
          <w:sz w:val="22"/>
        </w:rPr>
        <w:t>3.4    </w:t>
      </w:r>
      <w:r>
        <w:rPr>
          <w:rFonts w:ascii="Times New Roman;sans-serif" w:hAnsi="Times New Roman;sans-serif"/>
          <w:b w:val="false"/>
          <w:color w:val="000000"/>
          <w:sz w:val="22"/>
          <w:u w:val="single"/>
        </w:rPr>
        <w:t>Change in Control</w:t>
      </w:r>
      <w:r>
        <w:rPr>
          <w:rFonts w:ascii="Times New Roman;sans-serif" w:hAnsi="Times New Roman;sans-serif"/>
          <w:b w:val="false"/>
          <w:color w:val="000000"/>
          <w:sz w:val="22"/>
        </w:rPr>
        <w:t xml:space="preserve">. Upon the occurrence of a Change in Control (as each is defined in the Separation Agreement), all Restricted Shares shall be deemed vested and, the restrictions under this Agreement with respect to the Restricted Shares, including the restriction on transfer set forth in </w:t>
      </w:r>
      <w:r>
        <w:rPr>
          <w:rFonts w:ascii="Times New Roman;sans-serif" w:hAnsi="Times New Roman;sans-serif"/>
          <w:b w:val="false"/>
          <w:color w:val="000000"/>
          <w:sz w:val="22"/>
          <w:u w:val="single"/>
        </w:rPr>
        <w:t>Section 4.1</w:t>
      </w:r>
      <w:r>
        <w:rPr>
          <w:color w:val="000000"/>
        </w:rPr>
        <w:t xml:space="preserve"> </w:t>
      </w:r>
      <w:r>
        <w:rPr>
          <w:rFonts w:ascii="Times New Roman;sans-serif" w:hAnsi="Times New Roman;sans-serif"/>
          <w:b w:val="false"/>
          <w:color w:val="000000"/>
          <w:sz w:val="22"/>
        </w:rPr>
        <w:t>hereof, shall automatically expire and shall be of no further force or effect.</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IV</w:t>
        <w:br/>
        <w:t>OTHER PROVISIONS</w:t>
      </w:r>
    </w:p>
    <w:p>
      <w:pPr>
        <w:pStyle w:val="TextBody"/>
        <w:spacing w:lineRule="auto" w:line="240" w:before="0" w:after="240"/>
        <w:ind w:left="0" w:right="0" w:firstLine="720"/>
        <w:jc w:val="both"/>
        <w:rPr/>
      </w:pPr>
      <w:r>
        <w:rPr>
          <w:rFonts w:ascii="Times New Roman;sans-serif" w:hAnsi="Times New Roman;sans-serif"/>
          <w:b w:val="false"/>
          <w:color w:val="000000"/>
          <w:sz w:val="22"/>
        </w:rPr>
        <w:t>4.1    </w:t>
      </w:r>
      <w:r>
        <w:rPr>
          <w:rFonts w:ascii="Times New Roman;sans-serif" w:hAnsi="Times New Roman;sans-serif"/>
          <w:b w:val="false"/>
          <w:color w:val="000000"/>
          <w:sz w:val="22"/>
          <w:u w:val="single"/>
        </w:rPr>
        <w:t>No Transfer or Pledge of Restricted Shares</w:t>
      </w:r>
      <w:r>
        <w:rPr>
          <w:rFonts w:ascii="Times New Roman;sans-serif" w:hAnsi="Times New Roman;sans-serif"/>
          <w:b w:val="false"/>
          <w:color w:val="000000"/>
          <w:sz w:val="22"/>
        </w:rPr>
        <w:t>. No Restricted Shares may be sold, assigned, transferred, pledged, hypothecated or otherwise encumbered or disposed of prior to the date the forfeiture restrictions with respect to such shares have lapsed, if at all, on the Vesting Date applicable to such shares, other than by will or the laws of descent and distribution.</w:t>
      </w:r>
    </w:p>
    <w:p>
      <w:pPr>
        <w:pStyle w:val="TextBody"/>
        <w:spacing w:lineRule="auto" w:line="240" w:before="0" w:after="240"/>
        <w:ind w:left="0" w:right="0" w:firstLine="720"/>
        <w:jc w:val="both"/>
        <w:rPr/>
      </w:pPr>
      <w:r>
        <w:rPr>
          <w:rFonts w:ascii="Times New Roman;sans-serif" w:hAnsi="Times New Roman;sans-serif"/>
          <w:b w:val="false"/>
          <w:color w:val="000000"/>
          <w:sz w:val="22"/>
        </w:rPr>
        <w:t>4.2    </w:t>
      </w:r>
      <w:r>
        <w:rPr>
          <w:rFonts w:ascii="Times New Roman;sans-serif" w:hAnsi="Times New Roman;sans-serif"/>
          <w:b w:val="false"/>
          <w:color w:val="000000"/>
          <w:sz w:val="22"/>
          <w:u w:val="single"/>
        </w:rPr>
        <w:t>Tax Withholding</w:t>
      </w:r>
      <w:r>
        <w:rPr>
          <w:rFonts w:ascii="Times New Roman;sans-serif" w:hAnsi="Times New Roman;sans-serif"/>
          <w:b w:val="false"/>
          <w:color w:val="000000"/>
          <w:sz w:val="22"/>
        </w:rPr>
        <w:t>. If the Grantee makes an election under Section 83(b) of the Code with respect to any Restricted Shares, the grant of such Restricted Shares shall be further conditioned upon the Grantee making prompt payment to the Company of any applicable withholding obligations or withholding taxes (“</w:t>
      </w:r>
      <w:r>
        <w:rPr>
          <w:rFonts w:ascii="Times New Roman;sans-serif" w:hAnsi="Times New Roman;sans-serif"/>
          <w:b w:val="false"/>
          <w:color w:val="000000"/>
          <w:sz w:val="22"/>
          <w:u w:val="single"/>
        </w:rPr>
        <w:t>Withholding Taxes</w:t>
      </w:r>
      <w:r>
        <w:rPr>
          <w:color w:val="000000"/>
        </w:rPr>
        <w:t>”</w:t>
      </w:r>
      <w:r>
        <w:rPr>
          <w:rFonts w:ascii="Times New Roman;sans-serif" w:hAnsi="Times New Roman;sans-serif"/>
          <w:b w:val="false"/>
          <w:color w:val="000000"/>
          <w:sz w:val="22"/>
        </w:rPr>
        <w:t xml:space="preserve">).  Failure by the Grantee to pay such Withholding Taxes will render the Restricted Shares subject to such election null and void </w:t>
      </w:r>
      <w:r>
        <w:rPr>
          <w:rFonts w:ascii="Times New Roman;sans-serif" w:hAnsi="Times New Roman;sans-serif"/>
          <w:b w:val="false"/>
          <w:i/>
          <w:color w:val="000000"/>
          <w:sz w:val="22"/>
        </w:rPr>
        <w:t>ab initio</w:t>
      </w:r>
      <w:r>
        <w:rPr>
          <w:color w:val="000000"/>
        </w:rPr>
        <w:t xml:space="preserve"> </w:t>
      </w:r>
      <w:r>
        <w:rPr>
          <w:rFonts w:ascii="Times New Roman;sans-serif" w:hAnsi="Times New Roman;sans-serif"/>
          <w:b w:val="false"/>
          <w:color w:val="000000"/>
          <w:sz w:val="22"/>
        </w:rPr>
        <w:t xml:space="preserve">and such Restricted Shares will be immediately cancelled.  If the Grantee does not make an election under Section 83(b) of the Code with respect to the Restricted Share Award, the Company's obligation to release the vested Restricted Shares shall be subject to the Grantee's satisfaction of any applicable Withholding Taxes, and the Grantee shall pay the amount of any such Withholding Taxes to the Company as set forth in this </w:t>
      </w:r>
      <w:r>
        <w:rPr>
          <w:rFonts w:ascii="Times New Roman;sans-serif" w:hAnsi="Times New Roman;sans-serif"/>
          <w:b w:val="false"/>
          <w:color w:val="000000"/>
          <w:sz w:val="22"/>
          <w:u w:val="single"/>
        </w:rPr>
        <w:t>Section 4.2</w:t>
      </w:r>
      <w:r>
        <w:rPr>
          <w:rFonts w:ascii="Times New Roman;sans-serif" w:hAnsi="Times New Roman;sans-serif"/>
          <w:b w:val="false"/>
          <w:color w:val="000000"/>
          <w:sz w:val="22"/>
        </w:rPr>
        <w:t>. The Grantee may satisfy his or her obligation to pay the Withholding Taxes with respect to any Restricted Shares for which an election under Section 83(b) of the Code has not been made by: (i) making a cash payment to the Company in an amount equal to the Withholding Taxes; (ii) having the Company withhold Shares otherwise deliverable to the Grantee pursuant to settlement of vested Restricted Shares; or (iii) delivering, actually or by attestation, to the Company Shares already owned by the Grantee; provided that in the case of (ii) or (iii) the amount of such Shares withheld or Shares delivered (with the value of such Shares being based on the Fair Market Value of a Share as of the payment date as determined by the Committee) shall be determined by the Committee. The Grantee acknowledges and agrees that the Company has the right to deduct from compensation or other amounts owing to the Grantee an amount not to exceed the Withholding Taxes. Neither the Company nor any Subsidiary makes any representation or undertaking regarding the treatment of any tax withholding in connection with the awarding or vesting of the Restricted Shares or the subsequent sale of Shares.  The Company and the Subsidiaries do not commit and are under no obligation to structure this Restricted Share Award to reduce or eliminate Grantee’s tax liability.</w:t>
      </w:r>
    </w:p>
    <w:p>
      <w:pPr>
        <w:pStyle w:val="TextBody"/>
        <w:spacing w:lineRule="auto" w:line="240" w:before="0" w:after="240"/>
        <w:ind w:left="0" w:right="0" w:firstLine="720"/>
        <w:jc w:val="both"/>
        <w:rPr/>
      </w:pPr>
      <w:r>
        <w:rPr>
          <w:rFonts w:ascii="Times New Roman;sans-serif" w:hAnsi="Times New Roman;sans-serif"/>
          <w:b w:val="false"/>
          <w:color w:val="000000"/>
          <w:sz w:val="22"/>
        </w:rPr>
        <w:t>4.3    </w:t>
      </w:r>
      <w:r>
        <w:rPr>
          <w:rFonts w:ascii="Times New Roman;sans-serif" w:hAnsi="Times New Roman;sans-serif"/>
          <w:b w:val="false"/>
          <w:color w:val="000000"/>
          <w:sz w:val="22"/>
          <w:u w:val="single"/>
        </w:rPr>
        <w:t>Stock Subject to Award</w:t>
      </w:r>
      <w:r>
        <w:rPr>
          <w:rFonts w:ascii="Times New Roman;sans-serif" w:hAnsi="Times New Roman;sans-serif"/>
          <w:b w:val="false"/>
          <w:color w:val="000000"/>
          <w:sz w:val="22"/>
        </w:rPr>
        <w:t xml:space="preserve">.  In the event that the Company Shares should, as a result of a stock split or stock dividend or combination of shares or any other change, redesignation, merger, consolidation, recapitalization or otherwise, be increased or decreased or changed into or exchanged for a different number or kind of shares of stock or other securities of the Company or of another corporation, the number of Restricted Shares that have been awarded to Grantee shall be adjusted in an equitable and proportionate manner to reflect such action.  If any such adjustment shall result in a fractional share, such fraction shall be disregarded. For the avoidance of doubt, the Restricted Share Units set forth in the Grant Notice shall not be entitled to any anti-dilution protections. </w:t>
      </w:r>
    </w:p>
    <w:p>
      <w:pPr>
        <w:pStyle w:val="TextBody"/>
        <w:spacing w:lineRule="auto" w:line="240" w:before="0" w:after="240"/>
        <w:ind w:left="0" w:right="0" w:firstLine="720"/>
        <w:jc w:val="both"/>
        <w:rPr/>
      </w:pPr>
      <w:r>
        <w:rPr>
          <w:rFonts w:ascii="Times New Roman;sans-serif" w:hAnsi="Times New Roman;sans-serif"/>
          <w:b w:val="false"/>
          <w:color w:val="000000"/>
          <w:sz w:val="22"/>
        </w:rPr>
        <w:t>4.4    </w:t>
      </w:r>
      <w:r>
        <w:rPr>
          <w:rFonts w:ascii="Times New Roman;sans-serif" w:hAnsi="Times New Roman;sans-serif"/>
          <w:b w:val="false"/>
          <w:color w:val="000000"/>
          <w:sz w:val="22"/>
          <w:u w:val="single"/>
        </w:rPr>
        <w:t>Stock Power</w:t>
      </w:r>
      <w:r>
        <w:rPr>
          <w:rFonts w:ascii="Times New Roman;sans-serif" w:hAnsi="Times New Roman;sans-serif"/>
          <w:b w:val="false"/>
          <w:color w:val="000000"/>
          <w:sz w:val="22"/>
        </w:rPr>
        <w:t xml:space="preserve">.  Concurrently with the execution of this Agreement, the Grantee shall deliver to the Company a stock power, endorsed in blank, relating to the Restricted Shares.  Such stock power shall be in the form attached hereto as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4.5    </w:t>
      </w:r>
      <w:r>
        <w:rPr>
          <w:rFonts w:ascii="Times New Roman;sans-serif" w:hAnsi="Times New Roman;sans-serif"/>
          <w:b w:val="false"/>
          <w:color w:val="000000"/>
          <w:sz w:val="22"/>
          <w:u w:val="single"/>
        </w:rPr>
        <w:t>Legend</w:t>
      </w:r>
      <w:r>
        <w:rPr>
          <w:rFonts w:ascii="Times New Roman;sans-serif" w:hAnsi="Times New Roman;sans-serif"/>
          <w:b w:val="false"/>
          <w:color w:val="000000"/>
          <w:sz w:val="22"/>
        </w:rPr>
        <w:t>. Each certificate representing Restricted Shares shall bear a legend in substantially the following form:</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CERTIFICATE AND THE SHARES OF STOCK REPRESENTED HEREBY ARE SUBJECT TO THE TERMS AND CONDITIONS (INCLUDING FORFEITURE AND RESTRICTIONS AGAINST TRANSFER) CONTAINED IN THE RESTRICTED SHARE AGREEMENT (THE "AGREEMENT") BETWEEN THE OWNER OF THE RESTRICTED SHARES REPRESENTED HEREBY AND NN, INC. (THE "COMPANY").  THE RELEASE OF SUCH STOCK FROM SUCH TERMS AND CONDITIONS SHALL BE MADE ONLY IN </w:t>
      </w:r>
      <w:r>
        <w:br w:type="page"/>
      </w: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ACCORDANCE WITH THE PROVISIONS OF THE AGREEMENT, A COPY OF WHICH IS ON FILE AT THE COMPANY.</w:t>
      </w:r>
    </w:p>
    <w:p>
      <w:pPr>
        <w:pStyle w:val="TextBody"/>
        <w:spacing w:lineRule="auto" w:line="240" w:before="0" w:after="240"/>
        <w:ind w:left="0" w:right="0" w:firstLine="630"/>
        <w:jc w:val="both"/>
        <w:rPr/>
      </w:pPr>
      <w:r>
        <w:rPr>
          <w:rFonts w:ascii="Times New Roman;sans-serif" w:hAnsi="Times New Roman;sans-serif"/>
          <w:b w:val="false"/>
          <w:color w:val="000000"/>
          <w:sz w:val="22"/>
        </w:rPr>
        <w:t>4.6    </w:t>
      </w:r>
      <w:r>
        <w:rPr>
          <w:rFonts w:ascii="Times New Roman;sans-serif" w:hAnsi="Times New Roman;sans-serif"/>
          <w:b w:val="false"/>
          <w:color w:val="000000"/>
          <w:sz w:val="22"/>
          <w:u w:val="single"/>
        </w:rPr>
        <w:t>No Right to Continued Employment</w:t>
      </w:r>
      <w:r>
        <w:rPr>
          <w:rFonts w:ascii="Times New Roman;sans-serif" w:hAnsi="Times New Roman;sans-serif"/>
          <w:b w:val="false"/>
          <w:color w:val="000000"/>
          <w:sz w:val="22"/>
        </w:rPr>
        <w:t>.  This Agreement shall not be construed as giving the Grantee the right to be retained in the employ of the Company (or any Subsidiary of the Company), and the Company (or any Subsidiary of the Company) may at any time dismiss the Grantee from employment, free from any liability or any claim under this Agreement.</w:t>
      </w:r>
    </w:p>
    <w:p>
      <w:pPr>
        <w:pStyle w:val="TextBody"/>
        <w:spacing w:lineRule="auto" w:line="240" w:before="0" w:after="240"/>
        <w:ind w:left="0" w:right="0" w:firstLine="630"/>
        <w:jc w:val="both"/>
        <w:rPr/>
      </w:pPr>
      <w:r>
        <w:rPr>
          <w:rFonts w:ascii="Times New Roman;sans-serif" w:hAnsi="Times New Roman;sans-serif"/>
          <w:b w:val="false"/>
          <w:color w:val="000000"/>
          <w:sz w:val="22"/>
        </w:rPr>
        <w:t>4.7    </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contains the entire understanding and agreement between the Company and the Grantee concerning the Restricted Shares granted hereby, and supersede any prior or contemporaneous negotiations and understandings.  The Company and the Grantee have made no promises, agreements, conditions or understandings relating to the Restricted Shares, either orally or in writing, that are not included in this Agreement.</w:t>
      </w:r>
    </w:p>
    <w:p>
      <w:pPr>
        <w:pStyle w:val="TextBody"/>
        <w:spacing w:lineRule="auto" w:line="240" w:before="0" w:after="240"/>
        <w:ind w:left="0" w:right="0" w:firstLine="630"/>
        <w:jc w:val="both"/>
        <w:rPr/>
      </w:pPr>
      <w:r>
        <w:rPr>
          <w:rFonts w:ascii="Times New Roman;sans-serif" w:hAnsi="Times New Roman;sans-serif"/>
          <w:b w:val="false"/>
          <w:color w:val="000000"/>
          <w:sz w:val="22"/>
        </w:rPr>
        <w:t>4.8    </w:t>
      </w:r>
      <w:r>
        <w:rPr>
          <w:rFonts w:ascii="Times New Roman;sans-serif" w:hAnsi="Times New Roman;sans-serif"/>
          <w:b w:val="false"/>
          <w:color w:val="000000"/>
          <w:sz w:val="22"/>
          <w:u w:val="single"/>
        </w:rPr>
        <w:t>Captions</w:t>
      </w:r>
      <w:r>
        <w:rPr>
          <w:rFonts w:ascii="Times New Roman;sans-serif" w:hAnsi="Times New Roman;sans-serif"/>
          <w:b w:val="false"/>
          <w:color w:val="000000"/>
          <w:sz w:val="22"/>
        </w:rPr>
        <w:t>.  The captions and section numbers appearing in this Agreement are inserted only as a matter of convenience.  They do not define, limit, construe or describe the scope or intent of the provisions of this Agreement.</w:t>
      </w:r>
    </w:p>
    <w:p>
      <w:pPr>
        <w:pStyle w:val="TextBody"/>
        <w:spacing w:lineRule="auto" w:line="240" w:before="0" w:after="240"/>
        <w:ind w:left="0" w:right="0" w:firstLine="630"/>
        <w:jc w:val="both"/>
        <w:rPr/>
      </w:pPr>
      <w:r>
        <w:rPr>
          <w:rFonts w:ascii="Times New Roman;sans-serif" w:hAnsi="Times New Roman;sans-serif"/>
          <w:b w:val="false"/>
          <w:color w:val="000000"/>
          <w:sz w:val="22"/>
        </w:rPr>
        <w:t>4.9    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The Grant Notice may be executed in one or more counterparts, including by way of any electronic signature, subject to applicable law, each of which shall be deemed an original and all of which together shall constitute one instrument.</w:t>
      </w:r>
    </w:p>
    <w:p>
      <w:pPr>
        <w:pStyle w:val="TextBody"/>
        <w:spacing w:lineRule="auto" w:line="240" w:before="0" w:after="240"/>
        <w:ind w:left="0" w:right="0" w:firstLine="720"/>
        <w:jc w:val="both"/>
        <w:rPr/>
      </w:pPr>
      <w:r>
        <w:rPr>
          <w:rFonts w:ascii="Times New Roman;sans-serif" w:hAnsi="Times New Roman;sans-serif"/>
          <w:b w:val="false"/>
          <w:color w:val="000000"/>
          <w:sz w:val="22"/>
        </w:rPr>
        <w:t>4.10    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Times New Roman;sans-serif" w:hAnsi="Times New Roman;sans-serif"/>
          <w:b w:val="false"/>
          <w:color w:val="000000"/>
          <w:sz w:val="22"/>
          <w:u w:val="single"/>
        </w:rPr>
        <w:t>Section 4.11</w:t>
      </w:r>
      <w:r>
        <w:rPr>
          <w:rFonts w:ascii="Times New Roman;sans-serif" w:hAnsi="Times New Roman;sans-serif"/>
          <w:b w:val="false"/>
          <w:color w:val="000000"/>
          <w:sz w:val="22"/>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spacing w:lineRule="auto" w:line="240" w:before="0" w:after="240"/>
        <w:ind w:left="0" w:right="0" w:firstLine="720"/>
        <w:jc w:val="both"/>
        <w:rPr/>
      </w:pPr>
      <w:r>
        <w:rPr>
          <w:rFonts w:ascii="Times New Roman;sans-serif" w:hAnsi="Times New Roman;sans-serif"/>
          <w:b w:val="false"/>
          <w:color w:val="000000"/>
          <w:sz w:val="22"/>
        </w:rPr>
        <w:t>4.11    </w:t>
      </w:r>
      <w:r>
        <w:rPr>
          <w:rFonts w:ascii="Times New Roman;sans-serif" w:hAnsi="Times New Roman;sans-serif"/>
          <w:b w:val="false"/>
          <w:color w:val="000000"/>
          <w:sz w:val="22"/>
          <w:u w:val="single"/>
        </w:rPr>
        <w:t>Amendment</w:t>
      </w:r>
      <w:r>
        <w:rPr>
          <w:rFonts w:ascii="Times New Roman;sans-serif" w:hAnsi="Times New Roman;sans-serif"/>
          <w:b w:val="false"/>
          <w:color w:val="000000"/>
          <w:sz w:val="22"/>
        </w:rPr>
        <w:t xml:space="preserve">.  This Agreement may be wholly or partially amended or otherwise modified, suspended or terminated at any time or from time to time by the Committee or the Board,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amendment, modification, suspension or termination of this Agreement shall adversely affect this Restricted Share Award in any material way without the prior written consent of Grantee.</w:t>
      </w:r>
    </w:p>
    <w:p>
      <w:pPr>
        <w:pStyle w:val="TextBody"/>
        <w:spacing w:lineRule="auto" w:line="240" w:before="0" w:after="240"/>
        <w:ind w:left="0" w:right="0" w:firstLine="720"/>
        <w:jc w:val="both"/>
        <w:rPr/>
      </w:pPr>
      <w:r>
        <w:rPr>
          <w:rFonts w:ascii="Times New Roman;sans-serif" w:hAnsi="Times New Roman;sans-serif"/>
          <w:b w:val="false"/>
          <w:color w:val="000000"/>
          <w:sz w:val="22"/>
        </w:rPr>
        <w:t>4.12    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Times New Roman;sans-serif" w:hAnsi="Times New Roman;sans-serif"/>
          <w:b w:val="false"/>
          <w:color w:val="000000"/>
          <w:sz w:val="22"/>
          <w:u w:val="single"/>
        </w:rPr>
        <w:t>Section 4.1</w:t>
      </w:r>
      <w:r>
        <w:rPr>
          <w:color w:val="000000"/>
        </w:rPr>
        <w:t xml:space="preserve"> </w:t>
      </w:r>
      <w:r>
        <w:rPr>
          <w:rFonts w:ascii="Times New Roman;sans-serif" w:hAnsi="Times New Roman;sans-serif"/>
          <w:b w:val="false"/>
          <w:color w:val="000000"/>
          <w:sz w:val="22"/>
        </w:rPr>
        <w:t>hereof, this Agreement shall be binding upon and inure to the benefit of the heirs, legatees, legal representatives, successors and assigns of the parties hereto.</w:t>
      </w:r>
    </w:p>
    <w:p>
      <w:pPr>
        <w:pStyle w:val="TextBody"/>
        <w:spacing w:lineRule="auto" w:line="240" w:before="0" w:after="240"/>
        <w:ind w:left="0" w:right="0" w:firstLine="720"/>
        <w:jc w:val="both"/>
        <w:rPr/>
      </w:pPr>
      <w:r>
        <w:rPr>
          <w:rFonts w:ascii="Times New Roman;sans-serif" w:hAnsi="Times New Roman;sans-serif"/>
          <w:b w:val="false"/>
          <w:color w:val="000000"/>
          <w:sz w:val="22"/>
        </w:rPr>
        <w:t>4.13    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The laws of the State of Delaware shall govern the interpretation, validity, administration, enforcement and performance of the terms of this Agreement regardless of the law that might be applied under principles of conflicts of laws.</w:t>
      </w:r>
    </w:p>
    <w:p>
      <w:pPr>
        <w:pStyle w:val="TextBody"/>
        <w:spacing w:lineRule="auto" w:line="240" w:before="0" w:after="240"/>
        <w:ind w:left="0" w:right="0" w:firstLine="720"/>
        <w:jc w:val="both"/>
        <w:rPr/>
      </w:pPr>
      <w:r>
        <w:rPr>
          <w:rFonts w:ascii="Times New Roman;sans-serif" w:hAnsi="Times New Roman;sans-serif"/>
          <w:b w:val="false"/>
          <w:color w:val="000000"/>
          <w:sz w:val="22"/>
        </w:rPr>
        <w:t>4.14    </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Grantee acknowledges that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Restricted Shares are granted only in such a manner as to conform to applicable law. To the extent permitted by applicable law, this Agreement shall be deemed amended to the extent necessary to conform to applicable law.</w:t>
      </w:r>
    </w:p>
    <w:p>
      <w:pPr>
        <w:pStyle w:val="TextBody"/>
        <w:spacing w:lineRule="auto" w:line="240" w:before="0" w:after="240"/>
        <w:ind w:left="0" w:right="0" w:firstLine="720"/>
        <w:jc w:val="both"/>
        <w:rPr/>
      </w:pPr>
      <w:r>
        <w:rPr>
          <w:rFonts w:ascii="Times New Roman;sans-serif" w:hAnsi="Times New Roman;sans-serif"/>
          <w:b w:val="false"/>
          <w:color w:val="000000"/>
          <w:sz w:val="22"/>
        </w:rPr>
        <w:t>4.15    </w:t>
      </w:r>
      <w:r>
        <w:rPr>
          <w:rFonts w:ascii="Times New Roman;sans-serif" w:hAnsi="Times New Roman;sans-serif"/>
          <w:b w:val="false"/>
          <w:color w:val="000000"/>
          <w:sz w:val="22"/>
          <w:u w:val="single"/>
        </w:rPr>
        <w:t>Agreement Severable</w:t>
      </w:r>
      <w:r>
        <w:rPr>
          <w:rFonts w:ascii="Times New Roman;sans-serif" w:hAnsi="Times New Roman;sans-serif"/>
          <w:b w:val="false"/>
          <w:color w:val="000000"/>
          <w:sz w:val="22"/>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4.16    </w:t>
      </w:r>
      <w:r>
        <w:rPr>
          <w:rFonts w:ascii="Times New Roman;sans-serif" w:hAnsi="Times New Roman;sans-serif"/>
          <w:b w:val="false"/>
          <w:color w:val="000000"/>
          <w:sz w:val="22"/>
          <w:u w:val="single"/>
        </w:rPr>
        <w:t>Clawback</w:t>
      </w:r>
      <w:r>
        <w:rPr>
          <w:rFonts w:ascii="Times New Roman;sans-serif" w:hAnsi="Times New Roman;sans-serif"/>
          <w:b w:val="false"/>
          <w:color w:val="000000"/>
          <w:sz w:val="22"/>
        </w:rPr>
        <w:t xml:space="preserve">. Any Shares issued pursuant to this Award shall be subject to mandatory repayment by the Grantee to the Company to the extent that such Grantee or such Shares are, or in the future become, subject to (a) any “clawback” or recoupment policy adopted by the Company or any Subsidiary thereof in order to comply with the requirements of any applicable laws, rules or regulations or stock exchange listing requirement, including pursuant to final rules adopted by the SEC pursuant to the Dodd-Frank Wall Street Reform and Consumer </w:t>
      </w:r>
      <w:r>
        <w:br w:type="page"/>
      </w: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Act, or otherwise, or (b) any applicable laws which impose mandatory recoupment, under circumstances set forth in such applicable laws, including the Sarbanes-Oxley Act of 2002.</w:t>
      </w:r>
    </w:p>
    <w:p>
      <w:pPr>
        <w:pStyle w:val="TextBody"/>
        <w:spacing w:lineRule="auto" w:line="240" w:before="0" w:after="0"/>
        <w:ind w:left="0" w:right="0" w:firstLine="720"/>
        <w:jc w:val="center"/>
        <w:rPr>
          <w:rFonts w:ascii="Times New Roman;sans-serif" w:hAnsi="Times New Roman;sans-serif"/>
          <w:b w:val="false"/>
          <w:i/>
          <w:color w:val="000000"/>
          <w:sz w:val="22"/>
        </w:rPr>
      </w:pPr>
      <w:r>
        <w:rPr>
          <w:rFonts w:ascii="Times New Roman;sans-serif" w:hAnsi="Times New Roman;sans-serif"/>
          <w:b w:val="false"/>
          <w:i/>
          <w:color w:val="000000"/>
          <w:sz w:val="22"/>
        </w:rPr>
        <w:t>[remainder of this page intentionally left blank]</w:t>
      </w:r>
    </w:p>
    <w:p>
      <w:pPr>
        <w:pStyle w:val="TextBody"/>
        <w:spacing w:lineRule="auto" w:line="240" w:before="0" w:after="0"/>
        <w:rPr>
          <w:color w:val="000000"/>
        </w:rPr>
      </w:pPr>
      <w:r>
        <w:rPr>
          <w:color w:val="000000"/>
        </w:rPr>
        <w:t> </w:t>
      </w:r>
    </w:p>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40" w:before="0" w:after="48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spacing w:lineRule="auto" w:line="240" w:before="0" w:after="480"/>
        <w:jc w:val="center"/>
        <w:rPr>
          <w:rFonts w:ascii="Times New Roman;sans-serif" w:hAnsi="Times New Roman;sans-serif"/>
          <w:b/>
          <w:color w:val="000000"/>
          <w:sz w:val="22"/>
        </w:rPr>
      </w:pPr>
      <w:r>
        <w:rPr>
          <w:rFonts w:ascii="Times New Roman;sans-serif" w:hAnsi="Times New Roman;sans-serif"/>
          <w:b/>
          <w:color w:val="000000"/>
          <w:sz w:val="22"/>
        </w:rPr>
        <w:t>IRREVOCABLE STOCK POWER</w:t>
      </w:r>
    </w:p>
    <w:p>
      <w:pPr>
        <w:pStyle w:val="TextBody"/>
        <w:spacing w:lineRule="auto" w:line="556" w:before="0" w:after="0"/>
        <w:ind w:left="0" w:right="0" w:firstLine="720"/>
        <w:jc w:val="both"/>
        <w:rPr/>
      </w:pPr>
      <w:r>
        <w:rPr>
          <w:rFonts w:ascii="Times New Roman;sans-serif" w:hAnsi="Times New Roman;sans-serif"/>
          <w:b/>
          <w:color w:val="000000"/>
          <w:sz w:val="22"/>
        </w:rPr>
        <w:t>FOR VALUE RECEIVED</w:t>
      </w:r>
      <w:r>
        <w:rPr>
          <w:rFonts w:ascii="Times New Roman;sans-serif" w:hAnsi="Times New Roman;sans-serif"/>
          <w:b w:val="false"/>
          <w:color w:val="000000"/>
          <w:sz w:val="22"/>
        </w:rPr>
        <w:t xml:space="preserve">, the undersigned does hereby sell, assign and transfer to NN, Inc. (the “Company”), </w:t>
      </w:r>
      <w:r>
        <w:rPr>
          <w:rFonts w:ascii="Times New Roman;sans-serif" w:hAnsi="Times New Roman;sans-serif"/>
          <w:b/>
          <w:color w:val="000000"/>
          <w:sz w:val="22"/>
        </w:rPr>
        <w:t>___________</w:t>
      </w:r>
      <w:r>
        <w:rPr>
          <w:color w:val="000000"/>
        </w:rPr>
        <w:t xml:space="preserve"> </w:t>
      </w:r>
      <w:r>
        <w:rPr>
          <w:rFonts w:ascii="Times New Roman;sans-serif" w:hAnsi="Times New Roman;sans-serif"/>
          <w:b w:val="false"/>
          <w:color w:val="000000"/>
          <w:sz w:val="22"/>
        </w:rPr>
        <w:t>shares of the Company’s common stock represented by Certificate No. _____.  The undersigned authorizes the Secretary of the Company to transfer the stock on the books of the Company in the event of the forfeiture or repayment (in accordance with the terms of the Restricted Share Award Agreement dated ____________, 20__ between the Company and the undersigned (the “Award Agreement”)) of any shares issued under the Award Agreement.</w:t>
      </w:r>
    </w:p>
    <w:p>
      <w:pPr>
        <w:pStyle w:val="TextBody"/>
        <w:spacing w:before="0" w:after="0"/>
        <w:ind w:left="0" w:right="0" w:firstLine="720"/>
        <w:jc w:val="both"/>
        <w:rPr/>
      </w:pPr>
      <w:r>
        <w:rPr/>
      </w:r>
    </w:p>
    <w:p>
      <w:pPr>
        <w:pStyle w:val="TextBody"/>
        <w:spacing w:lineRule="auto" w:line="5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Dated: _________, ____</w:t>
      </w:r>
    </w:p>
    <w:p>
      <w:pPr>
        <w:pStyle w:val="TextBody"/>
        <w:spacing w:before="0" w:after="0"/>
        <w:jc w:val="both"/>
        <w:rPr/>
      </w:pPr>
      <w:r>
        <w:rPr/>
      </w:r>
    </w:p>
    <w:p>
      <w:pPr>
        <w:pStyle w:val="TextBody"/>
        <w:spacing w:lineRule="auto" w:line="240" w:before="0" w:after="0"/>
        <w:jc w:val="both"/>
        <w:rPr>
          <w:color w:val="000000"/>
        </w:rPr>
      </w:pPr>
      <w:r>
        <w:rPr>
          <w:color w:val="000000"/>
        </w:rPr>
        <w:t xml:space="preserve">                                                                        </w:t>
      </w:r>
      <w:r>
        <w:rPr>
          <w:rFonts w:ascii="Times New Roman;sans-serif" w:hAnsi="Times New Roman;sans-serif"/>
          <w:b/>
          <w:color w:val="000000"/>
          <w:sz w:val="22"/>
        </w:rPr>
        <w:t>Signed:</w:t>
      </w:r>
    </w:p>
    <w:p>
      <w:pPr>
        <w:pStyle w:val="TextBody"/>
        <w:spacing w:before="0" w:after="0"/>
        <w:jc w:val="both"/>
        <w:rPr/>
      </w:pPr>
      <w:r>
        <w:rPr/>
      </w:r>
    </w:p>
    <w:p>
      <w:pPr>
        <w:pStyle w:val="TextBody"/>
        <w:spacing w:lineRule="auto" w:line="240" w:before="0" w:after="0"/>
        <w:jc w:val="both"/>
        <w:rPr>
          <w:color w:val="000000"/>
        </w:rPr>
      </w:pPr>
      <w:r>
        <w:rPr>
          <w:color w:val="000000"/>
        </w:rPr>
        <w:t xml:space="preserve">                                                                        </w:t>
      </w:r>
      <w:r>
        <w:rPr>
          <w:rFonts w:ascii="Times New Roman;sans-serif" w:hAnsi="Times New Roman;sans-serif"/>
          <w:b w:val="false"/>
          <w:color w:val="000000"/>
          <w:sz w:val="22"/>
        </w:rPr>
        <w:t>By:_______________________________________</w:t>
      </w:r>
    </w:p>
    <w:p>
      <w:pPr>
        <w:pStyle w:val="TextBody"/>
        <w:spacing w:lineRule="auto" w:line="240" w:before="120" w:after="283"/>
        <w:rPr>
          <w:color w:val="000000"/>
        </w:rPr>
      </w:pPr>
      <w:r>
        <w:rPr>
          <w:color w:val="000000"/>
        </w:rPr>
        <w:t xml:space="preserve">                                                                        </w:t>
      </w:r>
      <w:r>
        <w:rPr>
          <w:rFonts w:ascii="Times New Roman;sans-serif" w:hAnsi="Times New Roman;sans-serif"/>
          <w:b w:val="false"/>
          <w:color w:val="000000"/>
          <w:sz w:val="22"/>
        </w:rPr>
        <w:t>Name:</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10.3</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9" name="Frame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NN, INC.</w:t>
        <w:br/>
        <w:t>PERFORMANCE SHARE UNIT GRANT NOTICE</w:t>
      </w:r>
    </w:p>
    <w:p>
      <w:pPr>
        <w:pStyle w:val="TextBody"/>
        <w:spacing w:lineRule="auto" w:line="240" w:before="0" w:after="240"/>
        <w:ind w:left="0" w:right="0" w:firstLine="720"/>
        <w:jc w:val="both"/>
        <w:rPr/>
      </w:pPr>
      <w:r>
        <w:rPr>
          <w:rFonts w:ascii="Times New Roman;sans-serif" w:hAnsi="Times New Roman;sans-serif"/>
          <w:b w:val="false"/>
          <w:color w:val="000000"/>
          <w:sz w:val="22"/>
        </w:rPr>
        <w:t>NN,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holder listed below (“</w:t>
      </w:r>
      <w:r>
        <w:rPr>
          <w:rFonts w:ascii="Times New Roman;sans-serif" w:hAnsi="Times New Roman;sans-serif"/>
          <w:b w:val="false"/>
          <w:color w:val="000000"/>
          <w:sz w:val="22"/>
          <w:u w:val="single"/>
        </w:rPr>
        <w:t>Grantee</w:t>
      </w:r>
      <w:r>
        <w:rPr>
          <w:color w:val="000000"/>
        </w:rPr>
        <w:t>”</w:t>
      </w:r>
      <w:r>
        <w:rPr>
          <w:rFonts w:ascii="Times New Roman;sans-serif" w:hAnsi="Times New Roman;sans-serif"/>
          <w:b w:val="false"/>
          <w:color w:val="000000"/>
          <w:sz w:val="22"/>
        </w:rPr>
        <w:t>), the right to receive a number of performance share units (the “</w:t>
      </w:r>
      <w:r>
        <w:rPr>
          <w:rFonts w:ascii="Times New Roman;sans-serif" w:hAnsi="Times New Roman;sans-serif"/>
          <w:b w:val="false"/>
          <w:color w:val="000000"/>
          <w:sz w:val="22"/>
          <w:u w:val="single"/>
        </w:rPr>
        <w:t>Performance Share Units</w:t>
      </w:r>
      <w:r>
        <w:rPr>
          <w:color w:val="000000"/>
        </w:rPr>
        <w:t>”</w:t>
      </w:r>
      <w:r>
        <w:rPr>
          <w:rFonts w:ascii="Times New Roman;sans-serif" w:hAnsi="Times New Roman;sans-serif"/>
          <w:b w:val="false"/>
          <w:color w:val="000000"/>
          <w:sz w:val="22"/>
        </w:rPr>
        <w:t>) as set forth below (the “</w:t>
      </w:r>
      <w:r>
        <w:rPr>
          <w:rFonts w:ascii="Times New Roman;sans-serif" w:hAnsi="Times New Roman;sans-serif"/>
          <w:b w:val="false"/>
          <w:color w:val="000000"/>
          <w:sz w:val="22"/>
          <w:u w:val="single"/>
        </w:rPr>
        <w:t>Performance Share Unit Award</w:t>
      </w:r>
      <w:r>
        <w:rPr>
          <w:color w:val="000000"/>
        </w:rPr>
        <w:t>”</w:t>
      </w:r>
      <w:r>
        <w:rPr>
          <w:rFonts w:ascii="Times New Roman;sans-serif" w:hAnsi="Times New Roman;sans-serif"/>
          <w:b w:val="false"/>
          <w:color w:val="000000"/>
          <w:sz w:val="22"/>
        </w:rPr>
        <w:t>). The Performance Share Units are subject to the terms and conditions set forth in this Performance Share Unit Grant Notice (the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xml:space="preserve">) and the Performance Share Unit Award Agreement attached hereto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which are incorporated herein by reference.</w:t>
      </w:r>
    </w:p>
    <w:p>
      <w:pPr>
        <w:pStyle w:val="TextBody"/>
        <w:spacing w:lineRule="auto" w:line="240" w:before="0" w:after="240"/>
        <w:ind w:left="0" w:right="0" w:firstLine="720"/>
        <w:jc w:val="both"/>
        <w:rPr/>
      </w:pPr>
      <w:r>
        <w:rPr>
          <w:rFonts w:ascii="Times New Roman;sans-serif" w:hAnsi="Times New Roman;sans-serif"/>
          <w:b w:val="false"/>
          <w:color w:val="000000"/>
          <w:sz w:val="22"/>
        </w:rPr>
        <w:t>This Performance Share Unit Award is a stand-alone award separate and apart from, and outside of, the Company’s 2022 Omnibus Incentive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and is intended to constitute a non-plan based inducement grant as described in Nasdaq Listing Rule 5635(c)(4) and shall not constitute a Performance Award granted under the Plan. Notwithstanding the foregoing, the terms, conditions and definitions set forth in the Plan shall apply to this Grant Notice and the Agreement as though this Performance Share Unit Award had been granted under the Plan, and this Performance Share Unit Award shall be subject to such terms, conditions and definitions, which are hereby incorporated herein by reference and made a part hereof.</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983"/>
        <w:gridCol w:w="785"/>
        <w:gridCol w:w="794"/>
        <w:gridCol w:w="2262"/>
        <w:gridCol w:w="2262"/>
        <w:gridCol w:w="3119"/>
      </w:tblGrid>
      <w:tr>
        <w:trPr/>
        <w:tc>
          <w:tcPr>
            <w:tcW w:w="983"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2262" w:type="dxa"/>
            <w:tcBorders/>
            <w:shd w:fill="auto" w:val="clear"/>
            <w:vAlign w:val="center"/>
          </w:tcPr>
          <w:p>
            <w:pPr>
              <w:pStyle w:val="TableContents"/>
              <w:spacing w:before="0" w:after="283"/>
              <w:rPr>
                <w:sz w:val="4"/>
                <w:szCs w:val="4"/>
              </w:rPr>
            </w:pPr>
            <w:r>
              <w:rPr>
                <w:sz w:val="4"/>
                <w:szCs w:val="4"/>
              </w:rPr>
            </w:r>
          </w:p>
        </w:tc>
        <w:tc>
          <w:tcPr>
            <w:tcW w:w="2262" w:type="dxa"/>
            <w:tcBorders/>
            <w:shd w:fill="auto" w:val="clear"/>
            <w:vAlign w:val="center"/>
          </w:tcPr>
          <w:p>
            <w:pPr>
              <w:pStyle w:val="TableContents"/>
              <w:spacing w:before="0" w:after="283"/>
              <w:rPr>
                <w:sz w:val="4"/>
                <w:szCs w:val="4"/>
              </w:rPr>
            </w:pPr>
            <w:r>
              <w:rPr>
                <w:sz w:val="4"/>
                <w:szCs w:val="4"/>
              </w:rPr>
            </w:r>
          </w:p>
        </w:tc>
        <w:tc>
          <w:tcPr>
            <w:tcW w:w="3119" w:type="dxa"/>
            <w:tcBorders/>
            <w:shd w:fill="auto" w:val="clear"/>
            <w:vAlign w:val="center"/>
          </w:tcPr>
          <w:p>
            <w:pPr>
              <w:pStyle w:val="TableContents"/>
              <w:spacing w:before="0" w:after="283"/>
              <w:rPr>
                <w:sz w:val="4"/>
                <w:szCs w:val="4"/>
              </w:rPr>
            </w:pPr>
            <w:r>
              <w:rPr>
                <w:sz w:val="4"/>
                <w:szCs w:val="4"/>
              </w:rPr>
            </w:r>
          </w:p>
        </w:tc>
      </w:tr>
      <w:tr>
        <w:trPr/>
        <w:tc>
          <w:tcPr>
            <w:tcW w:w="256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Grantee:</w:t>
            </w:r>
          </w:p>
        </w:tc>
        <w:tc>
          <w:tcPr>
            <w:tcW w:w="764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Harold Bevis</w:t>
            </w:r>
          </w:p>
        </w:tc>
      </w:tr>
      <w:tr>
        <w:trPr/>
        <w:tc>
          <w:tcPr>
            <w:tcW w:w="25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Grant Date:</w:t>
            </w:r>
          </w:p>
        </w:tc>
        <w:tc>
          <w:tcPr>
            <w:tcW w:w="764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22, 2023</w:t>
            </w:r>
          </w:p>
        </w:tc>
      </w:tr>
      <w:tr>
        <w:trPr/>
        <w:tc>
          <w:tcPr>
            <w:tcW w:w="25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Target Number of Performance Share Units:</w:t>
            </w:r>
          </w:p>
        </w:tc>
        <w:tc>
          <w:tcPr>
            <w:tcW w:w="764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2,500,000 Performance Share Units</w:t>
            </w:r>
          </w:p>
        </w:tc>
      </w:tr>
      <w:tr>
        <w:trPr/>
        <w:tc>
          <w:tcPr>
            <w:tcW w:w="25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Performance Period:</w:t>
            </w:r>
          </w:p>
        </w:tc>
        <w:tc>
          <w:tcPr>
            <w:tcW w:w="764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22, 2023 through May 21, 2028</w:t>
            </w:r>
          </w:p>
        </w:tc>
      </w:tr>
      <w:tr>
        <w:trPr/>
        <w:tc>
          <w:tcPr>
            <w:tcW w:w="256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Determination Date:</w:t>
            </w:r>
          </w:p>
        </w:tc>
        <w:tc>
          <w:tcPr>
            <w:tcW w:w="764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date on which the Committee determines whether the performance goals to which this Performance Share Unit Award relates have been met as required by the Performance Share Unit Award Agreement.</w:t>
            </w:r>
          </w:p>
        </w:tc>
      </w:tr>
      <w:tr>
        <w:trPr/>
        <w:tc>
          <w:tcPr>
            <w:tcW w:w="256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7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 his signature and the Company’s signature below, Grantee agrees to be bound by the terms and conditions of the Agreement and this Grant Notice. Grantee has reviewed the Agreement and this Grant Notice in their entirety. Grantee hereby agrees to accept as binding, conclusive and final all decisions or interpretations of the Committee upon any questions arising under this Grant Notice or the Agreement.</w:t>
      </w:r>
    </w:p>
    <w:p>
      <w:pPr>
        <w:pStyle w:val="TextBody"/>
        <w:spacing w:before="0" w:after="0"/>
        <w:rPr/>
      </w:pPr>
      <w:r>
        <w:rPr/>
      </w:r>
    </w:p>
    <w:p>
      <w:pPr>
        <w:pStyle w:val="TextBody"/>
        <w:spacing w:before="0" w:after="0"/>
        <w:rPr/>
      </w:pPr>
      <w:r>
        <w:rPr/>
      </w:r>
    </w:p>
    <w:tbl>
      <w:tblPr>
        <w:tblW w:w="8667" w:type="dxa"/>
        <w:jc w:val="left"/>
        <w:tblInd w:w="0" w:type="dxa"/>
        <w:tblCellMar>
          <w:top w:w="28" w:type="dxa"/>
          <w:left w:w="28" w:type="dxa"/>
          <w:bottom w:w="28" w:type="dxa"/>
          <w:right w:w="28" w:type="dxa"/>
        </w:tblCellMar>
      </w:tblPr>
      <w:tblGrid>
        <w:gridCol w:w="442"/>
        <w:gridCol w:w="389"/>
        <w:gridCol w:w="398"/>
        <w:gridCol w:w="1498"/>
        <w:gridCol w:w="1498"/>
        <w:gridCol w:w="1503"/>
        <w:gridCol w:w="115"/>
        <w:gridCol w:w="115"/>
        <w:gridCol w:w="116"/>
        <w:gridCol w:w="404"/>
        <w:gridCol w:w="404"/>
        <w:gridCol w:w="406"/>
        <w:gridCol w:w="400"/>
        <w:gridCol w:w="400"/>
        <w:gridCol w:w="579"/>
      </w:tblGrid>
      <w:tr>
        <w:trPr/>
        <w:tc>
          <w:tcPr>
            <w:tcW w:w="442"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r>
      <w:tr>
        <w:trPr/>
        <w:tc>
          <w:tcPr>
            <w:tcW w:w="6074"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NN, INC.</w:t>
            </w:r>
          </w:p>
        </w:tc>
        <w:tc>
          <w:tcPr>
            <w:tcW w:w="259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GRANTEE</w:t>
            </w:r>
          </w:p>
        </w:tc>
      </w:tr>
      <w:tr>
        <w:trPr/>
        <w:tc>
          <w:tcPr>
            <w:tcW w:w="6074"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9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6074"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9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122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49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4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21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7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122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Print Name:</w:t>
            </w:r>
          </w:p>
        </w:tc>
        <w:tc>
          <w:tcPr>
            <w:tcW w:w="4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Times New Roman;sans-serif" w:hAnsi="Times New Roman;sans-serif"/>
                <w:b w:val="false"/>
                <w:color w:val="000000"/>
                <w:sz w:val="22"/>
              </w:rPr>
              <w:t>Michael C. Felcher</w:t>
            </w:r>
          </w:p>
        </w:tc>
        <w:tc>
          <w:tcPr>
            <w:tcW w:w="34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21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Print Name:</w:t>
            </w:r>
          </w:p>
        </w:tc>
        <w:tc>
          <w:tcPr>
            <w:tcW w:w="137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Harold Bevis</w:t>
            </w:r>
          </w:p>
        </w:tc>
      </w:tr>
      <w:tr>
        <w:trPr/>
        <w:tc>
          <w:tcPr>
            <w:tcW w:w="122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49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Senior Vice President – Chief Financial Officer</w:t>
            </w:r>
          </w:p>
        </w:tc>
        <w:tc>
          <w:tcPr>
            <w:tcW w:w="34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21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 </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0" name="Frame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center"/>
        <w:rPr/>
      </w:pPr>
      <w:r>
        <w:rPr>
          <w:rFonts w:ascii="Times New Roman;sans-serif" w:hAnsi="Times New Roman;sans-serif"/>
          <w:b/>
          <w:color w:val="000000"/>
          <w:sz w:val="22"/>
          <w:u w:val="single"/>
        </w:rPr>
        <w:t>EXHIBIT A</w:t>
        <w:br/>
      </w:r>
      <w:r>
        <w:rPr>
          <w:rFonts w:ascii="Times New Roman;sans-serif" w:hAnsi="Times New Roman;sans-serif"/>
          <w:b/>
          <w:color w:val="000000"/>
          <w:sz w:val="22"/>
        </w:rPr>
        <w:t>PERFORMANCE SHARE UNIT AWARD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Pursuant to this Performance Share Unit Award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xml:space="preserve">) and the Grant Notice to which it is attached, the Company has granted to Grantee the right to receive the number of Performance Share Units set forth in the Grant Notice, subject to the terms and conditions of this Agreement. </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I</w:t>
        <w:br/>
        <w:t>GENERAL</w:t>
      </w:r>
    </w:p>
    <w:p>
      <w:pPr>
        <w:pStyle w:val="TextBody"/>
        <w:spacing w:lineRule="auto" w:line="240" w:before="0" w:after="240"/>
        <w:ind w:left="0" w:right="0" w:firstLine="72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Although the Performance Share Unit Award is not granted under the Company’s 2022 Omnibus Incentive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xml:space="preserve">), for purposes of this Agreement, capitalized terms not specifically defined herein shall have the meanings specified in the Plan or the Grant Notice. In the event of any inconsistency between the Plan and this Agreement, the terms of this Agreement shall control. </w:t>
      </w:r>
    </w:p>
    <w:p>
      <w:pPr>
        <w:pStyle w:val="TextBody"/>
        <w:spacing w:lineRule="auto" w:line="240" w:before="0" w:after="240"/>
        <w:jc w:val="center"/>
        <w:rPr/>
      </w:pPr>
      <w:r>
        <w:rPr>
          <w:rFonts w:ascii="Times New Roman;sans-serif" w:hAnsi="Times New Roman;sans-serif"/>
          <w:b/>
          <w:color w:val="000000"/>
          <w:sz w:val="22"/>
        </w:rPr>
        <w:t>ARTICLE II</w:t>
      </w:r>
      <w:r>
        <w:rPr>
          <w:rFonts w:ascii="Times New Roman;sans-serif" w:hAnsi="Times New Roman;sans-serif"/>
          <w:b w:val="false"/>
          <w:color w:val="000000"/>
          <w:sz w:val="22"/>
        </w:rPr>
        <w:br/>
      </w:r>
      <w:r>
        <w:rPr>
          <w:rFonts w:ascii="Times New Roman;sans-serif" w:hAnsi="Times New Roman;sans-serif"/>
          <w:b/>
          <w:color w:val="000000"/>
          <w:sz w:val="22"/>
        </w:rPr>
        <w:t>GRANT OF PERFORMANCE SHARE UNITS</w:t>
      </w:r>
    </w:p>
    <w:p>
      <w:pPr>
        <w:pStyle w:val="TextBody"/>
        <w:spacing w:lineRule="auto" w:line="240" w:before="0" w:after="240"/>
        <w:ind w:left="0" w:right="0" w:firstLine="720"/>
        <w:jc w:val="both"/>
        <w:rPr/>
      </w:pPr>
      <w:r>
        <w:rPr>
          <w:rFonts w:ascii="Times New Roman;sans-serif" w:hAnsi="Times New Roman;sans-serif"/>
          <w:b w:val="false"/>
          <w:color w:val="000000"/>
          <w:sz w:val="22"/>
        </w:rPr>
        <w:t>2.1    </w:t>
      </w:r>
      <w:r>
        <w:rPr>
          <w:rFonts w:ascii="Times New Roman;sans-serif" w:hAnsi="Times New Roman;sans-serif"/>
          <w:b w:val="false"/>
          <w:color w:val="000000"/>
          <w:sz w:val="22"/>
          <w:u w:val="single"/>
        </w:rPr>
        <w:t>Grant</w:t>
      </w:r>
      <w:r>
        <w:rPr>
          <w:rFonts w:ascii="Times New Roman;sans-serif" w:hAnsi="Times New Roman;sans-serif"/>
          <w:b w:val="false"/>
          <w:color w:val="000000"/>
          <w:sz w:val="22"/>
        </w:rPr>
        <w:t>. In consideration of Grantee’s future employment with or service to the Company or a Subsidiary, as an inducement to accept employment with the Company and for other good and valuable consideration, effective as of the grant date set forth in the Grant Notice (the “</w:t>
      </w:r>
      <w:r>
        <w:rPr>
          <w:rFonts w:ascii="Times New Roman;sans-serif" w:hAnsi="Times New Roman;sans-serif"/>
          <w:b w:val="false"/>
          <w:color w:val="000000"/>
          <w:sz w:val="22"/>
          <w:u w:val="single"/>
        </w:rPr>
        <w:t>Grant Date</w:t>
      </w:r>
      <w:r>
        <w:rPr>
          <w:color w:val="000000"/>
        </w:rPr>
        <w:t>”</w:t>
      </w:r>
      <w:r>
        <w:rPr>
          <w:rFonts w:ascii="Times New Roman;sans-serif" w:hAnsi="Times New Roman;sans-serif"/>
          <w:b w:val="false"/>
          <w:color w:val="000000"/>
          <w:sz w:val="22"/>
        </w:rPr>
        <w:t>), the Company has granted to Grantee the Performance Share Unit Award. Each Performance Share Unit represents the right to receive one Share (or the Fair Market Value thereof) upon the expiration of the performance period set forth in the Grant Notice (the “</w:t>
      </w:r>
      <w:r>
        <w:rPr>
          <w:rFonts w:ascii="Times New Roman;sans-serif" w:hAnsi="Times New Roman;sans-serif"/>
          <w:b w:val="false"/>
          <w:color w:val="000000"/>
          <w:sz w:val="22"/>
          <w:u w:val="single"/>
        </w:rPr>
        <w:t>Performance Period</w:t>
      </w:r>
      <w:r>
        <w:rPr>
          <w:color w:val="000000"/>
        </w:rPr>
        <w:t>”</w:t>
      </w:r>
      <w:r>
        <w:rPr>
          <w:rFonts w:ascii="Times New Roman;sans-serif" w:hAnsi="Times New Roman;sans-serif"/>
          <w:b w:val="false"/>
          <w:color w:val="000000"/>
          <w:sz w:val="22"/>
        </w:rPr>
        <w:t>) and otherwise subject to the terms, conditions and restrictions set forth in this Agreement. The Grantee’s interest in the Performance Share Units granted hereby shall be that of a general, unsecured creditor of the Company.</w:t>
      </w:r>
    </w:p>
    <w:p>
      <w:pPr>
        <w:pStyle w:val="TextBody"/>
        <w:spacing w:lineRule="auto" w:line="240" w:before="0" w:after="240"/>
        <w:ind w:left="0" w:right="0" w:firstLine="720"/>
        <w:jc w:val="both"/>
        <w:rPr/>
      </w:pPr>
      <w:r>
        <w:rPr>
          <w:rFonts w:ascii="Times New Roman;sans-serif" w:hAnsi="Times New Roman;sans-serif"/>
          <w:b w:val="false"/>
          <w:color w:val="000000"/>
          <w:sz w:val="22"/>
        </w:rPr>
        <w:t>2.2    </w:t>
      </w:r>
      <w:r>
        <w:rPr>
          <w:rFonts w:ascii="Times New Roman;sans-serif" w:hAnsi="Times New Roman;sans-serif"/>
          <w:b w:val="false"/>
          <w:color w:val="000000"/>
          <w:sz w:val="22"/>
          <w:u w:val="single"/>
        </w:rPr>
        <w:t>Lapse of Restrictions</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Sections 3.2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3.3</w:t>
      </w:r>
      <w:r>
        <w:rPr>
          <w:color w:val="000000"/>
        </w:rPr>
        <w:t xml:space="preserve"> </w:t>
      </w:r>
      <w:r>
        <w:rPr>
          <w:rFonts w:ascii="Times New Roman;sans-serif" w:hAnsi="Times New Roman;sans-serif"/>
          <w:b w:val="false"/>
          <w:color w:val="000000"/>
          <w:sz w:val="22"/>
        </w:rPr>
        <w:t>hereof, the restrictions associated with the Performance Share Units granted pursuant to the Grant Notice shall lapse at the expiration of the Performance Period as set forth in the Grant Notice (the “</w:t>
      </w:r>
      <w:r>
        <w:rPr>
          <w:rFonts w:ascii="Times New Roman;sans-serif" w:hAnsi="Times New Roman;sans-serif"/>
          <w:b w:val="false"/>
          <w:color w:val="000000"/>
          <w:sz w:val="22"/>
          <w:u w:val="single"/>
        </w:rPr>
        <w:t>Vesting Date</w:t>
      </w:r>
      <w:r>
        <w:rPr>
          <w:color w:val="000000"/>
        </w:rPr>
        <w:t xml:space="preserve">” </w:t>
      </w:r>
      <w:r>
        <w:rPr>
          <w:rFonts w:ascii="Times New Roman;sans-serif" w:hAnsi="Times New Roman;sans-serif"/>
          <w:b w:val="false"/>
          <w:color w:val="000000"/>
          <w:sz w:val="22"/>
        </w:rPr>
        <w:t xml:space="preserve">as it pertains to Performance Share Units that vest) but only if (a) and to the extent the Company has achieved the performance targets for the Performance Period as set forth on </w:t>
      </w:r>
      <w:r>
        <w:rPr>
          <w:rFonts w:ascii="Times New Roman;sans-serif" w:hAnsi="Times New Roman;sans-serif"/>
          <w:b w:val="false"/>
          <w:color w:val="000000"/>
          <w:sz w:val="22"/>
          <w:u w:val="single"/>
        </w:rPr>
        <w:t>Exhibit A-1</w:t>
      </w:r>
      <w:r>
        <w:rPr>
          <w:color w:val="000000"/>
        </w:rPr>
        <w:t xml:space="preserve"> </w:t>
      </w:r>
      <w:r>
        <w:rPr>
          <w:rFonts w:ascii="Times New Roman;sans-serif" w:hAnsi="Times New Roman;sans-serif"/>
          <w:b w:val="false"/>
          <w:color w:val="000000"/>
          <w:sz w:val="22"/>
        </w:rPr>
        <w:t>hereto, and (b) the Grantee has remained in service with the Company or any of its Subsidiaries continuously from the Grant Date until the Vesting Date. In the event the performance targets shall not have been met as of the Vesting Date with respect to some or all of the Performance Share Units, such Performance Share Units shall be cancelled for no further consideration as of the Vesting Date.</w:t>
      </w:r>
    </w:p>
    <w:p>
      <w:pPr>
        <w:pStyle w:val="TextBody"/>
        <w:spacing w:lineRule="auto" w:line="240" w:before="0" w:after="240"/>
        <w:ind w:left="0" w:right="0" w:firstLine="720"/>
        <w:jc w:val="both"/>
        <w:rPr/>
      </w:pPr>
      <w:r>
        <w:rPr>
          <w:rFonts w:ascii="Times New Roman;sans-serif" w:hAnsi="Times New Roman;sans-serif"/>
          <w:b w:val="false"/>
          <w:color w:val="000000"/>
          <w:sz w:val="22"/>
        </w:rPr>
        <w:t>2.3    </w:t>
      </w:r>
      <w:r>
        <w:rPr>
          <w:rFonts w:ascii="Times New Roman;sans-serif" w:hAnsi="Times New Roman;sans-serif"/>
          <w:b w:val="false"/>
          <w:color w:val="000000"/>
          <w:sz w:val="22"/>
          <w:u w:val="single"/>
        </w:rPr>
        <w:t>Settlement</w:t>
      </w:r>
      <w:r>
        <w:rPr>
          <w:rFonts w:ascii="Times New Roman;sans-serif" w:hAnsi="Times New Roman;sans-serif"/>
          <w:b w:val="false"/>
          <w:color w:val="000000"/>
          <w:sz w:val="22"/>
        </w:rPr>
        <w:t xml:space="preserve">. The Grantee shall be entitled to settlement of the Performance Share Units covered by this Agreement on the Vesting Date to the extent the Performance Share Units have not previously been forfeited and the restrictions associated with the Performance Share Units lapse in accordance with </w:t>
      </w:r>
      <w:r>
        <w:rPr>
          <w:rFonts w:ascii="Times New Roman;sans-serif" w:hAnsi="Times New Roman;sans-serif"/>
          <w:b w:val="false"/>
          <w:color w:val="000000"/>
          <w:sz w:val="22"/>
          <w:u w:val="single"/>
        </w:rPr>
        <w:t>Section 2.2</w:t>
      </w:r>
      <w:r>
        <w:rPr>
          <w:color w:val="000000"/>
        </w:rPr>
        <w:t xml:space="preserve"> </w:t>
      </w:r>
      <w:r>
        <w:rPr>
          <w:rFonts w:ascii="Times New Roman;sans-serif" w:hAnsi="Times New Roman;sans-serif"/>
          <w:b w:val="false"/>
          <w:color w:val="000000"/>
          <w:sz w:val="22"/>
        </w:rPr>
        <w:t>hereof. Such settlement shall be made as promptly as practicable thereafter (but in no event after the forty-fifth day following the Vesting Date) through, in the sole discretion of the Committee, either (a) the issuance to the Grantee (or to the executors or administrators of Grantee’s estate in the event of the Grantee’s death) of a stock certificate (or evidence such Shares have been registered in book entry form in the name of the Grantee with the relevant stock agent) for a number of Shares equal to the number of such vested Performance Share Units, or (b) a payment of cash to the Grantee (or to the executors or administrators of Grantee’s estate in the event of the Grantee’s death) equal to the Fair Market Value of the Shares that would otherwise have been issued pursuant to (a) above.</w:t>
      </w:r>
    </w:p>
    <w:p>
      <w:pPr>
        <w:pStyle w:val="TextBody"/>
        <w:spacing w:lineRule="auto" w:line="240" w:before="0" w:after="240"/>
        <w:ind w:left="0" w:right="0" w:firstLine="720"/>
        <w:jc w:val="both"/>
        <w:rPr/>
      </w:pPr>
      <w:r>
        <w:rPr>
          <w:rFonts w:ascii="Times New Roman;sans-serif" w:hAnsi="Times New Roman;sans-serif"/>
          <w:b w:val="false"/>
          <w:color w:val="000000"/>
          <w:sz w:val="22"/>
        </w:rPr>
        <w:t>2.4    </w:t>
      </w:r>
      <w:r>
        <w:rPr>
          <w:rFonts w:ascii="Times New Roman;sans-serif" w:hAnsi="Times New Roman;sans-serif"/>
          <w:b w:val="false"/>
          <w:color w:val="000000"/>
          <w:sz w:val="22"/>
          <w:u w:val="single"/>
        </w:rPr>
        <w:t>Dividends</w:t>
      </w:r>
      <w:r>
        <w:rPr>
          <w:rFonts w:ascii="Times New Roman;sans-serif" w:hAnsi="Times New Roman;sans-serif"/>
          <w:b w:val="false"/>
          <w:color w:val="000000"/>
          <w:sz w:val="22"/>
        </w:rPr>
        <w:t>. If the Company pays a cash dividend on its common stock, the Grantee shall accrue in his or her Dividend Account (as defined below) a cash dividend equivalent with respect to the maximum number of Performance Share Units issuable pursuant to this Agreement as of the record date for the dividend. The Company shall cause an account (the “</w:t>
      </w:r>
      <w:r>
        <w:rPr>
          <w:rFonts w:ascii="Times New Roman;sans-serif" w:hAnsi="Times New Roman;sans-serif"/>
          <w:b w:val="false"/>
          <w:color w:val="000000"/>
          <w:sz w:val="22"/>
          <w:u w:val="single"/>
        </w:rPr>
        <w:t>Dividend Account</w:t>
      </w:r>
      <w:r>
        <w:rPr>
          <w:color w:val="000000"/>
        </w:rPr>
        <w:t>”</w:t>
      </w:r>
      <w:r>
        <w:rPr>
          <w:rFonts w:ascii="Times New Roman;sans-serif" w:hAnsi="Times New Roman;sans-serif"/>
          <w:b w:val="false"/>
          <w:color w:val="000000"/>
          <w:sz w:val="22"/>
        </w:rPr>
        <w:t xml:space="preserve">) to be established and maintained as part of the records of the Company to evidence the aggregate cash dividend equivalents accrued by the Grantee from time to time under this </w:t>
      </w:r>
      <w:r>
        <w:rPr>
          <w:rFonts w:ascii="Times New Roman;sans-serif" w:hAnsi="Times New Roman;sans-serif"/>
          <w:b w:val="false"/>
          <w:color w:val="000000"/>
          <w:sz w:val="22"/>
          <w:u w:val="single"/>
        </w:rPr>
        <w:t>Section 2.4</w:t>
      </w:r>
      <w:r>
        <w:rPr>
          <w:rFonts w:ascii="Times New Roman;sans-serif" w:hAnsi="Times New Roman;sans-serif"/>
          <w:b w:val="false"/>
          <w:color w:val="000000"/>
          <w:sz w:val="22"/>
        </w:rPr>
        <w:t xml:space="preserve">. No interest shall accrue on any amounts reflected in the Dividend Account. The Grantee’s interest in the amounts reflected in the Dividend Account shall be that of a general, unsecured creditor of the Company. Subject to, and as promptly as practicable following, the settlement of the Performance Share Units pursuant to </w:t>
      </w:r>
      <w:r>
        <w:rPr>
          <w:rFonts w:ascii="Times New Roman;sans-serif" w:hAnsi="Times New Roman;sans-serif"/>
          <w:b w:val="false"/>
          <w:color w:val="000000"/>
          <w:sz w:val="22"/>
          <w:u w:val="single"/>
        </w:rPr>
        <w:t>Section 2.3</w:t>
      </w:r>
      <w:r>
        <w:rPr>
          <w:color w:val="000000"/>
        </w:rPr>
        <w:t xml:space="preserve"> </w:t>
      </w:r>
      <w:r>
        <w:rPr>
          <w:rFonts w:ascii="Times New Roman;sans-serif" w:hAnsi="Times New Roman;sans-serif"/>
          <w:b w:val="false"/>
          <w:color w:val="000000"/>
          <w:sz w:val="22"/>
        </w:rPr>
        <w:t xml:space="preserve">hereunder, the Company shall pay an amount in cash (without interest and subject to applicable withholding taxes) to </w:t>
      </w:r>
      <w:r>
        <w:br w:type="page"/>
      </w: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the Grantee (or his or her permitted transferee(s) who are issued Shares or cash pursuant to </w:t>
      </w:r>
      <w:r>
        <w:rPr>
          <w:rFonts w:ascii="Times New Roman;sans-serif" w:hAnsi="Times New Roman;sans-serif"/>
          <w:b w:val="false"/>
          <w:color w:val="000000"/>
          <w:sz w:val="22"/>
          <w:u w:val="single"/>
        </w:rPr>
        <w:t>Section 2.3</w:t>
      </w:r>
      <w:r>
        <w:rPr>
          <w:color w:val="000000"/>
        </w:rPr>
        <w:t xml:space="preserve"> </w:t>
      </w:r>
      <w:r>
        <w:rPr>
          <w:rFonts w:ascii="Times New Roman;sans-serif" w:hAnsi="Times New Roman;sans-serif"/>
          <w:b w:val="false"/>
          <w:color w:val="000000"/>
          <w:sz w:val="22"/>
        </w:rPr>
        <w:t xml:space="preserve">hereunder) equal to the aggregate cash dividend equivalents accrued in the Grantee’s Dividend Account with respect to the vested Performance Share Units settled with the Grantee and the Grantee’s Dividend Account shall be eliminated at that time. In the event that the Grantee forfeits his or her rights to all or any portion of the Performance Share Units (or such Performance Share Units are otherwise cancelled on account of the Company’s actual performance), the Grantee also shall forfeit his or her rights to any cash dividend equivalents accrued in the Grantee’s Dividend Account with respect to such forfeited or cancelled units and the Grantee’s Dividend Account shall be eliminated at that time. </w:t>
      </w:r>
    </w:p>
    <w:p>
      <w:pPr>
        <w:pStyle w:val="TextBody"/>
        <w:spacing w:lineRule="auto" w:line="240" w:before="0" w:after="240"/>
        <w:ind w:left="0" w:right="0" w:firstLine="720"/>
        <w:jc w:val="both"/>
        <w:rPr/>
      </w:pPr>
      <w:r>
        <w:rPr>
          <w:rFonts w:ascii="Times New Roman;sans-serif" w:hAnsi="Times New Roman;sans-serif"/>
          <w:b w:val="false"/>
          <w:color w:val="000000"/>
          <w:sz w:val="22"/>
        </w:rPr>
        <w:t>2.5    </w:t>
      </w:r>
      <w:r>
        <w:rPr>
          <w:rFonts w:ascii="Times New Roman;sans-serif" w:hAnsi="Times New Roman;sans-serif"/>
          <w:b w:val="false"/>
          <w:color w:val="000000"/>
          <w:sz w:val="22"/>
          <w:u w:val="single"/>
        </w:rPr>
        <w:t>Adjustment Upon Changes in Capital</w:t>
      </w:r>
      <w:r>
        <w:rPr>
          <w:rFonts w:ascii="Times New Roman;sans-serif" w:hAnsi="Times New Roman;sans-serif"/>
          <w:b w:val="false"/>
          <w:color w:val="000000"/>
          <w:sz w:val="22"/>
        </w:rPr>
        <w:t xml:space="preserve">. In the event of a change in capitalization or other adjustment event that impacts the Shares and occurs prior to a Change in Control (as defined in the Separation Agreement), the Stock Price and number of Earned Shares, each as set forth on </w:t>
      </w:r>
      <w:r>
        <w:rPr>
          <w:rFonts w:ascii="Times New Roman;sans-serif" w:hAnsi="Times New Roman;sans-serif"/>
          <w:b w:val="false"/>
          <w:color w:val="000000"/>
          <w:sz w:val="22"/>
          <w:u w:val="single"/>
        </w:rPr>
        <w:t>Exhibit A-1</w:t>
      </w:r>
      <w:r>
        <w:rPr>
          <w:rFonts w:ascii="Times New Roman;sans-serif" w:hAnsi="Times New Roman;sans-serif"/>
          <w:b w:val="false"/>
          <w:color w:val="000000"/>
          <w:sz w:val="22"/>
        </w:rPr>
        <w:t>, shall be equitably adjusted as determined by the Committee in its sole discretion to be necessary to preserve the intended purpose of the Performance Share Units. For the avoidance of doubt, the Performance Share Units set forth in the Grant Notice shall not be entitled to any anti-dilution protections.</w:t>
      </w:r>
    </w:p>
    <w:p>
      <w:pPr>
        <w:pStyle w:val="TextBody"/>
        <w:spacing w:lineRule="auto" w:line="240" w:before="0" w:after="240"/>
        <w:jc w:val="center"/>
        <w:rPr/>
      </w:pPr>
      <w:r>
        <w:rPr>
          <w:rFonts w:ascii="Times New Roman;sans-serif" w:hAnsi="Times New Roman;sans-serif"/>
          <w:b/>
          <w:color w:val="000000"/>
          <w:sz w:val="22"/>
        </w:rPr>
        <w:t>ARTICLE III</w:t>
      </w:r>
      <w:r>
        <w:rPr>
          <w:rFonts w:ascii="Times New Roman;sans-serif" w:hAnsi="Times New Roman;sans-serif"/>
          <w:b w:val="false"/>
          <w:color w:val="000000"/>
          <w:sz w:val="22"/>
        </w:rPr>
        <w:br/>
      </w:r>
      <w:r>
        <w:rPr>
          <w:rFonts w:ascii="Times New Roman;sans-serif" w:hAnsi="Times New Roman;sans-serif"/>
          <w:b/>
          <w:color w:val="000000"/>
          <w:sz w:val="22"/>
        </w:rPr>
        <w:t>SEPARATION FROM SERVICE; CHANGE IN CONTROL</w:t>
      </w:r>
    </w:p>
    <w:p>
      <w:pPr>
        <w:pStyle w:val="TextBody"/>
        <w:spacing w:lineRule="auto" w:line="240" w:before="0" w:after="240"/>
        <w:ind w:left="0" w:right="0" w:firstLine="720"/>
        <w:jc w:val="both"/>
        <w:rPr/>
      </w:pPr>
      <w:r>
        <w:rPr>
          <w:rFonts w:ascii="Times New Roman;sans-serif" w:hAnsi="Times New Roman;sans-serif"/>
          <w:b w:val="false"/>
          <w:color w:val="000000"/>
          <w:sz w:val="22"/>
        </w:rPr>
        <w:t>3.1    </w:t>
      </w:r>
      <w:r>
        <w:rPr>
          <w:rFonts w:ascii="Times New Roman;sans-serif" w:hAnsi="Times New Roman;sans-serif"/>
          <w:b w:val="false"/>
          <w:color w:val="000000"/>
          <w:sz w:val="22"/>
          <w:u w:val="single"/>
        </w:rPr>
        <w:t>In General</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3.2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3.3</w:t>
      </w:r>
      <w:r>
        <w:rPr>
          <w:rFonts w:ascii="Times New Roman;sans-serif" w:hAnsi="Times New Roman;sans-serif"/>
          <w:b w:val="false"/>
          <w:color w:val="000000"/>
          <w:sz w:val="22"/>
        </w:rPr>
        <w:t xml:space="preserve">, in the event that Grantee Separates from Service for any reason, other than death or Disability, prior to the settlement of this Performance Share Unit Award pursuant to </w:t>
      </w:r>
      <w:r>
        <w:rPr>
          <w:rFonts w:ascii="Times New Roman;sans-serif" w:hAnsi="Times New Roman;sans-serif"/>
          <w:b w:val="false"/>
          <w:color w:val="000000"/>
          <w:sz w:val="22"/>
          <w:u w:val="single"/>
        </w:rPr>
        <w:t>Section 2.3</w:t>
      </w:r>
      <w:r>
        <w:rPr>
          <w:rFonts w:ascii="Times New Roman;sans-serif" w:hAnsi="Times New Roman;sans-serif"/>
          <w:b w:val="false"/>
          <w:color w:val="000000"/>
          <w:sz w:val="22"/>
        </w:rPr>
        <w:t>, all unvested Performance Share Units shall be immediately forfeited and Grantee shall have no further rights with respect to such Performance Share Units, except as may be determined otherwise by the Committee in its the sole and absolute discretion.</w:t>
      </w:r>
    </w:p>
    <w:p>
      <w:pPr>
        <w:pStyle w:val="TextBody"/>
        <w:spacing w:lineRule="auto" w:line="240" w:before="0" w:after="240"/>
        <w:ind w:left="0" w:right="0" w:firstLine="720"/>
        <w:jc w:val="both"/>
        <w:rPr/>
      </w:pPr>
      <w:r>
        <w:rPr>
          <w:rFonts w:ascii="Times New Roman;sans-serif" w:hAnsi="Times New Roman;sans-serif"/>
          <w:b w:val="false"/>
          <w:color w:val="000000"/>
          <w:sz w:val="22"/>
        </w:rPr>
        <w:t>3.2    </w:t>
      </w:r>
      <w:r>
        <w:rPr>
          <w:rFonts w:ascii="Times New Roman;sans-serif" w:hAnsi="Times New Roman;sans-serif"/>
          <w:b w:val="false"/>
          <w:color w:val="000000"/>
          <w:sz w:val="22"/>
          <w:u w:val="single"/>
        </w:rPr>
        <w:t>Death or Disability</w:t>
      </w:r>
      <w:r>
        <w:rPr>
          <w:rFonts w:ascii="Times New Roman;sans-serif" w:hAnsi="Times New Roman;sans-serif"/>
          <w:b w:val="false"/>
          <w:color w:val="000000"/>
          <w:sz w:val="22"/>
        </w:rPr>
        <w:t xml:space="preserve">. In the event that Grantee Separates from Service by reason of death or Disability, the Earned Shares shall be deemed vested (and the date of the Grantee’s death or Disability shall be the Vesting Date with respect to such Performance Share Units which shall thereupon settle in accordance with </w:t>
      </w:r>
      <w:r>
        <w:rPr>
          <w:rFonts w:ascii="Times New Roman;sans-serif" w:hAnsi="Times New Roman;sans-serif"/>
          <w:b w:val="false"/>
          <w:color w:val="000000"/>
          <w:sz w:val="22"/>
          <w:u w:val="single"/>
        </w:rPr>
        <w:t>Section 2.3</w:t>
      </w:r>
      <w:r>
        <w:rPr>
          <w:color w:val="000000"/>
        </w:rPr>
        <w:t xml:space="preserve"> </w:t>
      </w:r>
      <w:r>
        <w:rPr>
          <w:rFonts w:ascii="Times New Roman;sans-serif" w:hAnsi="Times New Roman;sans-serif"/>
          <w:b w:val="false"/>
          <w:color w:val="000000"/>
          <w:sz w:val="22"/>
        </w:rPr>
        <w:t xml:space="preserve">hereof. </w:t>
      </w:r>
    </w:p>
    <w:p>
      <w:pPr>
        <w:pStyle w:val="TextBody"/>
        <w:spacing w:lineRule="auto" w:line="240" w:before="0" w:after="240"/>
        <w:ind w:left="0" w:right="0" w:firstLine="720"/>
        <w:jc w:val="both"/>
        <w:rPr/>
      </w:pPr>
      <w:r>
        <w:rPr>
          <w:rFonts w:ascii="Times New Roman;sans-serif" w:hAnsi="Times New Roman;sans-serif"/>
          <w:b w:val="false"/>
          <w:color w:val="000000"/>
          <w:sz w:val="22"/>
        </w:rPr>
        <w:t>3.3    </w:t>
      </w:r>
      <w:r>
        <w:rPr>
          <w:rFonts w:ascii="Times New Roman;sans-serif" w:hAnsi="Times New Roman;sans-serif"/>
          <w:b w:val="false"/>
          <w:color w:val="000000"/>
          <w:sz w:val="22"/>
          <w:u w:val="single"/>
        </w:rPr>
        <w:t>Qualifying Termination.</w:t>
      </w:r>
      <w:r>
        <w:rPr>
          <w:color w:val="000000"/>
        </w:rPr>
        <w:t xml:space="preserve"> </w:t>
      </w:r>
      <w:r>
        <w:rPr>
          <w:rFonts w:ascii="Times New Roman;sans-serif" w:hAnsi="Times New Roman;sans-serif"/>
          <w:b w:val="false"/>
          <w:color w:val="000000"/>
          <w:sz w:val="22"/>
        </w:rPr>
        <w:t>In the event of a Separation from Service for a Qualifying Termination (as defined in that certain Separation Agreement, dated May 22, 2023, by and between the Company and the Grantee (the “</w:t>
      </w:r>
      <w:r>
        <w:rPr>
          <w:rFonts w:ascii="Times New Roman;sans-serif" w:hAnsi="Times New Roman;sans-serif"/>
          <w:b w:val="false"/>
          <w:color w:val="000000"/>
          <w:sz w:val="22"/>
          <w:u w:val="single"/>
        </w:rPr>
        <w:t>Separation Agreement</w:t>
      </w:r>
      <w:r>
        <w:rPr>
          <w:color w:val="000000"/>
        </w:rPr>
        <w:t>”</w:t>
      </w:r>
      <w:r>
        <w:rPr>
          <w:rFonts w:ascii="Times New Roman;sans-serif" w:hAnsi="Times New Roman;sans-serif"/>
          <w:b w:val="false"/>
          <w:color w:val="000000"/>
          <w:sz w:val="22"/>
        </w:rPr>
        <w:t xml:space="preserve">)), the Earned Shares shall be deemed vested, and the date of the Separation from Service shall be the Vesting Date with respect to such Performance Share Units which shall thereupon settle in accordance with </w:t>
      </w:r>
      <w:r>
        <w:rPr>
          <w:rFonts w:ascii="Times New Roman;sans-serif" w:hAnsi="Times New Roman;sans-serif"/>
          <w:b w:val="false"/>
          <w:color w:val="000000"/>
          <w:sz w:val="22"/>
          <w:u w:val="single"/>
        </w:rPr>
        <w:t>Section 2.3</w:t>
      </w:r>
      <w:r>
        <w:rPr>
          <w:color w:val="000000"/>
        </w:rPr>
        <w:t xml:space="preserve"> </w:t>
      </w:r>
      <w:r>
        <w:rPr>
          <w:rFonts w:ascii="Times New Roman;sans-serif" w:hAnsi="Times New Roman;sans-serif"/>
          <w:b w:val="false"/>
          <w:color w:val="000000"/>
          <w:sz w:val="22"/>
        </w:rPr>
        <w:t xml:space="preserve">hereof. Notwithstanding anything to the contrary in the foregoing, (i) on the date that is six (6) months after the date of such Separation from Service for a Qualifying Termination, in addition to the Earned Shares that were deemed vested on the date of such Separation from Service, to the extent that additional Performance Share Units would have become Earned Shares had the Performance Period continued for such additional six (6) month period, on such date those additional Earned Shares shall be deemed vested, the Vesting Date shall be on such date that is six (6) months following the Qualifying Termination and such additional Earned Shares shall be settled in accordance with </w:t>
      </w:r>
      <w:r>
        <w:rPr>
          <w:rFonts w:ascii="Times New Roman;sans-serif" w:hAnsi="Times New Roman;sans-serif"/>
          <w:b w:val="false"/>
          <w:color w:val="000000"/>
          <w:sz w:val="22"/>
          <w:u w:val="single"/>
        </w:rPr>
        <w:t>Section 2.3</w:t>
      </w:r>
      <w:r>
        <w:rPr>
          <w:color w:val="000000"/>
        </w:rPr>
        <w:t xml:space="preserve"> </w:t>
      </w:r>
      <w:r>
        <w:rPr>
          <w:rFonts w:ascii="Times New Roman;sans-serif" w:hAnsi="Times New Roman;sans-serif"/>
          <w:b w:val="false"/>
          <w:color w:val="000000"/>
          <w:sz w:val="22"/>
        </w:rPr>
        <w:t>hereof; provided, however, (ii) if during such additional six (6) month period there is the occurrence of a Change in Control, any additional Earned Shares that would have otherwise been earned based on the Change in Control consideration shall be deemed vested and the Vesting Date shall be immediately preceding the closing of such Change in Control with the Shares issuable for such Performance Share Units participating in the proceeds of the Change in Control. After the closing of such Change in Control, any additional vesting under subpart (i) above shall immediately terminate.</w:t>
      </w:r>
    </w:p>
    <w:p>
      <w:pPr>
        <w:pStyle w:val="TextBody"/>
        <w:spacing w:lineRule="auto" w:line="240" w:before="0" w:after="240"/>
        <w:ind w:left="0" w:right="0" w:firstLine="720"/>
        <w:jc w:val="both"/>
        <w:rPr/>
      </w:pPr>
      <w:r>
        <w:rPr>
          <w:rFonts w:ascii="Times New Roman;sans-serif" w:hAnsi="Times New Roman;sans-serif"/>
          <w:b w:val="false"/>
          <w:color w:val="000000"/>
          <w:sz w:val="22"/>
        </w:rPr>
        <w:t>3.4    </w:t>
      </w:r>
      <w:r>
        <w:rPr>
          <w:rFonts w:ascii="Times New Roman;sans-serif" w:hAnsi="Times New Roman;sans-serif"/>
          <w:b w:val="false"/>
          <w:color w:val="000000"/>
          <w:sz w:val="22"/>
          <w:u w:val="single"/>
        </w:rPr>
        <w:t>Change in Control</w:t>
      </w:r>
      <w:r>
        <w:rPr>
          <w:rFonts w:ascii="Times New Roman;sans-serif" w:hAnsi="Times New Roman;sans-serif"/>
          <w:b w:val="false"/>
          <w:color w:val="000000"/>
          <w:sz w:val="22"/>
        </w:rPr>
        <w:t>. Upon the occurrence of a Change in Control, all Earned Shares (including those earned based on the Change in Control consideration) shall be deemed vested and the Vesting Date shall be immediately preceding the closing of such Change in Control with the Shares issuable for such Performance Share Units participating in the proceeds of the Change in Control.</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IV</w:t>
        <w:br/>
        <w:t>OTHER PROVISIONS</w:t>
      </w:r>
    </w:p>
    <w:p>
      <w:pPr>
        <w:pStyle w:val="TextBody"/>
        <w:spacing w:lineRule="auto" w:line="240" w:before="0" w:after="240"/>
        <w:ind w:left="0" w:right="0" w:firstLine="720"/>
        <w:jc w:val="both"/>
        <w:rPr/>
      </w:pPr>
      <w:r>
        <w:rPr>
          <w:rFonts w:ascii="Times New Roman;sans-serif" w:hAnsi="Times New Roman;sans-serif"/>
          <w:b w:val="false"/>
          <w:color w:val="000000"/>
          <w:sz w:val="22"/>
        </w:rPr>
        <w:t>4.1    </w:t>
      </w:r>
      <w:r>
        <w:rPr>
          <w:rFonts w:ascii="Times New Roman;sans-serif" w:hAnsi="Times New Roman;sans-serif"/>
          <w:b w:val="false"/>
          <w:color w:val="000000"/>
          <w:sz w:val="22"/>
          <w:u w:val="single"/>
        </w:rPr>
        <w:t>No Transfer or Pledge of Performance Share Units</w:t>
      </w:r>
      <w:r>
        <w:rPr>
          <w:rFonts w:ascii="Times New Roman;sans-serif" w:hAnsi="Times New Roman;sans-serif"/>
          <w:b w:val="false"/>
          <w:color w:val="000000"/>
          <w:sz w:val="22"/>
        </w:rPr>
        <w:t xml:space="preserve">. The Performance Share Units may not be assigned, alienated, pledged, attached, sold or otherwise transferred or encumbered by the Grantee other than by will or the laws of descent and distribution. Any sale, assignment, transfer, pledge, </w:t>
      </w:r>
      <w:r>
        <w:br w:type="page"/>
      </w: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hypothecation, loan or other disposition other than in accordance with this </w:t>
      </w:r>
      <w:r>
        <w:rPr>
          <w:rFonts w:ascii="Times New Roman;sans-serif" w:hAnsi="Times New Roman;sans-serif"/>
          <w:b w:val="false"/>
          <w:color w:val="000000"/>
          <w:sz w:val="22"/>
          <w:u w:val="single"/>
        </w:rPr>
        <w:t>Section 4.1</w:t>
      </w:r>
      <w:r>
        <w:rPr>
          <w:color w:val="000000"/>
        </w:rPr>
        <w:t xml:space="preserve"> </w:t>
      </w:r>
      <w:r>
        <w:rPr>
          <w:rFonts w:ascii="Times New Roman;sans-serif" w:hAnsi="Times New Roman;sans-serif"/>
          <w:b w:val="false"/>
          <w:color w:val="000000"/>
          <w:sz w:val="22"/>
        </w:rPr>
        <w:t>shall be null and void.</w:t>
      </w:r>
    </w:p>
    <w:p>
      <w:pPr>
        <w:pStyle w:val="TextBody"/>
        <w:spacing w:lineRule="auto" w:line="240" w:before="0" w:after="240"/>
        <w:ind w:left="0" w:right="0" w:firstLine="720"/>
        <w:jc w:val="both"/>
        <w:rPr/>
      </w:pPr>
      <w:r>
        <w:rPr>
          <w:rFonts w:ascii="Times New Roman;sans-serif" w:hAnsi="Times New Roman;sans-serif"/>
          <w:b w:val="false"/>
          <w:color w:val="000000"/>
          <w:sz w:val="22"/>
        </w:rPr>
        <w:t>4.2    </w:t>
      </w:r>
      <w:r>
        <w:rPr>
          <w:rFonts w:ascii="Times New Roman;sans-serif" w:hAnsi="Times New Roman;sans-serif"/>
          <w:b w:val="false"/>
          <w:color w:val="000000"/>
          <w:sz w:val="22"/>
          <w:u w:val="single"/>
        </w:rPr>
        <w:t>Tax Withholding</w:t>
      </w:r>
      <w:r>
        <w:rPr>
          <w:rFonts w:ascii="Times New Roman;sans-serif" w:hAnsi="Times New Roman;sans-serif"/>
          <w:b w:val="false"/>
          <w:color w:val="000000"/>
          <w:sz w:val="22"/>
        </w:rPr>
        <w:t>. The Company's obligation to settle vested Performance Share Units shall be subject to the Grantee's satisfaction of any applicable federal, state, local and foreign withholding obligations or withholding taxes, including any employer minimum statutory withholding (“</w:t>
      </w:r>
      <w:r>
        <w:rPr>
          <w:rFonts w:ascii="Times New Roman;sans-serif" w:hAnsi="Times New Roman;sans-serif"/>
          <w:b w:val="false"/>
          <w:color w:val="000000"/>
          <w:sz w:val="22"/>
          <w:u w:val="single"/>
        </w:rPr>
        <w:t>Withholding Taxes</w:t>
      </w:r>
      <w:r>
        <w:rPr>
          <w:color w:val="000000"/>
        </w:rPr>
        <w:t>”</w:t>
      </w:r>
      <w:r>
        <w:rPr>
          <w:rFonts w:ascii="Times New Roman;sans-serif" w:hAnsi="Times New Roman;sans-serif"/>
          <w:b w:val="false"/>
          <w:color w:val="000000"/>
          <w:sz w:val="22"/>
        </w:rPr>
        <w:t xml:space="preserve">), and the Grantee shall pay the amount of any such Withholding Taxes to the Company as set forth in this </w:t>
      </w:r>
      <w:r>
        <w:rPr>
          <w:rFonts w:ascii="Times New Roman;sans-serif" w:hAnsi="Times New Roman;sans-serif"/>
          <w:b w:val="false"/>
          <w:color w:val="000000"/>
          <w:sz w:val="22"/>
          <w:u w:val="single"/>
        </w:rPr>
        <w:t>Section 4.2</w:t>
      </w:r>
      <w:r>
        <w:rPr>
          <w:rFonts w:ascii="Times New Roman;sans-serif" w:hAnsi="Times New Roman;sans-serif"/>
          <w:b w:val="false"/>
          <w:color w:val="000000"/>
          <w:sz w:val="22"/>
        </w:rPr>
        <w:t>. The Grantee may satisfy his or her obligation to pay the Withholding Taxes by: (i) making a cash payment to the Company in an amount equal to the Withholding Taxes; (ii) having the Company withhold Shares otherwise deliverable to the Grantee pursuant to settlement of vested Performance Share Units; or (iii) delivering, actually or by attestation, to the Company Shares already owned by the Grantee; provided that in the case of (ii) or (iii) the amount of such Shares withheld or Shares delivered (with the value of such Shares being based on the Fair Market Value of a Share as of the payment date as determined by the Committee) shall be reasonably determined in good faith by the Committee. The Grantee acknowledges and agrees that the Company has the right to deduct from compensation or other amounts owing to the Grantee an amount not to exceed the Withholding Taxes. Neither the Company nor any Subsidiary makes any representation or undertaking regarding the treatment of any tax withholding in connection with the awarding or vesting of the Performance Share Units or the subsequent sale of Shares.  The Company and the Subsidiaries do not commit and are under no obligation to structure this Performance Share Unit Award to reduce or eliminate Grantee’s tax liability.</w:t>
      </w:r>
    </w:p>
    <w:p>
      <w:pPr>
        <w:pStyle w:val="TextBody"/>
        <w:spacing w:lineRule="auto" w:line="240" w:before="0" w:after="240"/>
        <w:ind w:left="0" w:right="0" w:firstLine="720"/>
        <w:jc w:val="both"/>
        <w:rPr/>
      </w:pPr>
      <w:r>
        <w:rPr>
          <w:rFonts w:ascii="Times New Roman;sans-serif" w:hAnsi="Times New Roman;sans-serif"/>
          <w:b w:val="false"/>
          <w:color w:val="000000"/>
          <w:sz w:val="22"/>
        </w:rPr>
        <w:t>4.3    </w:t>
      </w:r>
      <w:r>
        <w:rPr>
          <w:rFonts w:ascii="Times New Roman;sans-serif" w:hAnsi="Times New Roman;sans-serif"/>
          <w:b w:val="false"/>
          <w:color w:val="000000"/>
          <w:sz w:val="22"/>
          <w:u w:val="single"/>
        </w:rPr>
        <w:t>Stock Subject to Award</w:t>
      </w:r>
      <w:r>
        <w:rPr>
          <w:rFonts w:ascii="Times New Roman;sans-serif" w:hAnsi="Times New Roman;sans-serif"/>
          <w:b w:val="false"/>
          <w:color w:val="000000"/>
          <w:sz w:val="22"/>
        </w:rPr>
        <w:t>. In the event that the Company Shares should, as a result of a stock split or stock dividend or combination of shares or any other change, redesignation, merger, consolidation, recapitalization or otherwise, be increased or decreased or changed into or exchanged for a different number or kind of shares of stock or other securities of the Company or of another corporation, the number of Performance Share Units that have been awarded to Grantee shall be adjusted in an equitable and proportionate manner to reflect such action.  If any such adjustment shall result in a fractional share, such fraction shall be disregarded.</w:t>
      </w:r>
    </w:p>
    <w:p>
      <w:pPr>
        <w:pStyle w:val="TextBody"/>
        <w:spacing w:lineRule="auto" w:line="240" w:before="0" w:after="240"/>
        <w:ind w:left="0" w:right="0" w:firstLine="720"/>
        <w:jc w:val="both"/>
        <w:rPr/>
      </w:pPr>
      <w:r>
        <w:rPr>
          <w:rFonts w:ascii="Times New Roman;sans-serif" w:hAnsi="Times New Roman;sans-serif"/>
          <w:b w:val="false"/>
          <w:color w:val="000000"/>
          <w:sz w:val="22"/>
        </w:rPr>
        <w:t>4.4    </w:t>
      </w:r>
      <w:r>
        <w:rPr>
          <w:rFonts w:ascii="Times New Roman;sans-serif" w:hAnsi="Times New Roman;sans-serif"/>
          <w:b w:val="false"/>
          <w:color w:val="000000"/>
          <w:sz w:val="22"/>
          <w:u w:val="single"/>
        </w:rPr>
        <w:t>Section 409A</w:t>
      </w:r>
      <w:r>
        <w:rPr>
          <w:rFonts w:ascii="Times New Roman;sans-serif" w:hAnsi="Times New Roman;sans-serif"/>
          <w:b w:val="false"/>
          <w:color w:val="000000"/>
          <w:sz w:val="22"/>
        </w:rPr>
        <w:t xml:space="preserve">. Notwithstanding anything herein to the contrary, to the maximum extent permitted by applicable law, the settlement of the Performance Share Units (including any dividend equivalent rights related thereto) to be made to the Grantee pursuant to this Agreement is intended to qualify as a “short-term deferral” pursuant to Section 1.409A-1(b)(4) of the Treasury Regulations and this Agreement shall be interpreted consistently therewith. However, under certain circumstances, settlement of the Performance Share Units or any dividend equivalent rights may not so qualify, and in that case, the Committee shall administer the grant and settlement of such Performance Share Units and any dividend equivalent rights in strict compliance with Section 409A of the Code. Further, notwithstanding anything herein to the contrary, if at the time of a Grantee’s termination of employment with the Company and its Subsidiaries,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Grantee’s termination of employment with the Company (or the earliest date as is permitted under Section 409A of the Code), if such payment or benefit is payable upon a termination of employment. Each payment of Performance Units (and related dividend equivalent units) constitutes a “separate payment” for purposes of Section 409A of the Code. </w:t>
      </w:r>
    </w:p>
    <w:p>
      <w:pPr>
        <w:pStyle w:val="TextBody"/>
        <w:spacing w:lineRule="auto" w:line="240" w:before="0" w:after="240"/>
        <w:ind w:left="0" w:right="0" w:firstLine="720"/>
        <w:jc w:val="both"/>
        <w:rPr/>
      </w:pPr>
      <w:r>
        <w:rPr>
          <w:rFonts w:ascii="Times New Roman;sans-serif" w:hAnsi="Times New Roman;sans-serif"/>
          <w:b w:val="false"/>
          <w:color w:val="000000"/>
          <w:sz w:val="22"/>
        </w:rPr>
        <w:t>4.5    </w:t>
      </w:r>
      <w:r>
        <w:rPr>
          <w:rFonts w:ascii="Times New Roman;sans-serif" w:hAnsi="Times New Roman;sans-serif"/>
          <w:b w:val="false"/>
          <w:color w:val="000000"/>
          <w:sz w:val="22"/>
          <w:u w:val="single"/>
        </w:rPr>
        <w:t>No Right to Continued Employment</w:t>
      </w:r>
      <w:r>
        <w:rPr>
          <w:rFonts w:ascii="Times New Roman;sans-serif" w:hAnsi="Times New Roman;sans-serif"/>
          <w:b w:val="false"/>
          <w:color w:val="000000"/>
          <w:sz w:val="22"/>
        </w:rPr>
        <w:t>. This Agreement shall not be construed as giving the Grantee the right to be retained in the employ of the Company (or any Subsidiary of the Company), and the Company (or any Subsidiary of the Company) may at any time dismiss the Grantee from employment, free from any liability or any claim under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4.6    </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contains the entire understanding and agreement between the Company and the Grantee concerning the Performance Share Units granted hereby, and supersede any prior or contemporaneous negotiations and understandings. The Company and the Grantee have made no promises, agreements, conditions or understandings relating to the Performance Share Units, either orally or in writing, that are not included in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4.7    </w:t>
      </w:r>
      <w:r>
        <w:rPr>
          <w:rFonts w:ascii="Times New Roman;sans-serif" w:hAnsi="Times New Roman;sans-serif"/>
          <w:b w:val="false"/>
          <w:color w:val="000000"/>
          <w:sz w:val="22"/>
          <w:u w:val="single"/>
        </w:rPr>
        <w:t>Captions</w:t>
      </w:r>
      <w:r>
        <w:rPr>
          <w:rFonts w:ascii="Times New Roman;sans-serif" w:hAnsi="Times New Roman;sans-serif"/>
          <w:b w:val="false"/>
          <w:color w:val="000000"/>
          <w:sz w:val="22"/>
        </w:rPr>
        <w:t>. The captions and section numbers appearing in this Agreement are inserted only as a matter of convenience. They do not define, limit, construe or describe the scope or intent of the provisions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4.8    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The Grant Notice may be executed in one or more counterparts, including by way of any electronic signature, subject to applicable law, each of which shall be deemed an original and all of which together shall constitute one instrument.</w:t>
      </w:r>
    </w:p>
    <w:p>
      <w:pPr>
        <w:pStyle w:val="TextBody"/>
        <w:spacing w:lineRule="auto" w:line="240" w:before="0" w:after="240"/>
        <w:ind w:left="0" w:right="0" w:firstLine="720"/>
        <w:jc w:val="both"/>
        <w:rPr/>
      </w:pPr>
      <w:r>
        <w:rPr>
          <w:rFonts w:ascii="Times New Roman;sans-serif" w:hAnsi="Times New Roman;sans-serif"/>
          <w:b w:val="false"/>
          <w:color w:val="000000"/>
          <w:sz w:val="22"/>
        </w:rPr>
        <w:t>4.9    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Times New Roman;sans-serif" w:hAnsi="Times New Roman;sans-serif"/>
          <w:b w:val="false"/>
          <w:color w:val="000000"/>
          <w:sz w:val="22"/>
          <w:u w:val="single"/>
        </w:rPr>
        <w:t>Section 4.9</w:t>
      </w:r>
      <w:r>
        <w:rPr>
          <w:rFonts w:ascii="Times New Roman;sans-serif" w:hAnsi="Times New Roman;sans-serif"/>
          <w:b w:val="false"/>
          <w:color w:val="000000"/>
          <w:sz w:val="22"/>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spacing w:lineRule="auto" w:line="240" w:before="0" w:after="240"/>
        <w:ind w:left="0" w:right="0" w:firstLine="720"/>
        <w:jc w:val="both"/>
        <w:rPr/>
      </w:pPr>
      <w:r>
        <w:rPr>
          <w:rFonts w:ascii="Times New Roman;sans-serif" w:hAnsi="Times New Roman;sans-serif"/>
          <w:b w:val="false"/>
          <w:color w:val="000000"/>
          <w:sz w:val="22"/>
        </w:rPr>
        <w:t>4.10    </w:t>
      </w:r>
      <w:r>
        <w:rPr>
          <w:rFonts w:ascii="Times New Roman;sans-serif" w:hAnsi="Times New Roman;sans-serif"/>
          <w:b w:val="false"/>
          <w:color w:val="000000"/>
          <w:sz w:val="22"/>
          <w:u w:val="single"/>
        </w:rPr>
        <w:t>Amendment</w:t>
      </w:r>
      <w:r>
        <w:rPr>
          <w:rFonts w:ascii="Times New Roman;sans-serif" w:hAnsi="Times New Roman;sans-serif"/>
          <w:b w:val="false"/>
          <w:color w:val="000000"/>
          <w:sz w:val="22"/>
        </w:rPr>
        <w:t xml:space="preserve">. This Agreement may be wholly or partially amended or otherwise modified, suspended or terminated at any time or from time to time by the Committee or the Board,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amendment, modification, suspension or termination of this Agreement shall adversely affect this Performance Share Unit Award in any material way without the prior written consent of Grantee.</w:t>
      </w:r>
    </w:p>
    <w:p>
      <w:pPr>
        <w:pStyle w:val="TextBody"/>
        <w:spacing w:lineRule="auto" w:line="240" w:before="0" w:after="240"/>
        <w:ind w:left="0" w:right="0" w:firstLine="720"/>
        <w:jc w:val="both"/>
        <w:rPr/>
      </w:pPr>
      <w:r>
        <w:rPr>
          <w:rFonts w:ascii="Times New Roman;sans-serif" w:hAnsi="Times New Roman;sans-serif"/>
          <w:b w:val="false"/>
          <w:color w:val="000000"/>
          <w:sz w:val="22"/>
        </w:rPr>
        <w:t>4.11    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Times New Roman;sans-serif" w:hAnsi="Times New Roman;sans-serif"/>
          <w:b w:val="false"/>
          <w:color w:val="000000"/>
          <w:sz w:val="22"/>
          <w:u w:val="single"/>
        </w:rPr>
        <w:t>Section 4.1</w:t>
      </w:r>
      <w:r>
        <w:rPr>
          <w:color w:val="000000"/>
        </w:rPr>
        <w:t xml:space="preserve"> </w:t>
      </w:r>
      <w:r>
        <w:rPr>
          <w:rFonts w:ascii="Times New Roman;sans-serif" w:hAnsi="Times New Roman;sans-serif"/>
          <w:b w:val="false"/>
          <w:color w:val="000000"/>
          <w:sz w:val="22"/>
        </w:rPr>
        <w:t>hereof, this Agreement shall be binding upon and inure to the benefit of the heirs, legatees, legal representatives, successors and assigns of the parties hereto.</w:t>
      </w:r>
    </w:p>
    <w:p>
      <w:pPr>
        <w:pStyle w:val="TextBody"/>
        <w:spacing w:lineRule="auto" w:line="240" w:before="0" w:after="240"/>
        <w:ind w:left="0" w:right="0" w:firstLine="720"/>
        <w:jc w:val="both"/>
        <w:rPr/>
      </w:pPr>
      <w:r>
        <w:rPr>
          <w:rFonts w:ascii="Times New Roman;sans-serif" w:hAnsi="Times New Roman;sans-serif"/>
          <w:b w:val="false"/>
          <w:color w:val="000000"/>
          <w:sz w:val="22"/>
        </w:rPr>
        <w:t>4.12    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The laws of the State of Delaware shall govern the interpretation, validity, administration, enforcement and performance of the terms of this Agreement regardless of the law that might be applied under principles of conflicts of laws.</w:t>
      </w:r>
    </w:p>
    <w:p>
      <w:pPr>
        <w:pStyle w:val="TextBody"/>
        <w:spacing w:lineRule="auto" w:line="240" w:before="0" w:after="240"/>
        <w:ind w:left="0" w:right="0" w:firstLine="720"/>
        <w:jc w:val="both"/>
        <w:rPr/>
      </w:pPr>
      <w:r>
        <w:rPr>
          <w:rFonts w:ascii="Times New Roman;sans-serif" w:hAnsi="Times New Roman;sans-serif"/>
          <w:b w:val="false"/>
          <w:color w:val="000000"/>
          <w:sz w:val="22"/>
        </w:rPr>
        <w:t>4.13    </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Grantee acknowledges that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Performance Share Units are granted only in such a manner as to conform to applicable law. To the extent permitted by applicable law and this Agreement shall be deemed amended to the extent necessary to conform to applicable law.</w:t>
      </w:r>
    </w:p>
    <w:p>
      <w:pPr>
        <w:pStyle w:val="TextBody"/>
        <w:spacing w:lineRule="auto" w:line="240" w:before="0" w:after="240"/>
        <w:ind w:left="0" w:right="0" w:firstLine="720"/>
        <w:jc w:val="both"/>
        <w:rPr/>
      </w:pPr>
      <w:r>
        <w:rPr>
          <w:rFonts w:ascii="Times New Roman;sans-serif" w:hAnsi="Times New Roman;sans-serif"/>
          <w:b w:val="false"/>
          <w:color w:val="000000"/>
          <w:sz w:val="22"/>
        </w:rPr>
        <w:t>4.14    </w:t>
      </w:r>
      <w:r>
        <w:rPr>
          <w:rFonts w:ascii="Times New Roman;sans-serif" w:hAnsi="Times New Roman;sans-serif"/>
          <w:b w:val="false"/>
          <w:color w:val="000000"/>
          <w:sz w:val="22"/>
          <w:u w:val="single"/>
        </w:rPr>
        <w:t>Agreement Severable</w:t>
      </w:r>
      <w:r>
        <w:rPr>
          <w:rFonts w:ascii="Times New Roman;sans-serif" w:hAnsi="Times New Roman;sans-serif"/>
          <w:b w:val="false"/>
          <w:color w:val="000000"/>
          <w:sz w:val="22"/>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4.15    </w:t>
      </w:r>
      <w:r>
        <w:rPr>
          <w:rFonts w:ascii="Times New Roman;sans-serif" w:hAnsi="Times New Roman;sans-serif"/>
          <w:b w:val="false"/>
          <w:color w:val="000000"/>
          <w:sz w:val="22"/>
          <w:u w:val="single"/>
        </w:rPr>
        <w:t>Clawback</w:t>
      </w:r>
      <w:r>
        <w:rPr>
          <w:rFonts w:ascii="Times New Roman;sans-serif" w:hAnsi="Times New Roman;sans-serif"/>
          <w:b w:val="false"/>
          <w:color w:val="000000"/>
          <w:sz w:val="22"/>
        </w:rPr>
        <w:t>. Any Shares or cash issued pursuant to this Award shall be subject to mandatory repayment by the Grantee to the Company to the extent that such Grantee or such Shares are, or in the future become, subject to (a) any “clawback” or recoupment policy adopted by the Company or any Subsidiary thereof in order to comply with the requirements of any applicable laws, rules or regulations or stock exchange listing requirement,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pStyle w:val="TextBody"/>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[remainder of this page intentionally left blank]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40" w:before="180" w:after="12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A-1</w:t>
      </w:r>
    </w:p>
    <w:p>
      <w:pPr>
        <w:pStyle w:val="TextBody"/>
        <w:spacing w:lineRule="auto" w:line="240" w:before="0" w:after="120"/>
        <w:jc w:val="center"/>
        <w:rPr>
          <w:rFonts w:ascii="Times New Roman;sans-serif" w:hAnsi="Times New Roman;sans-serif"/>
          <w:b/>
          <w:color w:val="000000"/>
          <w:sz w:val="22"/>
        </w:rPr>
      </w:pPr>
      <w:r>
        <w:rPr>
          <w:rFonts w:ascii="Times New Roman;sans-serif" w:hAnsi="Times New Roman;sans-serif"/>
          <w:b/>
          <w:color w:val="000000"/>
          <w:sz w:val="22"/>
        </w:rPr>
        <w:t>Performance Goals</w:t>
      </w:r>
    </w:p>
    <w:p>
      <w:pPr>
        <w:pStyle w:val="TextBody"/>
        <w:spacing w:before="0" w:after="0"/>
        <w:jc w:val="center"/>
        <w:rPr/>
      </w:pPr>
      <w:r>
        <w:rPr/>
      </w:r>
    </w:p>
    <w:p>
      <w:pPr>
        <w:pStyle w:val="TextBody"/>
        <w:spacing w:lineRule="auto" w:line="240" w:before="0" w:after="0"/>
        <w:rPr/>
      </w:pPr>
      <w:r>
        <w:rPr>
          <w:rFonts w:ascii="Times New Roman;sans-serif" w:hAnsi="Times New Roman;sans-serif"/>
          <w:b/>
          <w:color w:val="000000"/>
          <w:sz w:val="22"/>
        </w:rPr>
        <w:t>Performance Period:</w:t>
      </w:r>
      <w:r>
        <w:rPr>
          <w:color w:val="000000"/>
        </w:rPr>
        <w:t xml:space="preserve"> </w:t>
      </w:r>
      <w:r>
        <w:rPr>
          <w:rFonts w:ascii="Times New Roman;sans-serif" w:hAnsi="Times New Roman;sans-serif"/>
          <w:b w:val="false"/>
          <w:color w:val="000000"/>
          <w:sz w:val="22"/>
        </w:rPr>
        <w:t>May 22, 2023 through May 21, 2028</w:t>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Stock Price:</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2"/>
        </w:rPr>
        <w:t>Subject to the terms and conditions of this Agreement, Executive shall be entitled to receive up to 2,500,000 PSUs during the Performance Period, as illustrated in the below table. Executive shall earn 250,000 PSUs upon the Average Stock Price of the Company’s common stock, par value $0.01 per share (“Common Stock”)</w:t>
      </w:r>
      <w:r>
        <w:rPr>
          <w:color w:val="000000"/>
        </w:rPr>
        <w:t xml:space="preserve"> </w:t>
      </w:r>
      <w:r>
        <w:rPr>
          <w:rFonts w:ascii="Times New Roman;sans-serif" w:hAnsi="Times New Roman;sans-serif"/>
          <w:b w:val="false"/>
          <w:color w:val="000000"/>
          <w:sz w:val="22"/>
        </w:rPr>
        <w:t>during any twenty (20) consecutive trading days (each a “Measurement Period”) within the Performance Period, meeting or exceeding $2.00, with Executive earning additional PSUs in increments of 250,000 for each dollar increase to the Average Stock Price thereafter, with a cap of $11.00 on the measurement of the Average Stock Price. For purposes of this Exhibit A-1, “Average Stock Price” shall be calculated based on the Fair Market Value of a share of Common Stock on each day during the Measurement Period, divided by twenty (20). For purposes of this Exhibit A-1, “Fair Market Value” means, as of any given date, the closing price of a share of the Common Stock on the Nasdaq Stock Market LLC (or any successor exchange). For the avoidance of doubt, there shall be no interpolation between the Average Stock Prices.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Subject to Article III, PSUs earned in the Performance Period (the “Earned Shares”) will vest at the end of the Performance Period.</w:t>
      </w:r>
    </w:p>
    <w:p>
      <w:pPr>
        <w:pStyle w:val="TextBody"/>
        <w:spacing w:before="0" w:after="0"/>
        <w:jc w:val="both"/>
        <w:rPr/>
      </w:pPr>
      <w:r>
        <w:rPr/>
      </w:r>
    </w:p>
    <w:p>
      <w:pPr>
        <w:pStyle w:val="TextBody"/>
        <w:spacing w:before="0" w:after="0"/>
        <w:rPr/>
      </w:pPr>
      <w:r>
        <w:rPr/>
      </w:r>
    </w:p>
    <w:tbl>
      <w:tblPr>
        <w:tblW w:w="3899" w:type="dxa"/>
        <w:jc w:val="left"/>
        <w:tblInd w:w="0" w:type="dxa"/>
        <w:tblCellMar>
          <w:top w:w="28" w:type="dxa"/>
          <w:left w:w="28" w:type="dxa"/>
          <w:bottom w:w="28" w:type="dxa"/>
          <w:right w:w="28" w:type="dxa"/>
        </w:tblCellMar>
      </w:tblPr>
      <w:tblGrid>
        <w:gridCol w:w="445"/>
        <w:gridCol w:w="391"/>
        <w:gridCol w:w="393"/>
        <w:gridCol w:w="781"/>
        <w:gridCol w:w="781"/>
        <w:gridCol w:w="1108"/>
      </w:tblGrid>
      <w:tr>
        <w:trPr/>
        <w:tc>
          <w:tcPr>
            <w:tcW w:w="44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r>
      <w:tr>
        <w:trPr/>
        <w:tc>
          <w:tcPr>
            <w:tcW w:w="1229" w:type="dxa"/>
            <w:gridSpan w:val="3"/>
            <w:tcBorders/>
            <w:shd w:fill="44536A"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sz w:val="22"/>
              </w:rPr>
              <w:br/>
            </w:r>
            <w:r>
              <w:rPr>
                <w:rFonts w:ascii="Times New Roman;sans-serif" w:hAnsi="Times New Roman;sans-serif"/>
                <w:b/>
                <w:color w:val="FFFFFF"/>
                <w:sz w:val="22"/>
              </w:rPr>
              <w:t xml:space="preserve">Average </w:t>
              <w:br/>
              <w:t>Stock Price</w:t>
            </w:r>
          </w:p>
        </w:tc>
        <w:tc>
          <w:tcPr>
            <w:tcW w:w="2670" w:type="dxa"/>
            <w:gridSpan w:val="3"/>
            <w:tcBorders/>
            <w:shd w:fill="44536A"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FFFFFF"/>
                <w:sz w:val="22"/>
              </w:rPr>
            </w:pPr>
            <w:r>
              <w:rPr>
                <w:rFonts w:ascii="Times New Roman;sans-serif" w:hAnsi="Times New Roman;sans-serif"/>
                <w:b/>
                <w:color w:val="FFFFFF"/>
                <w:sz w:val="22"/>
              </w:rPr>
              <w:t>Aggregate Number of</w:t>
            </w:r>
          </w:p>
          <w:p>
            <w:pPr>
              <w:pStyle w:val="TableContents"/>
              <w:spacing w:lineRule="auto" w:line="240" w:before="0" w:after="0"/>
              <w:jc w:val="center"/>
              <w:rPr>
                <w:rFonts w:ascii="Times New Roman;sans-serif" w:hAnsi="Times New Roman;sans-serif"/>
                <w:b/>
                <w:color w:val="FFFFFF"/>
                <w:sz w:val="22"/>
              </w:rPr>
            </w:pPr>
            <w:r>
              <w:rPr>
                <w:rFonts w:ascii="Times New Roman;sans-serif" w:hAnsi="Times New Roman;sans-serif"/>
                <w:b/>
                <w:color w:val="FFFFFF"/>
                <w:sz w:val="22"/>
              </w:rPr>
              <w:t>Additional Shares Earned</w:t>
            </w:r>
          </w:p>
        </w:tc>
      </w:tr>
      <w:tr>
        <w:trPr/>
        <w:tc>
          <w:tcPr>
            <w:tcW w:w="1229" w:type="dxa"/>
            <w:gridSpan w:val="3"/>
            <w:tcBorders/>
            <w:shd w:fill="B4C5E7"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$1.00</w:t>
            </w:r>
          </w:p>
        </w:tc>
        <w:tc>
          <w:tcPr>
            <w:tcW w:w="2670" w:type="dxa"/>
            <w:gridSpan w:val="3"/>
            <w:tcBorders/>
            <w:shd w:fill="B4C5E7"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r>
      <w:tr>
        <w:trPr/>
        <w:tc>
          <w:tcPr>
            <w:tcW w:w="1229" w:type="dxa"/>
            <w:gridSpan w:val="3"/>
            <w:tcBorders/>
            <w:shd w:fill="D9E0F1"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$2.00</w:t>
            </w:r>
          </w:p>
        </w:tc>
        <w:tc>
          <w:tcPr>
            <w:tcW w:w="2670" w:type="dxa"/>
            <w:gridSpan w:val="3"/>
            <w:tcBorders/>
            <w:shd w:fill="D9E0F1"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250,000</w:t>
            </w:r>
          </w:p>
        </w:tc>
      </w:tr>
      <w:tr>
        <w:trPr/>
        <w:tc>
          <w:tcPr>
            <w:tcW w:w="1229" w:type="dxa"/>
            <w:gridSpan w:val="3"/>
            <w:tcBorders/>
            <w:shd w:fill="B4C5E7"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$3.00</w:t>
            </w:r>
          </w:p>
        </w:tc>
        <w:tc>
          <w:tcPr>
            <w:tcW w:w="2670" w:type="dxa"/>
            <w:gridSpan w:val="3"/>
            <w:tcBorders/>
            <w:shd w:fill="B4C5E7"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500,000</w:t>
            </w:r>
          </w:p>
        </w:tc>
      </w:tr>
      <w:tr>
        <w:trPr/>
        <w:tc>
          <w:tcPr>
            <w:tcW w:w="1229" w:type="dxa"/>
            <w:gridSpan w:val="3"/>
            <w:tcBorders/>
            <w:shd w:fill="D9E0F1"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$4.00</w:t>
            </w:r>
          </w:p>
        </w:tc>
        <w:tc>
          <w:tcPr>
            <w:tcW w:w="2670" w:type="dxa"/>
            <w:gridSpan w:val="3"/>
            <w:tcBorders/>
            <w:shd w:fill="D9E0F1"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750,000</w:t>
            </w:r>
          </w:p>
        </w:tc>
      </w:tr>
      <w:tr>
        <w:trPr/>
        <w:tc>
          <w:tcPr>
            <w:tcW w:w="1229" w:type="dxa"/>
            <w:gridSpan w:val="3"/>
            <w:tcBorders/>
            <w:shd w:fill="B4C5E7"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$5.00</w:t>
            </w:r>
          </w:p>
        </w:tc>
        <w:tc>
          <w:tcPr>
            <w:tcW w:w="2670" w:type="dxa"/>
            <w:gridSpan w:val="3"/>
            <w:tcBorders/>
            <w:shd w:fill="B4C5E7"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1,000,000</w:t>
            </w:r>
          </w:p>
        </w:tc>
      </w:tr>
      <w:tr>
        <w:trPr/>
        <w:tc>
          <w:tcPr>
            <w:tcW w:w="1229" w:type="dxa"/>
            <w:gridSpan w:val="3"/>
            <w:tcBorders/>
            <w:shd w:fill="D9E0F1"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$6.00</w:t>
            </w:r>
          </w:p>
        </w:tc>
        <w:tc>
          <w:tcPr>
            <w:tcW w:w="2670" w:type="dxa"/>
            <w:gridSpan w:val="3"/>
            <w:tcBorders/>
            <w:shd w:fill="D9E0F1"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1,250,000</w:t>
            </w:r>
          </w:p>
        </w:tc>
      </w:tr>
      <w:tr>
        <w:trPr/>
        <w:tc>
          <w:tcPr>
            <w:tcW w:w="1229" w:type="dxa"/>
            <w:gridSpan w:val="3"/>
            <w:tcBorders/>
            <w:shd w:fill="B4C5E7"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$7.00</w:t>
            </w:r>
          </w:p>
        </w:tc>
        <w:tc>
          <w:tcPr>
            <w:tcW w:w="2670" w:type="dxa"/>
            <w:gridSpan w:val="3"/>
            <w:tcBorders/>
            <w:shd w:fill="B4C5E7"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1,500,000</w:t>
            </w:r>
          </w:p>
        </w:tc>
      </w:tr>
      <w:tr>
        <w:trPr/>
        <w:tc>
          <w:tcPr>
            <w:tcW w:w="1229" w:type="dxa"/>
            <w:gridSpan w:val="3"/>
            <w:tcBorders/>
            <w:shd w:fill="D9E0F1"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$8.00</w:t>
            </w:r>
          </w:p>
        </w:tc>
        <w:tc>
          <w:tcPr>
            <w:tcW w:w="2670" w:type="dxa"/>
            <w:gridSpan w:val="3"/>
            <w:tcBorders/>
            <w:shd w:fill="D9E0F1"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1,750,000</w:t>
            </w:r>
          </w:p>
        </w:tc>
      </w:tr>
      <w:tr>
        <w:trPr/>
        <w:tc>
          <w:tcPr>
            <w:tcW w:w="1229" w:type="dxa"/>
            <w:gridSpan w:val="3"/>
            <w:tcBorders/>
            <w:shd w:fill="B4C5E7"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$9.00</w:t>
            </w:r>
          </w:p>
        </w:tc>
        <w:tc>
          <w:tcPr>
            <w:tcW w:w="2670" w:type="dxa"/>
            <w:gridSpan w:val="3"/>
            <w:tcBorders/>
            <w:shd w:fill="B4C5E7"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2,000,000</w:t>
            </w:r>
          </w:p>
        </w:tc>
      </w:tr>
      <w:tr>
        <w:trPr/>
        <w:tc>
          <w:tcPr>
            <w:tcW w:w="1229" w:type="dxa"/>
            <w:gridSpan w:val="3"/>
            <w:tcBorders/>
            <w:shd w:fill="D9E0F1"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$10.00</w:t>
            </w:r>
          </w:p>
        </w:tc>
        <w:tc>
          <w:tcPr>
            <w:tcW w:w="2670" w:type="dxa"/>
            <w:gridSpan w:val="3"/>
            <w:tcBorders/>
            <w:shd w:fill="D9E0F1"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2,250,000</w:t>
            </w:r>
          </w:p>
        </w:tc>
      </w:tr>
      <w:tr>
        <w:trPr/>
        <w:tc>
          <w:tcPr>
            <w:tcW w:w="1229" w:type="dxa"/>
            <w:gridSpan w:val="3"/>
            <w:tcBorders/>
            <w:shd w:fill="B4C5E7"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$11.00</w:t>
            </w:r>
          </w:p>
        </w:tc>
        <w:tc>
          <w:tcPr>
            <w:tcW w:w="2670" w:type="dxa"/>
            <w:gridSpan w:val="3"/>
            <w:tcBorders/>
            <w:shd w:fill="B4C5E7"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2,500,000</w:t>
            </w:r>
          </w:p>
        </w:tc>
      </w:tr>
    </w:tbl>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10.4</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5" name="Frame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92" w:before="450" w:after="283"/>
        <w:jc w:val="center"/>
        <w:rPr>
          <w:rFonts w:ascii="Times New Roman;sans-serif" w:hAnsi="Times New Roman;sans-serif"/>
          <w:b/>
          <w:color w:val="000000"/>
          <w:sz w:val="22"/>
        </w:rPr>
      </w:pPr>
      <w:r>
        <w:rPr>
          <w:rFonts w:ascii="Times New Roman;sans-serif" w:hAnsi="Times New Roman;sans-serif"/>
          <w:b/>
          <w:color w:val="000000"/>
          <w:sz w:val="22"/>
        </w:rPr>
        <w:t>SEPARATION AGREEMENT</w:t>
      </w:r>
    </w:p>
    <w:p>
      <w:pPr>
        <w:pStyle w:val="TextBody"/>
        <w:spacing w:lineRule="auto" w:line="302" w:before="236" w:after="283"/>
        <w:ind w:left="0" w:right="0" w:firstLine="720"/>
        <w:jc w:val="both"/>
        <w:rPr/>
      </w:pPr>
      <w:r>
        <w:rPr>
          <w:rFonts w:ascii="Times New Roman;sans-serif" w:hAnsi="Times New Roman;sans-serif"/>
          <w:b/>
          <w:color w:val="000000"/>
          <w:sz w:val="22"/>
        </w:rPr>
        <w:t xml:space="preserve">THIS SEPARATION AGREEMENT </w:t>
      </w:r>
      <w:r>
        <w:rPr>
          <w:rFonts w:ascii="Times New Roman;sans-serif" w:hAnsi="Times New Roman;sans-serif"/>
          <w:b w:val="false"/>
          <w:color w:val="000000"/>
          <w:sz w:val="22"/>
        </w:rPr>
        <w:t>(this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made as of this May 22, 2023, (the “</w:t>
      </w:r>
      <w:r>
        <w:rPr>
          <w:rFonts w:ascii="Times New Roman;sans-serif" w:hAnsi="Times New Roman;sans-serif"/>
          <w:b w:val="false"/>
          <w:color w:val="000000"/>
          <w:sz w:val="22"/>
          <w:u w:val="single"/>
        </w:rPr>
        <w:t>Effective Date</w:t>
      </w:r>
      <w:r>
        <w:rPr>
          <w:color w:val="000000"/>
        </w:rPr>
        <w:t>”</w:t>
      </w:r>
      <w:r>
        <w:rPr>
          <w:rFonts w:ascii="Times New Roman;sans-serif" w:hAnsi="Times New Roman;sans-serif"/>
          <w:b w:val="false"/>
          <w:color w:val="000000"/>
          <w:sz w:val="22"/>
        </w:rPr>
        <w:t>) by and between NN, Inc., a Delaware Corporation with its principal place of business in Charlotte, North Carolina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and Harold Bevis (the “</w:t>
      </w:r>
      <w:r>
        <w:rPr>
          <w:rFonts w:ascii="Times New Roman;sans-serif" w:hAnsi="Times New Roman;sans-serif"/>
          <w:b w:val="false"/>
          <w:color w:val="000000"/>
          <w:sz w:val="22"/>
          <w:u w:val="single"/>
        </w:rPr>
        <w:t>Executive</w:t>
      </w:r>
      <w:r>
        <w:rPr>
          <w:color w:val="000000"/>
        </w:rPr>
        <w:t>”</w:t>
      </w:r>
      <w:r>
        <w:rPr>
          <w:rFonts w:ascii="Times New Roman;sans-serif" w:hAnsi="Times New Roman;sans-serif"/>
          <w:b w:val="false"/>
          <w:color w:val="000000"/>
          <w:sz w:val="22"/>
        </w:rPr>
        <w:t>).</w:t>
      </w:r>
    </w:p>
    <w:p>
      <w:pPr>
        <w:pStyle w:val="TextBody"/>
        <w:spacing w:lineRule="auto" w:line="297" w:before="248"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WITNESSETH: </w:t>
      </w:r>
    </w:p>
    <w:p>
      <w:pPr>
        <w:pStyle w:val="TextBody"/>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 will employ the Executive for the success of the Company and recognizes that the Executive will perform key functions for the Company; and</w:t>
      </w:r>
    </w:p>
    <w:p>
      <w:pPr>
        <w:pStyle w:val="TextBody"/>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 has determined that it is in the best interests of the Company to institute a formalized separation arrangement with the Executive in the event of a separation of employment; and</w:t>
      </w:r>
    </w:p>
    <w:p>
      <w:pPr>
        <w:pStyle w:val="TextBody"/>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Executive desires to enter into this Agreement with the Company;</w:t>
      </w:r>
    </w:p>
    <w:p>
      <w:pPr>
        <w:pStyle w:val="TextBody"/>
        <w:spacing w:lineRule="auto" w:line="300" w:before="240" w:after="283"/>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foregoing and of the promises, covenants and mutual agreements set forth below, and other good and valuable consideration, the receipt and sufficiency of which are hereby acknowledged, the parties hereby agree as follows:</w:t>
      </w:r>
    </w:p>
    <w:p>
      <w:pPr>
        <w:pStyle w:val="TextBody"/>
        <w:spacing w:before="240" w:after="283"/>
        <w:ind w:left="0" w:right="0" w:firstLine="720"/>
        <w:jc w:val="both"/>
        <w:rPr/>
      </w:pPr>
      <w:r>
        <w:rPr/>
      </w:r>
    </w:p>
    <w:p>
      <w:pPr>
        <w:pStyle w:val="TextBody"/>
        <w:spacing w:lineRule="auto" w:line="300" w:before="1" w:after="281"/>
        <w:ind w:left="0" w:right="0" w:hanging="720"/>
        <w:jc w:val="both"/>
        <w:rPr/>
      </w:pPr>
      <w:r>
        <w:rPr>
          <w:rFonts w:ascii="Times New Roman;sans-serif" w:hAnsi="Times New Roman;sans-serif"/>
          <w:b/>
          <w:i/>
          <w:color w:val="000000"/>
          <w:sz w:val="22"/>
        </w:rPr>
        <w:t>1.Compensation and Benefits in the Event of Separation from Service</w:t>
      </w:r>
      <w:r>
        <w:rPr>
          <w:rFonts w:ascii="Times New Roman;sans-serif" w:hAnsi="Times New Roman;sans-serif"/>
          <w:b w:val="false"/>
          <w:color w:val="000000"/>
          <w:sz w:val="22"/>
        </w:rPr>
        <w:t>. Subject to Section 1(f) below, in the event of the Executive’s Separation from Service, compensation and benefits shall be paid as set forth below.</w:t>
      </w:r>
    </w:p>
    <w:p>
      <w:pPr>
        <w:pStyle w:val="TextBody"/>
        <w:spacing w:lineRule="auto" w:line="252" w:before="0" w:after="0"/>
        <w:ind w:left="0" w:right="0" w:hanging="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Qualifying Termination Prior To A Change In Control.</w:t>
      </w:r>
      <w:r>
        <w:rPr>
          <w:color w:val="000000"/>
        </w:rPr>
        <w:t xml:space="preserve"> </w:t>
      </w:r>
      <w:r>
        <w:rPr>
          <w:rFonts w:ascii="Times New Roman;sans-serif" w:hAnsi="Times New Roman;sans-serif"/>
          <w:b w:val="false"/>
          <w:color w:val="000000"/>
          <w:sz w:val="22"/>
        </w:rPr>
        <w:t>If the Executive has a Qualifying Termination after the Effective Date and prior to a Change in Control, then upon such Qualifying Termination the Executive shall be entitled to receive the following:</w:t>
      </w:r>
    </w:p>
    <w:p>
      <w:pPr>
        <w:pStyle w:val="TextBody"/>
        <w:spacing w:lineRule="auto" w:line="300" w:before="243"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    The Executive’s annual salary through the effective date of Separation from Service, at the annual rate in effect at the time the Notice of Termination is given (or death occurs), to the extent unpaid prior to such Separation from Service.</w:t>
      </w:r>
    </w:p>
    <w:p>
      <w:pPr>
        <w:pStyle w:val="TextBody"/>
        <w:spacing w:lineRule="auto" w:line="300" w:before="243"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    A lump sum payment equal to (i) 2.0 times Executive’s base salary (as of the date of the Executive’s termination), plus (ii) in the event of a termination prior to the payment in full of Executive’s guaranteed annual bonus for 2023, Executive’s 2023 bonus amount, which payment shall be made by wire transfer of immediately available funds to an account designated by Executive following the date of the Separation from Service.</w:t>
      </w:r>
    </w:p>
    <w:p>
      <w:pPr>
        <w:pStyle w:val="TextBody"/>
        <w:spacing w:lineRule="auto" w:line="300" w:before="243"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    Any vested rights of Executive in accordance with the terms of the Award Agreements and any other vested rights of Executive under any of the Company’s other plans, programs or policies.</w:t>
      </w:r>
    </w:p>
    <w:p>
      <w:pPr>
        <w:pStyle w:val="TextBody"/>
        <w:spacing w:lineRule="auto" w:line="300" w:before="243"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    Prompt reimbursement for any and all reimbursable business expenses (to the extent not already reimbursed) upon Executive’s properly accounting for the same.</w:t>
      </w:r>
    </w:p>
    <w:p>
      <w:pPr>
        <w:pStyle w:val="TextBody"/>
        <w:spacing w:lineRule="auto" w:line="300" w:before="243"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    Regardless of whether Executive elects continuation coverage pursuant to the Consolidated Omnibus Budget Reconciliation Act of 1985, as amended (“COBRA”), a taxable lump sum payment in an amount equal to twelve (12) months of the monthly COBRA premium Executive would be required to pay to continue the group health coverage for Executive and/or Executive’s eligible dependents in effect on the date of the Separation from Service. Payment shall commence or shall be paid within 60 days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6" name="Frame2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v:rect>
            </w:pict>
          </mc:Fallback>
        </mc:AlternateContent>
      </w:r>
    </w:p>
    <w:p>
      <w:pPr>
        <w:pStyle w:val="TextBody"/>
        <w:spacing w:lineRule="auto" w:line="300" w:before="243"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following the Executive’s Separation from Service; provided, however, that the Executive is in full compliance with the covenants under paragraphs 2, 3, 4, and 6 of this Agreement.</w:t>
      </w:r>
    </w:p>
    <w:p>
      <w:pPr>
        <w:pStyle w:val="TextBody"/>
        <w:spacing w:lineRule="auto" w:line="302" w:before="239" w:after="283"/>
        <w:ind w:left="0" w:right="0" w:hanging="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Termination By The Company For Cause Or By The Executive Without Good Reason</w:t>
      </w:r>
      <w:r>
        <w:rPr>
          <w:rFonts w:ascii="Times New Roman;sans-serif" w:hAnsi="Times New Roman;sans-serif"/>
          <w:b w:val="false"/>
          <w:color w:val="000000"/>
          <w:sz w:val="22"/>
        </w:rPr>
        <w:t xml:space="preserve">. In the event Executive’s Separation from Service is terminated (A) by action of the Company for Cause, (B) by action of the Executive without Good Reason, or (C) by reason of the Executive’s death, Disability or retirement, the following compensation and benefits shall be paid and provided the Executive (or his beneficiary): </w:t>
      </w:r>
    </w:p>
    <w:p>
      <w:pPr>
        <w:pStyle w:val="TextBody"/>
        <w:spacing w:lineRule="auto" w:line="300" w:before="23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(i)The Executive’s annual salary provided through the effective date of Separation from Service, at the annual rate in effect at the time the Notice of Termination is given (or death occurs), to the extent unpaid prior to such Separation from Service.</w:t>
      </w:r>
    </w:p>
    <w:p>
      <w:pPr>
        <w:pStyle w:val="TextBody"/>
        <w:spacing w:before="2" w:after="283"/>
        <w:jc w:val="both"/>
        <w:rPr/>
      </w:pPr>
      <w:r>
        <w:rPr/>
      </w:r>
    </w:p>
    <w:p>
      <w:pPr>
        <w:pStyle w:val="TextBody"/>
        <w:spacing w:lineRule="auto" w:line="300" w:before="2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(ii)Any vested rights of Executive in accordance with the terms of the Award Agreements and any other vested rights of Executive under any of the Company’s other plans, programs or policies.</w:t>
      </w:r>
    </w:p>
    <w:p>
      <w:pPr>
        <w:pStyle w:val="TextBody"/>
        <w:spacing w:lineRule="auto" w:line="300" w:before="24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(iii)Prompt reimbursement for any and all reimbursable business expenses (to the extent not already reimbursed) upon Executive’s properly accounting for the same.</w:t>
      </w:r>
    </w:p>
    <w:p>
      <w:pPr>
        <w:pStyle w:val="TextBody"/>
        <w:spacing w:lineRule="auto" w:line="300" w:before="24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(iv)In the event of death or Disability, (A) any annual bonus earned with respect to the previous fiscal year but unpaid as of the date of Executive’s death or Disability shall be paid the actual amount earned, as determined by the Compensation Committee Company payable in accordance with the Company’s regular practice after the Company’s fiscal year end audit; (B) a prorated amount of the annual bonus for the fiscal year in which the Executive’s death or Disability occurs, calculated by multiplying the actual amount of the annual bonus earned as determined by the Compensation Committee of the Company by a fraction, the numerator of which is the number of days the Executive was employed during the applicable year and the denominator of which is 365, payable in accordance with the Company’s regular practice after the Company’s fiscal year end audit. </w:t>
      </w:r>
    </w:p>
    <w:p>
      <w:pPr>
        <w:pStyle w:val="TextBody"/>
        <w:spacing w:lineRule="auto" w:line="302" w:before="239" w:after="283"/>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Qualifying Termination Following a Change in Control.</w:t>
      </w:r>
    </w:p>
    <w:p>
      <w:pPr>
        <w:pStyle w:val="TextBody"/>
        <w:spacing w:lineRule="auto" w:line="300" w:before="241"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In the event that Executive has a Qualifying Termination within the twenty-four (24) month period following a Change in Control, Executive shall receive the following, subject to paragraph 1(c)(ii):</w:t>
      </w:r>
    </w:p>
    <w:p>
      <w:pPr>
        <w:pStyle w:val="TextBody"/>
        <w:spacing w:lineRule="auto" w:line="302" w:before="236"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(1)The annual salary due to the Executive through the date of his Separation from Service.</w:t>
      </w:r>
    </w:p>
    <w:p>
      <w:pPr>
        <w:pStyle w:val="TextBody"/>
        <w:spacing w:lineRule="auto" w:line="300" w:before="238" w:after="283"/>
        <w:ind w:left="0" w:right="0" w:hanging="720"/>
        <w:jc w:val="both"/>
        <w:rPr/>
      </w:pPr>
      <w:r>
        <w:rPr>
          <w:rFonts w:ascii="Times New Roman;sans-serif" w:hAnsi="Times New Roman;sans-serif"/>
          <w:b w:val="false"/>
          <w:color w:val="000000"/>
          <w:sz w:val="22"/>
        </w:rPr>
        <w:t xml:space="preserve">(2)A lump sum payment equal to an amount set forth on </w:t>
      </w:r>
      <w:r>
        <w:rPr>
          <w:rFonts w:ascii="Times New Roman;sans-serif" w:hAnsi="Times New Roman;sans-serif"/>
          <w:b w:val="false"/>
          <w:color w:val="000000"/>
          <w:sz w:val="22"/>
          <w:u w:val="single"/>
        </w:rPr>
        <w:t xml:space="preserve">Schedule A </w:t>
      </w:r>
      <w:r>
        <w:rPr>
          <w:rFonts w:ascii="Times New Roman;sans-serif" w:hAnsi="Times New Roman;sans-serif"/>
          <w:b w:val="false"/>
          <w:color w:val="000000"/>
          <w:sz w:val="22"/>
        </w:rPr>
        <w:t>to this Agreement (the “</w:t>
      </w:r>
      <w:r>
        <w:rPr>
          <w:rFonts w:ascii="Times New Roman;sans-serif" w:hAnsi="Times New Roman;sans-serif"/>
          <w:b w:val="false"/>
          <w:color w:val="000000"/>
          <w:sz w:val="22"/>
          <w:u w:val="single"/>
        </w:rPr>
        <w:t>Severance Payment</w:t>
      </w:r>
      <w:r>
        <w:rPr>
          <w:color w:val="000000"/>
        </w:rPr>
        <w:t>”</w:t>
      </w:r>
      <w:r>
        <w:rPr>
          <w:rFonts w:ascii="Times New Roman;sans-serif" w:hAnsi="Times New Roman;sans-serif"/>
          <w:b w:val="false"/>
          <w:color w:val="000000"/>
          <w:sz w:val="22"/>
        </w:rPr>
        <w:t>). The Severance Payment shall be made by wire transfer of immediately available funds to an account designated by Executive following the date of the Separation from Service.</w:t>
      </w:r>
    </w:p>
    <w:p>
      <w:pPr>
        <w:pStyle w:val="TextBody"/>
        <w:spacing w:lineRule="auto" w:line="30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(3)Any vested rights of Executive in accordance with the terms of the Award Agreements and any other vested rights of Executive under any of the Company’s other plans, programs or policies.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7" name="Frame2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300" w:before="23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(4)Prompt reimbursement for any and all reimbursable business expenses (to the extent not already reimbursed) upon Executive’s properly accounting for the same.</w:t>
      </w:r>
    </w:p>
    <w:p>
      <w:pPr>
        <w:pStyle w:val="TextBody"/>
        <w:spacing w:lineRule="auto" w:line="300" w:before="23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(5)Regardless of whether the Executive elects continuation coverage pursuant to COBRA, a taxable lump sum payment in an amount equal to twenty-four (24) months of the monthly COBRA premium Executive would be required to pay to continue the group health coverage for Executive and/or Executive’s eligible dependents in effect on the date of the Separation from Service.</w:t>
      </w:r>
    </w:p>
    <w:p>
      <w:pPr>
        <w:pStyle w:val="TextBody"/>
        <w:spacing w:lineRule="auto" w:line="30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Payments under (2) and (5) above shall be paid in full in a lump sum within 60 days following the Executive’s Separation from Service; provided, however, that the Executive is in compliance in all material respects with the covenants under paragraphs 2, 3, 4, and 6 of this Agreement. </w:t>
      </w:r>
    </w:p>
    <w:p>
      <w:pPr>
        <w:pStyle w:val="TextBody"/>
        <w:spacing w:lineRule="auto" w:line="300" w:before="242" w:after="283"/>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Excise Tax</w:t>
      </w:r>
      <w:r>
        <w:rPr>
          <w:rFonts w:ascii="Times New Roman;sans-serif" w:hAnsi="Times New Roman;sans-serif"/>
          <w:b w:val="false"/>
          <w:color w:val="000000"/>
          <w:sz w:val="22"/>
        </w:rPr>
        <w:t>.</w:t>
      </w:r>
    </w:p>
    <w:p>
      <w:pPr>
        <w:pStyle w:val="TextBody"/>
        <w:spacing w:lineRule="auto" w:line="300" w:before="240" w:after="283"/>
        <w:ind w:left="0" w:right="0" w:hanging="720"/>
        <w:jc w:val="both"/>
        <w:rPr/>
      </w:pPr>
      <w:r>
        <w:rPr>
          <w:rFonts w:ascii="Times New Roman;sans-serif" w:hAnsi="Times New Roman;sans-serif"/>
          <w:b w:val="false"/>
          <w:color w:val="000000"/>
          <w:sz w:val="22"/>
        </w:rPr>
        <w:t>(1)If it is determined that any payment or distribution in the nature of compensation (within the meaning of Section 280G(b)(2) of the Code) to or for the benefit of the Executive, whether paid or payable or distributed or distributable pursuant to the terms of this Agreement or otherwise (the “</w:t>
      </w:r>
      <w:r>
        <w:rPr>
          <w:rFonts w:ascii="Times New Roman;sans-serif" w:hAnsi="Times New Roman;sans-serif"/>
          <w:b w:val="false"/>
          <w:color w:val="000000"/>
          <w:sz w:val="22"/>
          <w:u w:val="single"/>
        </w:rPr>
        <w:t>Change in Control Payment</w:t>
      </w:r>
      <w:r>
        <w:rPr>
          <w:color w:val="000000"/>
        </w:rPr>
        <w:t>”</w:t>
      </w:r>
      <w:r>
        <w:rPr>
          <w:rFonts w:ascii="Times New Roman;sans-serif" w:hAnsi="Times New Roman;sans-serif"/>
          <w:b w:val="false"/>
          <w:color w:val="000000"/>
          <w:sz w:val="22"/>
        </w:rPr>
        <w:t>), would constitute an “excess parachute payment” within the meaning of Section 280G of the Code, then the Company shall pay to the Executive whichever of the following gives the Executive the highest net after-tax amount (after taking into account all applicable federal, state, local and social security taxes): (i) the Change in Control Payment, or (ii) the amount that would not result in the imposition of excise tax on the Executive under Section 4999 of the Code. Any required reduction in the Change in Control Payment pursuant to the foregoing shall be accomplished solely by reducing the amount of severance payment payable pursuant to paragraph 1(c)(i)(1) of this Agreement and then, to the extent necessary, paragraph 1(c)(i)(2) of this Agreement.</w:t>
      </w:r>
    </w:p>
    <w:p>
      <w:pPr>
        <w:pStyle w:val="TextBody"/>
        <w:spacing w:lineRule="auto" w:line="300" w:before="240" w:after="283"/>
        <w:ind w:left="0" w:right="0" w:hanging="720"/>
        <w:jc w:val="both"/>
        <w:rPr/>
      </w:pPr>
      <w:r>
        <w:rPr>
          <w:rFonts w:ascii="Times New Roman;sans-serif" w:hAnsi="Times New Roman;sans-serif"/>
          <w:b w:val="false"/>
          <w:color w:val="000000"/>
          <w:sz w:val="22"/>
        </w:rPr>
        <w:t>(2)All determinations to be made under this paragraph 1(c)(ii) shall be made by an independent public accounting firm selected by the Company immediately prior to the Change in Control (the “</w:t>
      </w:r>
      <w:r>
        <w:rPr>
          <w:rFonts w:ascii="Times New Roman;sans-serif" w:hAnsi="Times New Roman;sans-serif"/>
          <w:b w:val="false"/>
          <w:color w:val="000000"/>
          <w:sz w:val="22"/>
          <w:u w:val="single"/>
        </w:rPr>
        <w:t>Accounting Firm</w:t>
      </w:r>
      <w:r>
        <w:rPr>
          <w:color w:val="000000"/>
        </w:rPr>
        <w:t>”</w:t>
      </w:r>
      <w:r>
        <w:rPr>
          <w:rFonts w:ascii="Times New Roman;sans-serif" w:hAnsi="Times New Roman;sans-serif"/>
          <w:b w:val="false"/>
          <w:color w:val="000000"/>
          <w:sz w:val="22"/>
        </w:rPr>
        <w:t>), which shall provide its determinations and any supporting calculations both to the Company and the Executive within ten (10) days of the Change in Control. Any such determination by the Accounting Firm shall be binding upon the Company and the Executive. All of the fees and expenses of the Accounting Firm in performing the determinations referred to in this paragraph 1(c)(iii) shall be borne solely by the Company.</w:t>
      </w:r>
    </w:p>
    <w:p>
      <w:pPr>
        <w:pStyle w:val="TextBody"/>
        <w:spacing w:lineRule="auto" w:line="300" w:before="238" w:after="283"/>
        <w:ind w:left="0" w:right="0" w:hanging="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Continuation of Benefits.</w:t>
      </w:r>
      <w:r>
        <w:rPr>
          <w:color w:val="000000"/>
        </w:rPr>
        <w:t xml:space="preserve"> </w:t>
      </w:r>
      <w:r>
        <w:rPr>
          <w:rFonts w:ascii="Times New Roman;sans-serif" w:hAnsi="Times New Roman;sans-serif"/>
          <w:b w:val="false"/>
          <w:color w:val="000000"/>
          <w:sz w:val="22"/>
        </w:rPr>
        <w:t>Except as otherwise provided in Sections 1(a), (b) and (c), following Executive’s Separation from Service, the Executive shall have the right to continue in the Company’s group health insurance plan or other Company benefit program, at his own cost and without any contribution by the Company, as may be required by COBRA or any other federal or state law or regulation.</w:t>
      </w:r>
    </w:p>
    <w:p>
      <w:pPr>
        <w:pStyle w:val="TextBody"/>
        <w:spacing w:lineRule="auto" w:line="300" w:before="238" w:after="283"/>
        <w:ind w:left="0" w:right="0" w:hanging="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Limit on Company Liability.</w:t>
      </w:r>
      <w:r>
        <w:rPr>
          <w:color w:val="000000"/>
        </w:rPr>
        <w:t xml:space="preserve"> </w:t>
      </w:r>
      <w:r>
        <w:rPr>
          <w:rFonts w:ascii="Times New Roman;sans-serif" w:hAnsi="Times New Roman;sans-serif"/>
          <w:b w:val="false"/>
          <w:color w:val="000000"/>
          <w:sz w:val="22"/>
        </w:rPr>
        <w:t xml:space="preserve">Except as expressly set forth in this paragraph 1, the Company shall have no obligation to Executive under this Agreement following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28" name="Frame2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300" w:before="238" w:after="283"/>
        <w:jc w:val="both"/>
        <w:rPr>
          <w:rFonts w:ascii="Times New Roman;sans-serif" w:hAnsi="Times New Roman;sans-serif"/>
          <w:b w:val="false"/>
          <w:color w:val="000000"/>
          <w:sz w:val="22"/>
        </w:rPr>
      </w:pPr>
      <w:r>
        <w:rPr>
          <w:rFonts w:ascii="Times New Roman;sans-serif" w:hAnsi="Times New Roman;sans-serif"/>
          <w:b w:val="false"/>
          <w:color w:val="000000"/>
          <w:sz w:val="22"/>
        </w:rPr>
        <w:t>Executive’s Separation from Service. Without limiting the generality of the provision of the foregoing sentence, the Company shall not, following Executive’s Separation from Service, have any obligation to provide any further benefit to Executive under this Agreement or make any further contribution for Executive’s benefit under this Agreement except as provided in this paragraph 1.</w:t>
      </w:r>
    </w:p>
    <w:p>
      <w:pPr>
        <w:pStyle w:val="TextBody"/>
        <w:spacing w:lineRule="auto" w:line="300" w:before="238" w:after="283"/>
        <w:ind w:left="0" w:right="0" w:hanging="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Release Condition</w:t>
      </w:r>
      <w:r>
        <w:rPr>
          <w:rFonts w:ascii="Times New Roman;sans-serif" w:hAnsi="Times New Roman;sans-serif"/>
          <w:b w:val="false"/>
          <w:color w:val="000000"/>
          <w:sz w:val="22"/>
        </w:rPr>
        <w:t xml:space="preserve">. The Executive’s receipt of any severance payments or benefits upon the Executive’s Qualifying Termination under this Section 1 is subject to the Executive’s execution and non-revocation of a release of claims substantially in the form attached hereto as </w:t>
      </w:r>
      <w:r>
        <w:rPr>
          <w:rFonts w:ascii="Times New Roman;sans-serif" w:hAnsi="Times New Roman;sans-serif"/>
          <w:b w:val="false"/>
          <w:color w:val="000000"/>
          <w:sz w:val="22"/>
          <w:u w:val="single"/>
        </w:rPr>
        <w:t>Schedule B</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Release</w:t>
      </w:r>
      <w:r>
        <w:rPr>
          <w:color w:val="000000"/>
        </w:rPr>
        <w:t>”</w:t>
      </w:r>
      <w:r>
        <w:rPr>
          <w:rFonts w:ascii="Times New Roman;sans-serif" w:hAnsi="Times New Roman;sans-serif"/>
          <w:b w:val="false"/>
          <w:color w:val="000000"/>
          <w:sz w:val="22"/>
        </w:rPr>
        <w:t>) (which must become effective and irrevocable no later than the sixtieth (60th) day following the Executive’s Qualifying Termination (the “</w:t>
      </w:r>
      <w:r>
        <w:rPr>
          <w:rFonts w:ascii="Times New Roman;sans-serif" w:hAnsi="Times New Roman;sans-serif"/>
          <w:b w:val="false"/>
          <w:color w:val="000000"/>
          <w:sz w:val="22"/>
          <w:u w:val="single"/>
        </w:rPr>
        <w:t>Release Deadline</w:t>
      </w:r>
      <w:r>
        <w:rPr>
          <w:color w:val="000000"/>
        </w:rPr>
        <w:t>”</w:t>
      </w:r>
      <w:r>
        <w:rPr>
          <w:rFonts w:ascii="Times New Roman;sans-serif" w:hAnsi="Times New Roman;sans-serif"/>
          <w:b w:val="false"/>
          <w:color w:val="000000"/>
          <w:sz w:val="22"/>
        </w:rPr>
        <w:t>)). Notwithstanding the times of payment otherwise set forth in Section 1, the payments due under Sections 1(a)(ii) and (v) and Sections 1(c)(i) (2) and (5) shall be made (or commence to the Employee within seven (7) days following receipt by the Company of the Release properly executed (and not revoked) by the Executive. If the Release does not become effective and irrevocable by the Release Deadline, the Executive will forfeit any right to severance payments or benefits under Section 1 (other than any earned but unpaid salary and reimbursement of business expenses pursuant to the Company’s reimbursement policies).</w:t>
      </w:r>
    </w:p>
    <w:p>
      <w:pPr>
        <w:pStyle w:val="TextBody"/>
        <w:spacing w:lineRule="auto" w:line="300" w:before="238" w:after="283"/>
        <w:ind w:left="0" w:right="0" w:hanging="720"/>
        <w:jc w:val="both"/>
        <w:rPr/>
      </w:pPr>
      <w:r>
        <w:rPr>
          <w:rFonts w:ascii="Times New Roman;sans-serif" w:hAnsi="Times New Roman;sans-serif"/>
          <w:b/>
          <w:i/>
          <w:color w:val="000000"/>
          <w:sz w:val="24"/>
        </w:rPr>
        <w:t>2.</w:t>
      </w:r>
      <w:r>
        <w:rPr>
          <w:rFonts w:ascii="Times New Roman;sans-serif" w:hAnsi="Times New Roman;sans-serif"/>
          <w:b/>
          <w:i/>
          <w:color w:val="000000"/>
          <w:sz w:val="22"/>
        </w:rPr>
        <w:t>Disclosure of Confidential Information</w:t>
      </w:r>
      <w:r>
        <w:rPr>
          <w:rFonts w:ascii="Times New Roman;sans-serif" w:hAnsi="Times New Roman;sans-serif"/>
          <w:b w:val="false"/>
          <w:color w:val="000000"/>
          <w:sz w:val="22"/>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w:t>
      </w:r>
      <w:r>
        <w:rPr>
          <w:rFonts w:ascii="Times New Roman;sans-serif" w:hAnsi="Times New Roman;sans-serif"/>
          <w:b w:val="false"/>
          <w:color w:val="000000"/>
          <w:sz w:val="22"/>
          <w:u w:val="single"/>
        </w:rPr>
        <w:t>Confidential Information</w:t>
      </w:r>
      <w:r>
        <w:rPr>
          <w:color w:val="000000"/>
        </w:rPr>
        <w:t>”</w:t>
      </w:r>
      <w:r>
        <w:rPr>
          <w:rFonts w:ascii="Times New Roman;sans-serif" w:hAnsi="Times New Roman;sans-serif"/>
          <w:b w:val="false"/>
          <w:color w:val="000000"/>
          <w:sz w:val="22"/>
        </w:rPr>
        <w:t xml:space="preserve">), provided that the term “Confidential Information” shall not include (i) any such information that can be shown to be in the public domain or generally known or available to customers, suppliers or competitors of the Company through no breach by Executive of the provisions of this Agreement or other non-disclosure covenants; (ii) any such information that Executive receives on a non-confidential basis from a third party (other than the Company or its representatives) that, to Executive’s knowledge, was not bound by an obligation of confidentiality to the Company with respect to such information; and (iii) any such information that is independently developed by or for the Executive without Executive’s violation of the provisions of this Agreement or other non-disclosure covenants. In performing duties for the Company, Executive regularly will be exposed to and work with Confidential Information of the Company. Executive may also be exposed to and work with Confidential Information of the Company’s affiliates and subsidiaries. Executive acknowledges that Confidential Information of the Company and its affiliates and subsidiaries is critical to the Company’s success and that the Company and its affiliates and subsidiaries have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of Company, its affiliates, and/or its subsidiaries except to the extent: (i) reasonably necessary in order to carry out Executive’s duties on behalf of the Company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29" name="Frame2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300" w:before="238"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his employment with the Company, (ii) disclosure is made during Executive’s employment with the Company to the Company’s directors, officers, employees, independent contractors and advisors or (iii) specifically directed by the Company to do so in writing, provided that nothing herein shall prohibit the Executive from disclosing (x) Confidential Information as required by law, stock exchange rule or regulation or pursuant to legal, judicial or regulatory process (which shall be deemed to include any disclosures made to Executive’s legal advisors concerning any claim or dispute between or involving Executive and the Company) or (y) to Executive’s spouse and legal, financial and tax advisors, Confidential Information concerning Executive’s compensation, it being agreed that any such disclosures described in the foregoing subparts (x) and (y) so made shall be without liability to Executive. Executive agrees that whenever Executive’s employment with the Company ends for any reason, all documents containing or referring to Confidential Information of the Company, its affiliates, and/or its subsidiaries that may be in Executive’s possession or control will be delivered by Executive to the Company promptly upon the Company’s request; provided, however, that Executive may retain any Confidential Information necessary for evidentiary purposes in connection with any dispute or claim between Executive and the Company or its affiliates. </w:t>
      </w:r>
    </w:p>
    <w:p>
      <w:pPr>
        <w:pStyle w:val="TextBody"/>
        <w:spacing w:before="0" w:after="0"/>
        <w:jc w:val="both"/>
        <w:rPr/>
      </w:pPr>
      <w:r>
        <w:rPr/>
      </w:r>
    </w:p>
    <w:p>
      <w:pPr>
        <w:pStyle w:val="TextBody"/>
        <w:spacing w:lineRule="auto" w:line="300" w:before="0" w:after="0"/>
        <w:ind w:left="0" w:right="0" w:hanging="720"/>
        <w:jc w:val="both"/>
        <w:rPr/>
      </w:pPr>
      <w:r>
        <w:rPr>
          <w:rFonts w:ascii="Times New Roman;sans-serif" w:hAnsi="Times New Roman;sans-serif"/>
          <w:b/>
          <w:i/>
          <w:color w:val="000000"/>
          <w:sz w:val="24"/>
        </w:rPr>
        <w:t>3.</w:t>
      </w:r>
      <w:r>
        <w:rPr>
          <w:rFonts w:ascii="Times New Roman;sans-serif" w:hAnsi="Times New Roman;sans-serif"/>
          <w:b/>
          <w:i/>
          <w:color w:val="000000"/>
          <w:sz w:val="22"/>
        </w:rPr>
        <w:t>Non-Interference with Personnel Relations</w:t>
      </w:r>
      <w:r>
        <w:rPr>
          <w:rFonts w:ascii="Times New Roman;sans-serif" w:hAnsi="Times New Roman;sans-serif"/>
          <w:b w:val="false"/>
          <w:color w:val="000000"/>
          <w:sz w:val="22"/>
        </w:rPr>
        <w:t>. At any time while Executive is employed by the Company and at any time during the Restrictive Period after such employment ends for any reason, Executive acting either directly or indirectly, or through any other person, firm, or corporation, will not then, at such time, hire, contract with or employ any then key employee of the Company, and/or any then key employee of any direct or indirect subsidiary of the Company with whom Executive interacted during his employment with Company (“</w:t>
      </w:r>
      <w:r>
        <w:rPr>
          <w:rFonts w:ascii="Times New Roman;sans-serif" w:hAnsi="Times New Roman;sans-serif"/>
          <w:b w:val="false"/>
          <w:color w:val="000000"/>
          <w:sz w:val="22"/>
          <w:u w:val="single"/>
        </w:rPr>
        <w:t>Restricted Employees</w:t>
      </w:r>
      <w:r>
        <w:rPr>
          <w:color w:val="000000"/>
        </w:rPr>
        <w:t>”</w:t>
      </w:r>
      <w:r>
        <w:rPr>
          <w:rFonts w:ascii="Times New Roman;sans-serif" w:hAnsi="Times New Roman;sans-serif"/>
          <w:b w:val="false"/>
          <w:color w:val="000000"/>
          <w:sz w:val="22"/>
        </w:rPr>
        <w:t xml:space="preserve">). Further, Executive will not induce or attempt to induce or influence any of the Restricted Employees to terminate employment with the Company, and/or any direct or indirect subsidiary. </w:t>
      </w:r>
    </w:p>
    <w:p>
      <w:pPr>
        <w:pStyle w:val="TextBody"/>
        <w:spacing w:before="0" w:after="0"/>
        <w:rPr/>
      </w:pPr>
      <w:r>
        <w:rPr/>
      </w:r>
    </w:p>
    <w:p>
      <w:pPr>
        <w:pStyle w:val="TextBody"/>
        <w:spacing w:lineRule="auto" w:line="300" w:before="0" w:after="0"/>
        <w:ind w:left="0" w:right="0" w:hanging="720"/>
        <w:jc w:val="both"/>
        <w:rPr/>
      </w:pPr>
      <w:r>
        <w:rPr>
          <w:rFonts w:ascii="Times New Roman;sans-serif" w:hAnsi="Times New Roman;sans-serif"/>
          <w:b/>
          <w:i/>
          <w:color w:val="000000"/>
          <w:sz w:val="24"/>
        </w:rPr>
        <w:t>4.</w:t>
      </w:r>
      <w:r>
        <w:rPr>
          <w:rFonts w:ascii="Times New Roman;sans-serif" w:hAnsi="Times New Roman;sans-serif"/>
          <w:b/>
          <w:i/>
          <w:color w:val="000000"/>
          <w:sz w:val="22"/>
        </w:rPr>
        <w:t>Non-Competition</w:t>
      </w:r>
      <w:r>
        <w:rPr>
          <w:rFonts w:ascii="Times New Roman;sans-serif" w:hAnsi="Times New Roman;sans-serif"/>
          <w:b w:val="false"/>
          <w:color w:val="000000"/>
          <w:sz w:val="22"/>
        </w:rPr>
        <w:t>. While Executive is employed by the Company and for the Restrictive Period after such employment ends, Executive will not, directly or indirectly, or 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for any purpose related to a Competing Business, as defined below. A “</w:t>
      </w:r>
      <w:r>
        <w:rPr>
          <w:rFonts w:ascii="Times New Roman;sans-serif" w:hAnsi="Times New Roman;sans-serif"/>
          <w:b w:val="false"/>
          <w:color w:val="000000"/>
          <w:sz w:val="22"/>
          <w:u w:val="single"/>
        </w:rPr>
        <w:t>Competing Business</w:t>
      </w:r>
      <w:r>
        <w:rPr>
          <w:color w:val="000000"/>
        </w:rPr>
        <w:t xml:space="preserve">” </w:t>
      </w:r>
      <w:r>
        <w:rPr>
          <w:rFonts w:ascii="Times New Roman;sans-serif" w:hAnsi="Times New Roman;sans-serif"/>
          <w:b w:val="false"/>
          <w:color w:val="000000"/>
          <w:sz w:val="22"/>
        </w:rPr>
        <w:t>is one that engages in the production, sale, or marketing of a product or service that is substantially similar to, or serves the same primary purpose as, any product or service produced, sold or marketed by the Company or any direct or indirect subsidiary of the Company with which Executive interacted during his employment with the Company. The term “customer” or “supplier” means any customer or supplier with whom Executive had business contact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pStyle w:val="TextBody"/>
        <w:spacing w:before="0" w:after="0"/>
        <w:jc w:val="both"/>
        <w:rPr/>
      </w:pPr>
      <w:r>
        <w:rPr/>
      </w:r>
    </w:p>
    <w:p>
      <w:pPr>
        <w:pStyle w:val="TextBody"/>
        <w:spacing w:lineRule="auto" w:line="300"/>
        <w:ind w:left="0" w:right="0" w:hanging="720"/>
        <w:jc w:val="both"/>
        <w:rPr/>
      </w:pPr>
      <w:r>
        <w:rPr>
          <w:rFonts w:ascii="Times New Roman;sans-serif" w:hAnsi="Times New Roman;sans-serif"/>
          <w:b/>
          <w:i/>
          <w:color w:val="000000"/>
          <w:sz w:val="24"/>
        </w:rPr>
        <w:t>5.</w:t>
      </w:r>
      <w:r>
        <w:rPr>
          <w:rFonts w:ascii="Times New Roman;sans-serif" w:hAnsi="Times New Roman;sans-serif"/>
          <w:b/>
          <w:i/>
          <w:color w:val="000000"/>
          <w:sz w:val="22"/>
        </w:rPr>
        <w:t>Notification to Subsequent Employers</w:t>
      </w:r>
      <w:r>
        <w:rPr>
          <w:rFonts w:ascii="Times New Roman;sans-serif" w:hAnsi="Times New Roman;sans-serif"/>
          <w:b w:val="false"/>
          <w:color w:val="000000"/>
          <w:sz w:val="22"/>
        </w:rPr>
        <w:t xml:space="preserve">. Executive grants the Company the right to notify any future employer or prospective employer of Executive concerning the existence of and terms of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0" name="Frame2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300" w:before="0" w:after="0"/>
        <w:jc w:val="both"/>
        <w:rPr/>
      </w:pPr>
      <w:r>
        <w:rPr>
          <w:rFonts w:ascii="Times New Roman;sans-serif" w:hAnsi="Times New Roman;sans-serif"/>
          <w:b w:val="false"/>
          <w:color w:val="000000"/>
          <w:sz w:val="22"/>
        </w:rPr>
        <w:t>this Agreement and grants the Company the right to provide a copy of this Agreement to any such subsequent employer or prospective employer.</w:t>
      </w:r>
      <w:r>
        <w:rPr>
          <w:color w:val="000000"/>
        </w:rPr>
        <w:t xml:space="preserve"> </w:t>
      </w:r>
    </w:p>
    <w:p>
      <w:pPr>
        <w:pStyle w:val="TextBody"/>
        <w:spacing w:before="0" w:after="0"/>
        <w:rPr/>
      </w:pPr>
      <w:r>
        <w:rPr/>
      </w:r>
    </w:p>
    <w:p>
      <w:pPr>
        <w:pStyle w:val="TextBody"/>
        <w:spacing w:lineRule="auto" w:line="300" w:before="0" w:after="229"/>
        <w:ind w:left="0" w:right="0" w:hanging="720"/>
        <w:jc w:val="both"/>
        <w:rPr/>
      </w:pPr>
      <w:r>
        <w:rPr>
          <w:rFonts w:ascii="Times New Roman;sans-serif" w:hAnsi="Times New Roman;sans-serif"/>
          <w:b/>
          <w:i/>
          <w:color w:val="000000"/>
          <w:sz w:val="24"/>
        </w:rPr>
        <w:t>6.</w:t>
      </w:r>
      <w:r>
        <w:rPr>
          <w:rFonts w:ascii="Times New Roman;sans-serif" w:hAnsi="Times New Roman;sans-serif"/>
          <w:b/>
          <w:i/>
          <w:color w:val="000000"/>
          <w:sz w:val="22"/>
        </w:rPr>
        <w:t>Company Proprietary Rights</w:t>
      </w:r>
      <w:r>
        <w:rPr>
          <w:rFonts w:ascii="Times New Roman;sans-serif" w:hAnsi="Times New Roman;sans-serif"/>
          <w:b w:val="false"/>
          <w:color w:val="000000"/>
          <w:sz w:val="22"/>
        </w:rPr>
        <w:t>.</w:t>
      </w:r>
    </w:p>
    <w:p>
      <w:pPr>
        <w:pStyle w:val="TextBody"/>
        <w:spacing w:lineRule="auto" w:line="300" w:before="241" w:after="283"/>
        <w:ind w:left="0" w:right="0" w:hanging="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Company to Retain Rights.</w:t>
      </w:r>
      <w:r>
        <w:rPr>
          <w:color w:val="000000"/>
        </w:rPr>
        <w:t xml:space="preserve"> </w:t>
      </w:r>
      <w:r>
        <w:rPr>
          <w:rFonts w:ascii="Times New Roman;sans-serif" w:hAnsi="Times New Roman;sans-serif"/>
          <w:b w:val="false"/>
          <w:color w:val="000000"/>
          <w:sz w:val="22"/>
        </w:rPr>
        <w:t>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and/or any direct or indirect subsidiary of the Company (collectively, “</w:t>
      </w:r>
      <w:r>
        <w:rPr>
          <w:rFonts w:ascii="Times New Roman;sans-serif" w:hAnsi="Times New Roman;sans-serif"/>
          <w:b w:val="false"/>
          <w:color w:val="000000"/>
          <w:sz w:val="22"/>
          <w:u w:val="single"/>
        </w:rPr>
        <w:t>Company Intellectual Property</w:t>
      </w:r>
      <w:r>
        <w:rPr>
          <w:color w:val="000000"/>
        </w:rPr>
        <w:t>”</w:t>
      </w:r>
      <w:r>
        <w:rPr>
          <w:rFonts w:ascii="Times New Roman;sans-serif" w:hAnsi="Times New Roman;sans-serif"/>
          <w:b w:val="false"/>
          <w:color w:val="000000"/>
          <w:sz w:val="22"/>
        </w:rPr>
        <w:t>) shall become and remain the exclusive property of the Company and/or such direct or indirect subsidiary, and Executive shall have no interest therein.</w:t>
      </w:r>
    </w:p>
    <w:p>
      <w:pPr>
        <w:pStyle w:val="TextBody"/>
        <w:spacing w:lineRule="auto" w:line="300" w:before="0" w:after="0"/>
        <w:ind w:left="0" w:right="0" w:hanging="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Further Assurances.</w:t>
      </w:r>
      <w:r>
        <w:rPr>
          <w:color w:val="000000"/>
        </w:rPr>
        <w:t xml:space="preserve"> </w:t>
      </w:r>
      <w:r>
        <w:rPr>
          <w:rFonts w:ascii="Times New Roman;sans-serif" w:hAnsi="Times New Roman;sans-serif"/>
          <w:b w:val="false"/>
          <w:color w:val="000000"/>
          <w:sz w:val="22"/>
        </w:rPr>
        <w:t>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pStyle w:val="TextBody"/>
        <w:spacing w:before="0" w:after="0"/>
        <w:jc w:val="both"/>
        <w:rPr/>
      </w:pPr>
      <w:r>
        <w:rPr/>
      </w:r>
    </w:p>
    <w:p>
      <w:pPr>
        <w:pStyle w:val="TextBody"/>
        <w:spacing w:lineRule="auto" w:line="300" w:before="1" w:after="283"/>
        <w:ind w:left="0" w:right="0" w:hanging="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Return of Material.</w:t>
      </w:r>
      <w:r>
        <w:rPr>
          <w:color w:val="000000"/>
        </w:rPr>
        <w:t xml:space="preserve"> </w:t>
      </w:r>
      <w:r>
        <w:rPr>
          <w:rFonts w:ascii="Times New Roman;sans-serif" w:hAnsi="Times New Roman;sans-serif"/>
          <w:b w:val="false"/>
          <w:color w:val="000000"/>
          <w:sz w:val="22"/>
        </w:rPr>
        <w:t>Upon the termination of the Executive’s employment under this Agreement at the Company’s written request, the Executive will promptly return to the Company all copies of information protected by paragraph 6(a) hereof which are in his possession, custody or control, whether prepared by him or others, and the Executive agrees that he shall not retain any of same.</w:t>
      </w:r>
    </w:p>
    <w:p>
      <w:pPr>
        <w:pStyle w:val="TextBody"/>
        <w:spacing w:lineRule="auto" w:line="300" w:before="238" w:after="283"/>
        <w:ind w:left="0" w:right="0" w:hanging="720"/>
        <w:jc w:val="both"/>
        <w:rPr/>
      </w:pPr>
      <w:r>
        <w:rPr>
          <w:rFonts w:ascii="Times New Roman;sans-serif" w:hAnsi="Times New Roman;sans-serif"/>
          <w:b/>
          <w:i/>
          <w:color w:val="000000"/>
          <w:sz w:val="24"/>
        </w:rPr>
        <w:t>7.</w:t>
      </w:r>
      <w:r>
        <w:rPr>
          <w:rFonts w:ascii="Times New Roman;sans-serif" w:hAnsi="Times New Roman;sans-serif"/>
          <w:b/>
          <w:i/>
          <w:color w:val="000000"/>
          <w:sz w:val="22"/>
        </w:rPr>
        <w:t>Withholding</w:t>
      </w:r>
      <w:r>
        <w:rPr>
          <w:rFonts w:ascii="Times New Roman;sans-serif" w:hAnsi="Times New Roman;sans-serif"/>
          <w:b w:val="false"/>
          <w:color w:val="000000"/>
          <w:sz w:val="22"/>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are required to be withheld pursuant to any applicable law or regulation. In lieu of withholding such amounts, the Company may accept other provisions, provided that it has sufficient funds to pay all taxes required by law to be withheld in respect of any or all such payments.</w:t>
      </w:r>
    </w:p>
    <w:p>
      <w:pPr>
        <w:pStyle w:val="TextBody"/>
        <w:spacing w:lineRule="auto" w:line="300" w:before="242" w:after="283"/>
        <w:ind w:left="0" w:right="0" w:hanging="720"/>
        <w:jc w:val="both"/>
        <w:rPr/>
      </w:pPr>
      <w:r>
        <w:rPr>
          <w:rFonts w:ascii="Times New Roman;sans-serif" w:hAnsi="Times New Roman;sans-serif"/>
          <w:b/>
          <w:i/>
          <w:color w:val="000000"/>
          <w:sz w:val="24"/>
        </w:rPr>
        <w:t>8.</w:t>
      </w:r>
      <w:r>
        <w:rPr>
          <w:rFonts w:ascii="Times New Roman;sans-serif" w:hAnsi="Times New Roman;sans-serif"/>
          <w:b/>
          <w:i/>
          <w:color w:val="000000"/>
          <w:sz w:val="22"/>
        </w:rPr>
        <w:t>Mitigation</w:t>
      </w:r>
      <w:r>
        <w:rPr>
          <w:rFonts w:ascii="Times New Roman;sans-serif" w:hAnsi="Times New Roman;sans-serif"/>
          <w:b w:val="false"/>
          <w:color w:val="000000"/>
          <w:sz w:val="22"/>
        </w:rPr>
        <w:t>. The Company’s obligation to make the payments provided for in this Agreement and otherwise to perform its obligations hereunder shall not be subject to set off for any reason and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pStyle w:val="TextBody"/>
        <w:spacing w:lineRule="auto" w:line="300" w:before="238" w:after="283"/>
        <w:ind w:left="0" w:right="0" w:hanging="720"/>
        <w:jc w:val="both"/>
        <w:rPr/>
      </w:pPr>
      <w:r>
        <w:rPr>
          <w:rFonts w:ascii="Times New Roman;sans-serif" w:hAnsi="Times New Roman;sans-serif"/>
          <w:b/>
          <w:i/>
          <w:color w:val="000000"/>
          <w:sz w:val="24"/>
        </w:rPr>
        <w:t>9.</w:t>
      </w:r>
      <w:r>
        <w:rPr>
          <w:rFonts w:ascii="Times New Roman;sans-serif" w:hAnsi="Times New Roman;sans-serif"/>
          <w:b/>
          <w:i/>
          <w:color w:val="000000"/>
          <w:sz w:val="22"/>
        </w:rPr>
        <w:t>Notices</w:t>
      </w:r>
      <w:r>
        <w:rPr>
          <w:rFonts w:ascii="Times New Roman;sans-serif" w:hAnsi="Times New Roman;sans-serif"/>
          <w:b w:val="false"/>
          <w:color w:val="000000"/>
          <w:sz w:val="22"/>
        </w:rPr>
        <w:t xml:space="preserve">. All notices, requests, demands and other communications provided for by this Agreement shall be in writing and shall be sufficiently given if and when mailed in the continental United States by registered or certified mail, or personally delivered to the party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1" name="Frame2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300" w:before="238" w:after="283"/>
        <w:jc w:val="both"/>
        <w:rPr>
          <w:rFonts w:ascii="Times New Roman;sans-serif" w:hAnsi="Times New Roman;sans-serif"/>
          <w:b w:val="false"/>
          <w:color w:val="000000"/>
          <w:sz w:val="22"/>
        </w:rPr>
      </w:pPr>
      <w:r>
        <w:rPr>
          <w:rFonts w:ascii="Times New Roman;sans-serif" w:hAnsi="Times New Roman;sans-serif"/>
          <w:b w:val="false"/>
          <w:color w:val="000000"/>
          <w:sz w:val="22"/>
        </w:rPr>
        <w:t>entitled thereto, at the address stated below or to such changed address as the addressee may have given by a similar notice:</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To the Company:    NN, Inc.</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Attn: General Counsel</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6210 Ardrey Kell Road</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Suite 600 </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Charlotte, NC 28277</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To the Executive:    Harold Bevis</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6210 Ardrey Kell Road</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Suite 600 </w:t>
      </w:r>
    </w:p>
    <w:p>
      <w:pPr>
        <w:pStyle w:val="TextBody"/>
        <w:spacing w:lineRule="auto" w:line="288" w:before="0" w:after="311"/>
        <w:rPr>
          <w:rFonts w:ascii="Times New Roman;sans-serif" w:hAnsi="Times New Roman;sans-serif"/>
          <w:b w:val="false"/>
          <w:color w:val="000000"/>
          <w:sz w:val="22"/>
        </w:rPr>
      </w:pPr>
      <w:r>
        <w:rPr>
          <w:rFonts w:ascii="Times New Roman;sans-serif" w:hAnsi="Times New Roman;sans-serif"/>
          <w:b w:val="false"/>
          <w:color w:val="000000"/>
          <w:sz w:val="22"/>
        </w:rPr>
        <w:t>Charlotte, NC 28277</w:t>
      </w:r>
    </w:p>
    <w:p>
      <w:pPr>
        <w:pStyle w:val="TextBody"/>
        <w:spacing w:lineRule="auto" w:line="300" w:before="1" w:after="283"/>
        <w:ind w:left="0" w:right="0" w:hanging="720"/>
        <w:jc w:val="both"/>
        <w:rPr/>
      </w:pPr>
      <w:r>
        <w:rPr>
          <w:rFonts w:ascii="Times New Roman;sans-serif" w:hAnsi="Times New Roman;sans-serif"/>
          <w:b/>
          <w:i/>
          <w:color w:val="000000"/>
          <w:sz w:val="24"/>
        </w:rPr>
        <w:t>10.</w:t>
      </w:r>
      <w:r>
        <w:rPr>
          <w:rFonts w:ascii="Times New Roman;sans-serif" w:hAnsi="Times New Roman;sans-serif"/>
          <w:b/>
          <w:i/>
          <w:color w:val="000000"/>
          <w:sz w:val="22"/>
        </w:rPr>
        <w:t>Successors; Binding Agreement</w:t>
      </w:r>
      <w:r>
        <w:rPr>
          <w:rFonts w:ascii="Times New Roman;sans-serif" w:hAnsi="Times New Roman;sans-serif"/>
          <w:b w:val="false"/>
          <w:color w:val="000000"/>
          <w:sz w:val="22"/>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paragraph or which otherwise becomes bound by all the terms and provisions of this Agreement by operation of law.</w:t>
      </w:r>
    </w:p>
    <w:p>
      <w:pPr>
        <w:pStyle w:val="TextBody"/>
        <w:spacing w:lineRule="auto" w:line="30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expressly provided under this Agreement, shall be paid in accordance with the terms of this Agreement to his devisee, legatee or other designee, or if there be no such designee, to the Executive’s estate.</w:t>
      </w:r>
    </w:p>
    <w:p>
      <w:pPr>
        <w:pStyle w:val="TextBody"/>
        <w:spacing w:lineRule="auto" w:line="300" w:before="240" w:after="283"/>
        <w:ind w:left="0" w:right="0" w:hanging="720"/>
        <w:jc w:val="both"/>
        <w:rPr/>
      </w:pPr>
      <w:r>
        <w:rPr>
          <w:rFonts w:ascii="Times New Roman;sans-serif" w:hAnsi="Times New Roman;sans-serif"/>
          <w:b/>
          <w:i/>
          <w:color w:val="000000"/>
          <w:sz w:val="24"/>
        </w:rPr>
        <w:t>11.</w:t>
      </w:r>
      <w:r>
        <w:rPr>
          <w:rFonts w:ascii="Times New Roman;sans-serif" w:hAnsi="Times New Roman;sans-serif"/>
          <w:b/>
          <w:i/>
          <w:color w:val="000000"/>
          <w:sz w:val="22"/>
        </w:rPr>
        <w:t>Modification, Waiver or Discharge</w:t>
      </w:r>
      <w:r>
        <w:rPr>
          <w:rFonts w:ascii="Times New Roman;sans-serif" w:hAnsi="Times New Roman;sans-serif"/>
          <w:b w:val="false"/>
          <w:color w:val="000000"/>
          <w:sz w:val="22"/>
        </w:rPr>
        <w:t>. No provision of this Agreement may be modified or discharged unless such modification or discharge is authorized by the Board of Directors of the Company and is agreed to in writing, signed by the Executive and by an officer of the Company duly authorized by the Board.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 No failure or delay by any party hereto in exercising any right, power or privilege under this Agreement shall operate as a waiver thereof nor shall any single or partial exercise thereof preclude any other or further exercise of any right, power or privilege hereunder.</w:t>
      </w:r>
    </w:p>
    <w:p>
      <w:pPr>
        <w:pStyle w:val="TextBody"/>
        <w:spacing w:lineRule="auto" w:line="300" w:before="240" w:after="234"/>
        <w:ind w:left="0" w:right="0" w:hanging="720"/>
        <w:jc w:val="both"/>
        <w:rPr/>
      </w:pPr>
      <w:r>
        <w:rPr>
          <w:rFonts w:ascii="Times New Roman;sans-serif" w:hAnsi="Times New Roman;sans-serif"/>
          <w:b/>
          <w:i/>
          <w:color w:val="000000"/>
          <w:sz w:val="24"/>
        </w:rPr>
        <w:t>12.</w:t>
      </w:r>
      <w:r>
        <w:rPr>
          <w:rFonts w:ascii="Times New Roman;sans-serif" w:hAnsi="Times New Roman;sans-serif"/>
          <w:b/>
          <w:i/>
          <w:color w:val="000000"/>
          <w:sz w:val="22"/>
        </w:rPr>
        <w:t>Entire Agreement</w:t>
      </w:r>
      <w:r>
        <w:rPr>
          <w:rFonts w:ascii="Times New Roman;sans-serif" w:hAnsi="Times New Roman;sans-serif"/>
          <w:b w:val="false"/>
          <w:color w:val="000000"/>
          <w:sz w:val="22"/>
        </w:rPr>
        <w:t xml:space="preserve">.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any indemnification agreement by and between the Company and Executive or any general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2" name="Frame2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300" w:before="240" w:after="23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indemnification policy in favor of Executive, which shall continue and remain in full force and effect. </w:t>
      </w:r>
    </w:p>
    <w:p>
      <w:pPr>
        <w:pStyle w:val="TextBody"/>
        <w:spacing w:lineRule="auto" w:line="300" w:before="240" w:after="234"/>
        <w:ind w:left="0" w:right="0" w:hanging="720"/>
        <w:jc w:val="both"/>
        <w:rPr/>
      </w:pPr>
      <w:r>
        <w:rPr>
          <w:rFonts w:ascii="Times New Roman;sans-serif" w:hAnsi="Times New Roman;sans-serif"/>
          <w:b/>
          <w:i/>
          <w:color w:val="000000"/>
          <w:sz w:val="24"/>
        </w:rPr>
        <w:t>13.</w:t>
      </w:r>
      <w:r>
        <w:rPr>
          <w:rFonts w:ascii="Times New Roman;sans-serif" w:hAnsi="Times New Roman;sans-serif"/>
          <w:b/>
          <w:i/>
          <w:color w:val="000000"/>
          <w:sz w:val="22"/>
        </w:rPr>
        <w:t>Governing Law</w:t>
      </w:r>
      <w:r>
        <w:rPr>
          <w:rFonts w:ascii="Times New Roman;sans-serif" w:hAnsi="Times New Roman;sans-serif"/>
          <w:b w:val="false"/>
          <w:color w:val="000000"/>
          <w:sz w:val="22"/>
        </w:rPr>
        <w:t>. The validity, interpretation, construction and performance of this Agreement shall be governed by the laws of the State of Delaware, without regard to its conflict of laws principles, to the extent federal law does not apply.</w:t>
      </w:r>
      <w:r>
        <w:rPr>
          <w:color w:val="000000"/>
        </w:rPr>
        <w:t xml:space="preserve"> </w:t>
      </w:r>
    </w:p>
    <w:p>
      <w:pPr>
        <w:pStyle w:val="TextBody"/>
        <w:spacing w:lineRule="auto" w:line="300" w:before="0" w:after="0"/>
        <w:ind w:left="0" w:right="0" w:hanging="720"/>
        <w:jc w:val="both"/>
        <w:rPr/>
      </w:pPr>
      <w:r>
        <w:rPr>
          <w:rFonts w:ascii="Times New Roman;sans-serif" w:hAnsi="Times New Roman;sans-serif"/>
          <w:b/>
          <w:i/>
          <w:color w:val="000000"/>
          <w:sz w:val="24"/>
        </w:rPr>
        <w:t>14.</w:t>
      </w:r>
      <w:r>
        <w:rPr>
          <w:rFonts w:ascii="Times New Roman;sans-serif" w:hAnsi="Times New Roman;sans-serif"/>
          <w:b/>
          <w:i/>
          <w:color w:val="000000"/>
          <w:sz w:val="22"/>
        </w:rPr>
        <w:t>Resolution of Disputes</w:t>
      </w:r>
      <w:r>
        <w:rPr>
          <w:rFonts w:ascii="Times New Roman;sans-serif" w:hAnsi="Times New Roman;sans-serif"/>
          <w:b w:val="false"/>
          <w:color w:val="000000"/>
          <w:sz w:val="22"/>
        </w:rPr>
        <w:t xml:space="preserve">. Any dispute or claim arising out of or relating to this Agreement shall be settled by final and binding arbitration in Charlotte, North Carolina in accordance with the Commercial Arbitration rules of the American Arbitration Association, and judgment upon the award rendered by the arbitrators may be entered in any court having jurisdiction thereof. </w:t>
      </w:r>
    </w:p>
    <w:p>
      <w:pPr>
        <w:pStyle w:val="TextBody"/>
        <w:spacing w:before="0" w:after="0"/>
        <w:jc w:val="both"/>
        <w:rPr/>
      </w:pPr>
      <w:r>
        <w:rPr/>
      </w:r>
    </w:p>
    <w:p>
      <w:pPr>
        <w:pStyle w:val="TextBody"/>
        <w:spacing w:lineRule="auto" w:line="300" w:before="0" w:after="0"/>
        <w:ind w:left="0" w:right="0" w:hanging="720"/>
        <w:jc w:val="both"/>
        <w:rPr/>
      </w:pPr>
      <w:r>
        <w:rPr>
          <w:rFonts w:ascii="Times New Roman;sans-serif" w:hAnsi="Times New Roman;sans-serif"/>
          <w:b/>
          <w:i/>
          <w:color w:val="000000"/>
          <w:sz w:val="24"/>
        </w:rPr>
        <w:t>15.</w:t>
      </w:r>
      <w:r>
        <w:rPr>
          <w:rFonts w:ascii="Times New Roman;sans-serif" w:hAnsi="Times New Roman;sans-serif"/>
          <w:b/>
          <w:i/>
          <w:color w:val="000000"/>
          <w:sz w:val="22"/>
        </w:rPr>
        <w:t>Validity</w:t>
      </w:r>
      <w:r>
        <w:rPr>
          <w:rFonts w:ascii="Times New Roman;sans-serif" w:hAnsi="Times New Roman;sans-serif"/>
          <w:b w:val="false"/>
          <w:color w:val="000000"/>
          <w:sz w:val="22"/>
        </w:rPr>
        <w:t>. The invalidity or unenforceability of any provision of this Agreement shall not affect the validity or enforceability of the other provisions of this Agreement, which latter provisions shall remain in full force and effect.</w:t>
      </w:r>
    </w:p>
    <w:p>
      <w:pPr>
        <w:pStyle w:val="TextBody"/>
        <w:spacing w:before="0" w:after="0"/>
        <w:rPr/>
      </w:pPr>
      <w:r>
        <w:rPr/>
      </w:r>
    </w:p>
    <w:p>
      <w:pPr>
        <w:pStyle w:val="TextBody"/>
        <w:spacing w:lineRule="auto" w:line="300" w:before="0" w:after="0"/>
        <w:ind w:left="0" w:right="0" w:hanging="720"/>
        <w:jc w:val="both"/>
        <w:rPr/>
      </w:pPr>
      <w:r>
        <w:rPr>
          <w:rFonts w:ascii="Times New Roman;sans-serif" w:hAnsi="Times New Roman;sans-serif"/>
          <w:b/>
          <w:i/>
          <w:color w:val="000000"/>
          <w:sz w:val="24"/>
        </w:rPr>
        <w:t>16.</w:t>
      </w:r>
      <w:r>
        <w:rPr>
          <w:rFonts w:ascii="Times New Roman;sans-serif" w:hAnsi="Times New Roman;sans-serif"/>
          <w:b/>
          <w:i/>
          <w:color w:val="000000"/>
          <w:sz w:val="22"/>
        </w:rPr>
        <w:t>Compliance with Section 409A</w:t>
      </w:r>
      <w:r>
        <w:rPr>
          <w:rFonts w:ascii="Times New Roman;sans-serif" w:hAnsi="Times New Roman;sans-serif"/>
          <w:b w:val="false"/>
          <w:color w:val="000000"/>
          <w:sz w:val="22"/>
        </w:rPr>
        <w:t>.</w:t>
      </w:r>
    </w:p>
    <w:p>
      <w:pPr>
        <w:pStyle w:val="TextBody"/>
        <w:spacing w:lineRule="auto" w:line="300" w:before="242" w:after="238"/>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General.</w:t>
      </w:r>
      <w:r>
        <w:rPr>
          <w:color w:val="000000"/>
        </w:rPr>
        <w:t xml:space="preserve"> </w:t>
      </w:r>
      <w:r>
        <w:rPr>
          <w:rFonts w:ascii="Times New Roman;sans-serif" w:hAnsi="Times New Roman;sans-serif"/>
          <w:b w:val="false"/>
          <w:color w:val="000000"/>
          <w:sz w:val="22"/>
        </w:rPr>
        <w:t>It is intended that the Agreement will comply with Section 409A of the Code and the regulations and other guidance thereunder (“</w:t>
      </w:r>
      <w:r>
        <w:rPr>
          <w:rFonts w:ascii="Times New Roman;sans-serif" w:hAnsi="Times New Roman;sans-serif"/>
          <w:b w:val="false"/>
          <w:color w:val="000000"/>
          <w:sz w:val="22"/>
          <w:u w:val="single"/>
        </w:rPr>
        <w:t>Section 409A</w:t>
      </w:r>
      <w:r>
        <w:rPr>
          <w:color w:val="000000"/>
        </w:rPr>
        <w:t>”</w:t>
      </w:r>
      <w:r>
        <w:rPr>
          <w:rFonts w:ascii="Times New Roman;sans-serif" w:hAnsi="Times New Roman;sans-serif"/>
          <w:b w:val="false"/>
          <w:color w:val="000000"/>
          <w:sz w:val="22"/>
        </w:rPr>
        <w:t>), and the Agreement shall be interpreted consistent with such intent. As permitted by Section 409A, each installment or other payment made or benefit provided hereunder shall be treated as “separate payment” for purposes of Section 409A and the available exemptions under Section 409A shall be stacked to the maximum extent possible so that the Executive will not be subject to tax penalties imposed under Section 409A of the Code and this Agreement shall be construed accordingly. This Agreement may be amended in any respect deemed necessary (including retroactively) in order to pursue compliance with Section 409A. To the extent necessary, the parties hereto agree to negotiate in good faith should any amendment to this Agreement be required in order to comply with Section 409A of the Code The foregoing shall not be construed as a guarantee of any particular tax effect for benefits under this Agreement. The Executive or any beneficiary, as applicable, is solely responsible and liable for the satisfaction of all taxes, interest and penalties that may be imposed on the Executive or any beneficiary in connection with any payments to the Executive or beneficiary under the Agreement, including any taxes, interest and penalties under Section 409A, and neither the Company nor any director, officer or affiliate shall have any obligation to indemnify or otherwise hold the Executive or a beneficiary harmless from any and all of such taxes, interest and penalties. To the extent Executive is entitled to be paid or reimbursed for any taxable expenses under this Agreement, and such payments or reimbursements are includible in Executive’s federal gross taxable income, the amount of such expenses reimbursable in any one calendar year shall not affect the amount reimbursable in any other calendar year, and the reimbursement of an eligible expense shall be made no later than December 31 of the year after the year in which the expense was incurred. Executive’s right to reimbursement of expenses under this Agreement shall not be subject to liquidation or exchange for another benefit.</w:t>
      </w:r>
    </w:p>
    <w:p>
      <w:pPr>
        <w:pStyle w:val="TextBody"/>
        <w:spacing w:lineRule="auto" w:line="300"/>
        <w:ind w:left="0" w:right="0" w:hanging="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Six Month Delay for Specified Employees.</w:t>
      </w:r>
      <w:r>
        <w:rPr>
          <w:color w:val="000000"/>
        </w:rPr>
        <w:t xml:space="preserve"> </w:t>
      </w:r>
      <w:r>
        <w:rPr>
          <w:rFonts w:ascii="Times New Roman;sans-serif" w:hAnsi="Times New Roman;sans-serif"/>
          <w:b w:val="false"/>
          <w:color w:val="000000"/>
          <w:sz w:val="22"/>
        </w:rPr>
        <w:t xml:space="preserve">Notwithstanding anything in the Agreement to the contrary, if the Executive is determined to be a “specified employee” (as defined in Section 409A) for the year in which the Executive incurs a Separation from Service, any payment due under the Agreement that is not permitted to be paid on the date of such separation without the imposition of additional taxes, interest and penalties under Section 409A shall be paid on the first business day following the six-month anniversary of the Executive's date of separation or, if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3" name="Frame2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3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earlier, the Executive's death. In this regard, any payments that otherwise would have been made during such six (6) month period shall be paid to the Executive in a lump sum on the first date on which they may be paid, together with interest credited at the short-term applicable federal rate, compounded daily. </w:t>
      </w:r>
    </w:p>
    <w:p>
      <w:pPr>
        <w:pStyle w:val="TextBody"/>
        <w:spacing w:lineRule="auto" w:line="300" w:before="238" w:after="283"/>
        <w:ind w:left="0" w:right="0" w:hanging="720"/>
        <w:jc w:val="both"/>
        <w:rPr/>
      </w:pPr>
      <w:r>
        <w:rPr>
          <w:rFonts w:ascii="Times New Roman;sans-serif" w:hAnsi="Times New Roman;sans-serif"/>
          <w:b/>
          <w:i/>
          <w:color w:val="000000"/>
          <w:sz w:val="22"/>
        </w:rPr>
        <w:t>17.</w:t>
      </w:r>
      <w:r>
        <w:rPr>
          <w:color w:val="000000"/>
        </w:rPr>
        <w:t xml:space="preserve">     </w:t>
      </w:r>
      <w:r>
        <w:rPr>
          <w:rFonts w:ascii="Times New Roman;sans-serif" w:hAnsi="Times New Roman;sans-serif"/>
          <w:b/>
          <w:i/>
          <w:color w:val="000000"/>
          <w:sz w:val="22"/>
        </w:rPr>
        <w:t>No Adequate Remedy At Law</w:t>
      </w:r>
      <w:r>
        <w:rPr>
          <w:rFonts w:ascii="Times New Roman;sans-serif" w:hAnsi="Times New Roman;sans-serif"/>
          <w:b w:val="false"/>
          <w:color w:val="000000"/>
          <w:sz w:val="22"/>
        </w:rPr>
        <w:t>. The Company and the Executive recognize that each party may have no adequate remedy at law for breach by the other of any of the agreements contained herein, and particularly a breach of paragraphs 2, 3, 4, and 6, and, in the event of any such breach, the Company and the Executive hereby agree and consent that the other shall be entitled to injunctive relief or other appropriate remedy to enforce performance of such agreements.</w:t>
      </w:r>
    </w:p>
    <w:p>
      <w:pPr>
        <w:pStyle w:val="TextBody"/>
        <w:spacing w:lineRule="auto" w:line="300" w:before="241" w:after="283"/>
        <w:ind w:left="0" w:right="0" w:hanging="720"/>
        <w:jc w:val="both"/>
        <w:rPr/>
      </w:pPr>
      <w:r>
        <w:rPr>
          <w:rFonts w:ascii="Times New Roman;sans-serif" w:hAnsi="Times New Roman;sans-serif"/>
          <w:b/>
          <w:i/>
          <w:color w:val="000000"/>
          <w:sz w:val="24"/>
        </w:rPr>
        <w:t>18.</w:t>
      </w:r>
      <w:r>
        <w:rPr>
          <w:rFonts w:ascii="Times New Roman;sans-serif" w:hAnsi="Times New Roman;sans-serif"/>
          <w:b/>
          <w:i/>
          <w:color w:val="000000"/>
          <w:sz w:val="22"/>
        </w:rPr>
        <w:t>Non-Assignability</w:t>
      </w:r>
      <w:r>
        <w:rPr>
          <w:rFonts w:ascii="Times New Roman;sans-serif" w:hAnsi="Times New Roman;sans-serif"/>
          <w:b w:val="false"/>
          <w:color w:val="000000"/>
          <w:sz w:val="22"/>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in writing the Company’s obligations hereunder.</w:t>
      </w:r>
    </w:p>
    <w:p>
      <w:pPr>
        <w:pStyle w:val="TextBody"/>
        <w:spacing w:lineRule="auto" w:line="300" w:before="239" w:after="283"/>
        <w:ind w:left="0" w:right="0" w:hanging="720"/>
        <w:jc w:val="both"/>
        <w:rPr/>
      </w:pPr>
      <w:r>
        <w:rPr>
          <w:rFonts w:ascii="Times New Roman;sans-serif" w:hAnsi="Times New Roman;sans-serif"/>
          <w:b/>
          <w:i/>
          <w:color w:val="000000"/>
          <w:sz w:val="24"/>
        </w:rPr>
        <w:t>19.</w:t>
      </w:r>
      <w:r>
        <w:rPr>
          <w:rFonts w:ascii="Times New Roman;sans-serif" w:hAnsi="Times New Roman;sans-serif"/>
          <w:b/>
          <w:i/>
          <w:color w:val="000000"/>
          <w:sz w:val="22"/>
        </w:rPr>
        <w:t>Headings</w:t>
      </w:r>
      <w:r>
        <w:rPr>
          <w:rFonts w:ascii="Times New Roman;sans-serif" w:hAnsi="Times New Roman;sans-serif"/>
          <w:b w:val="false"/>
          <w:color w:val="000000"/>
          <w:sz w:val="22"/>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pStyle w:val="TextBody"/>
        <w:spacing w:lineRule="auto" w:line="300" w:before="238" w:after="283"/>
        <w:ind w:left="0" w:right="0" w:hanging="720"/>
        <w:jc w:val="both"/>
        <w:rPr/>
      </w:pPr>
      <w:r>
        <w:rPr>
          <w:rFonts w:ascii="Times New Roman;sans-serif" w:hAnsi="Times New Roman;sans-serif"/>
          <w:b/>
          <w:i/>
          <w:color w:val="000000"/>
          <w:sz w:val="24"/>
        </w:rPr>
        <w:t>20.</w:t>
      </w:r>
      <w:r>
        <w:rPr>
          <w:rFonts w:ascii="Times New Roman;sans-serif" w:hAnsi="Times New Roman;sans-serif"/>
          <w:b/>
          <w:i/>
          <w:color w:val="000000"/>
          <w:sz w:val="22"/>
        </w:rPr>
        <w:t>Counterparts</w:t>
      </w:r>
      <w:r>
        <w:rPr>
          <w:rFonts w:ascii="Times New Roman;sans-serif" w:hAnsi="Times New Roman;sans-serif"/>
          <w:b w:val="false"/>
          <w:color w:val="000000"/>
          <w:sz w:val="22"/>
        </w:rPr>
        <w:t>. This Agreement may be executed in one or more counterparts, each of which shall be deemed to be an original, but of which together will constitute one and the same instrument.</w:t>
      </w:r>
    </w:p>
    <w:p>
      <w:pPr>
        <w:pStyle w:val="TextBody"/>
        <w:spacing w:lineRule="auto" w:line="300" w:before="244" w:after="283"/>
        <w:ind w:left="0" w:right="0" w:hanging="720"/>
        <w:jc w:val="both"/>
        <w:rPr/>
      </w:pPr>
      <w:r>
        <w:rPr>
          <w:rFonts w:ascii="Times New Roman;sans-serif" w:hAnsi="Times New Roman;sans-serif"/>
          <w:b/>
          <w:i/>
          <w:color w:val="000000"/>
          <w:sz w:val="24"/>
        </w:rPr>
        <w:t>21.</w:t>
      </w:r>
      <w:r>
        <w:rPr>
          <w:rFonts w:ascii="Times New Roman;sans-serif" w:hAnsi="Times New Roman;sans-serif"/>
          <w:b/>
          <w:i/>
          <w:color w:val="000000"/>
          <w:sz w:val="22"/>
        </w:rPr>
        <w:t>Definitions</w:t>
      </w:r>
      <w:r>
        <w:rPr>
          <w:rFonts w:ascii="Times New Roman;sans-serif" w:hAnsi="Times New Roman;sans-serif"/>
          <w:b w:val="false"/>
          <w:color w:val="000000"/>
          <w:sz w:val="22"/>
        </w:rPr>
        <w:t>. For purposes of this Agreement, the following terms shall have the following meanings:</w:t>
      </w:r>
    </w:p>
    <w:p>
      <w:pPr>
        <w:pStyle w:val="TextBody"/>
        <w:spacing w:lineRule="auto" w:line="300" w:before="244" w:after="283"/>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Award Agreements</w:t>
      </w:r>
      <w:r>
        <w:rPr>
          <w:color w:val="000000"/>
        </w:rPr>
        <w:t xml:space="preserve">” </w:t>
      </w:r>
      <w:r>
        <w:rPr>
          <w:rFonts w:ascii="Times New Roman;sans-serif" w:hAnsi="Times New Roman;sans-serif"/>
          <w:b w:val="false"/>
          <w:color w:val="000000"/>
          <w:sz w:val="22"/>
        </w:rPr>
        <w:t>means (i) that certain Restricted Shares Grant Notice, dated May 22, 2023, by and between the Executive and the Company, and (ii) that certain Performance Share Unit Grant Notice, dated May 22, 2023, by and between the Executive and the Company.</w:t>
      </w:r>
    </w:p>
    <w:p>
      <w:pPr>
        <w:pStyle w:val="TextBody"/>
        <w:spacing w:lineRule="auto" w:line="300" w:before="244" w:after="283"/>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Cause</w:t>
      </w:r>
      <w:r>
        <w:rPr>
          <w:color w:val="000000"/>
        </w:rPr>
        <w:t xml:space="preserve">” </w:t>
      </w:r>
      <w:r>
        <w:rPr>
          <w:rFonts w:ascii="Times New Roman;sans-serif" w:hAnsi="Times New Roman;sans-serif"/>
          <w:b w:val="false"/>
          <w:color w:val="000000"/>
          <w:sz w:val="22"/>
        </w:rPr>
        <w:t>means any of the following:</w:t>
      </w:r>
    </w:p>
    <w:p>
      <w:pPr>
        <w:pStyle w:val="TextBody"/>
        <w:spacing w:lineRule="auto" w:line="300" w:before="237"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(i)the failure of the Executive to perform the Executive’s duties under this Agreement (other than as a result of physical or mental illness or injury), which failure, if correctable, and provided it does not constitute willful misconduct or gross negligence, remains uncorrected for 30 days following written notice to Executive by the Board of Directors of the Company of such breach;</w:t>
      </w:r>
    </w:p>
    <w:p>
      <w:pPr>
        <w:pStyle w:val="TextBody"/>
        <w:spacing w:lineRule="auto" w:line="300" w:before="242" w:after="229"/>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(ii)willful misconduct or gross negligence by the Executive in connection with his duties on behalf of the Company in either case that results in material damage to the business or reputation of the Company;</w:t>
      </w:r>
    </w:p>
    <w:p>
      <w:pPr>
        <w:pStyle w:val="TextBody"/>
        <w:spacing w:lineRule="auto" w:line="30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(iii)a material breach by Executive of this Agreement which, if correctable, remains uncorrected for 30 days following written notice to Executive by the Board of Directors of the Company of such breach; or</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4" name="Frame3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300" w:before="23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(iv)the Executive is convicted of a felony or any serious misdemeanor (other than traffic violations) involving moral turpitude committed in connection with Executive’s employment by the Company which causes the Company a substantial detriment.</w:t>
      </w:r>
    </w:p>
    <w:p>
      <w:pPr>
        <w:pStyle w:val="TextBody"/>
        <w:spacing w:lineRule="auto" w:line="300" w:before="238"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 act or failure to act shall be considered “willful” unless it is done, or omitted to be done, by Executive in bad faith or without reasonable belief that his action or omission was in the best interests of the Company. Any act or failure to act that is based upon authority given pursuant to a resolution duly adopted by the Board, or the advice of counsel for the Company, shall be conclusively presumed to be done, or omitted to be done, by Executive in good faith and in the best interests of the Company.</w:t>
      </w:r>
    </w:p>
    <w:p>
      <w:pPr>
        <w:pStyle w:val="TextBody"/>
        <w:spacing w:before="0" w:after="0"/>
        <w:jc w:val="both"/>
        <w:rPr/>
      </w:pPr>
      <w:r>
        <w:rPr/>
      </w:r>
    </w:p>
    <w:p>
      <w:pPr>
        <w:pStyle w:val="TextBody"/>
        <w:spacing w:lineRule="auto" w:line="300" w:before="24" w:after="283"/>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Change in Control</w:t>
      </w:r>
      <w:r>
        <w:rPr>
          <w:color w:val="000000"/>
        </w:rPr>
        <w:t xml:space="preserve">” </w:t>
      </w:r>
      <w:r>
        <w:rPr>
          <w:rFonts w:ascii="Times New Roman;sans-serif" w:hAnsi="Times New Roman;sans-serif"/>
          <w:b w:val="false"/>
          <w:color w:val="000000"/>
          <w:sz w:val="22"/>
        </w:rPr>
        <w:t>means, and shall occur on the date that any of the following occurs:</w:t>
      </w:r>
    </w:p>
    <w:p>
      <w:pPr>
        <w:pStyle w:val="TextBody"/>
        <w:spacing w:lineRule="auto" w:line="300" w:before="242" w:after="283"/>
        <w:ind w:left="0" w:right="0" w:hanging="720"/>
        <w:jc w:val="both"/>
        <w:rPr/>
      </w:pPr>
      <w:r>
        <w:rPr>
          <w:rFonts w:ascii="Times New Roman;sans-serif" w:hAnsi="Times New Roman;sans-serif"/>
          <w:b w:val="false"/>
          <w:color w:val="000000"/>
          <w:sz w:val="22"/>
        </w:rPr>
        <w:t>(i)A person, corporation, entity or group (1) makes a tender or exchange offer for the issued and outstanding voting stock of NN, Inc., (“</w:t>
      </w:r>
      <w:r>
        <w:rPr>
          <w:rFonts w:ascii="Times New Roman;sans-serif" w:hAnsi="Times New Roman;sans-serif"/>
          <w:b w:val="false"/>
          <w:color w:val="000000"/>
          <w:sz w:val="22"/>
          <w:u w:val="single"/>
        </w:rPr>
        <w:t>NN</w:t>
      </w:r>
      <w:r>
        <w:rPr>
          <w:color w:val="000000"/>
        </w:rPr>
        <w:t>”</w:t>
      </w:r>
      <w:r>
        <w:rPr>
          <w:rFonts w:ascii="Times New Roman;sans-serif" w:hAnsi="Times New Roman;sans-serif"/>
          <w:b w:val="false"/>
          <w:color w:val="000000"/>
          <w:sz w:val="22"/>
        </w:rPr>
        <w:t>) and beneficially owns fifty percent (50%) or more of the issued and outstanding voting stock of NN after such tender or exchange offer, or (2) acquires (or has acquired during the 12-month period ending on the date of the most recent acquisition by such person, corporation, entity or group),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pStyle w:val="TextBody"/>
        <w:spacing w:lineRule="auto" w:line="300" w:before="23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w:t>
      </w:r>
    </w:p>
    <w:p>
      <w:pPr>
        <w:pStyle w:val="TextBody"/>
        <w:spacing w:lineRule="auto" w:line="30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(iii)NN sells fifty percent (50%) or more of its assets to any other person or persons (other than an affiliate or affiliates of NN) in a single transaction or a series of transactions; or</w:t>
      </w:r>
    </w:p>
    <w:p>
      <w:pPr>
        <w:pStyle w:val="TextBody"/>
        <w:spacing w:lineRule="auto" w:line="300" w:before="242" w:after="283"/>
        <w:ind w:left="0" w:right="0" w:hanging="720"/>
        <w:jc w:val="both"/>
        <w:rPr/>
      </w:pPr>
      <w:r>
        <w:rPr>
          <w:rFonts w:ascii="Times New Roman;sans-serif" w:hAnsi="Times New Roman;sans-serif"/>
          <w:b w:val="false"/>
          <w:color w:val="000000"/>
          <w:sz w:val="22"/>
        </w:rPr>
        <w:t>(iv)Individuals who, during any 12-month period, constitute the Board (the “</w:t>
      </w:r>
      <w:r>
        <w:rPr>
          <w:rFonts w:ascii="Times New Roman;sans-serif" w:hAnsi="Times New Roman;sans-serif"/>
          <w:b w:val="false"/>
          <w:color w:val="000000"/>
          <w:sz w:val="22"/>
          <w:u w:val="single"/>
        </w:rPr>
        <w:t>Incumbent Board</w:t>
      </w:r>
      <w:r>
        <w:rPr>
          <w:color w:val="000000"/>
        </w:rPr>
        <w:t>”</w:t>
      </w:r>
      <w:r>
        <w:rPr>
          <w:rFonts w:ascii="Times New Roman;sans-serif" w:hAnsi="Times New Roman;sans-serif"/>
          <w:b w:val="false"/>
          <w:color w:val="000000"/>
          <w:sz w:val="22"/>
        </w:rPr>
        <w:t>) cease for any reason to constitute at least sixty percent (60%) of the Board of Directors of NN; provided, however, that any individual becoming a director whose election or nomination was approved by a majority of the directors then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pStyle w:val="TextBody"/>
        <w:spacing w:lineRule="auto" w:line="300" w:before="240" w:after="283"/>
        <w:rPr>
          <w:rFonts w:ascii="Times New Roman;sans-serif" w:hAnsi="Times New Roman;sans-serif"/>
          <w:b w:val="false"/>
          <w:color w:val="000000"/>
          <w:sz w:val="22"/>
        </w:rPr>
      </w:pPr>
      <w:r>
        <w:rPr>
          <w:rFonts w:ascii="Times New Roman;sans-serif" w:hAnsi="Times New Roman;sans-serif"/>
          <w:b w:val="false"/>
          <w:color w:val="000000"/>
          <w:sz w:val="22"/>
        </w:rPr>
        <w:t>It is not intended that a Change in Control, in and of itself, will serve as an event which entitles Executive to any payment hereunder.</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5" name="Frame3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lineRule="auto" w:line="300" w:before="239" w:after="283"/>
        <w:ind w:left="0" w:right="0" w:hanging="720"/>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Internal Revenue Code of 1986 as amended.</w:t>
      </w:r>
    </w:p>
    <w:p>
      <w:pPr>
        <w:pStyle w:val="TextBody"/>
        <w:spacing w:lineRule="auto" w:line="300" w:before="242" w:after="283"/>
        <w:ind w:left="0" w:right="0" w:hanging="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Executive will be deemed Disabled if he is determined to be totally disabled by the Social Security Administration, or if Executive is determined to be disabled in accordance with a disability insurance program maintained by the Company if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pStyle w:val="TextBody"/>
        <w:spacing w:lineRule="auto" w:line="300" w:before="242" w:after="283"/>
        <w:ind w:left="0" w:right="0" w:hanging="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Good Reason</w:t>
      </w:r>
      <w:r>
        <w:rPr>
          <w:color w:val="000000"/>
        </w:rPr>
        <w:t xml:space="preserve">” </w:t>
      </w:r>
      <w:r>
        <w:rPr>
          <w:rFonts w:ascii="Times New Roman;sans-serif" w:hAnsi="Times New Roman;sans-serif"/>
          <w:b w:val="false"/>
          <w:color w:val="000000"/>
          <w:sz w:val="22"/>
        </w:rPr>
        <w:t>means any of the following events if not remedied by the Company within 30 days after receipt of notice thereof from the Executive: (i) assignment to the Executive of any duties inconsistent with Executive’s position duties, responsibilities, office, or any other action by the Company that results in a material diminution in the Executive’s position, authority, duties or responsibilities (including status, offices, titles and reporting requirements); (ii) any material failure by the Company to comply with this Agreement; (iii) any adverse change or reduction in Executive’s annual compensation and other benefits (including, without limitation, base salary, target bonus and incentive equity compensation); or (iv) a requirement to relocate Executive’s place of employment in excess of fifty (50) miles from the current principal office of the Company as of the date hereof.</w:t>
      </w:r>
    </w:p>
    <w:p>
      <w:pPr>
        <w:pStyle w:val="TextBody"/>
        <w:spacing w:lineRule="auto" w:line="300" w:before="242"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in this definition to the contrary, an alleged act by the Company shall not constitute a “Good Reason” event for purposes of this Agreement unless Executive gives written notice of the same to the Company within 90 days of the initial existence of the condition or circumstance constituting or giving rise to the purported Good Reason. Further, for avoidance of doubt, nothing in this Agreement shall preclude the Company from reducing Executive’s annual base salary and/or incentive opportunity as part of an across-the-board compensation adjustment to other employees at Executive’s level of employment.</w:t>
      </w:r>
    </w:p>
    <w:p>
      <w:pPr>
        <w:pStyle w:val="TextBody"/>
        <w:spacing w:lineRule="auto" w:line="300" w:before="240" w:after="283"/>
        <w:ind w:left="0" w:right="0" w:hanging="72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val="false"/>
          <w:color w:val="000000"/>
          <w:sz w:val="22"/>
          <w:u w:val="single"/>
        </w:rPr>
        <w:t>Notice of Termination</w:t>
      </w:r>
      <w:r>
        <w:rPr>
          <w:color w:val="000000"/>
        </w:rPr>
        <w:t xml:space="preserve">” </w:t>
      </w:r>
      <w:r>
        <w:rPr>
          <w:rFonts w:ascii="Times New Roman;sans-serif" w:hAnsi="Times New Roman;sans-serif"/>
          <w:b w:val="false"/>
          <w:color w:val="000000"/>
          <w:sz w:val="22"/>
        </w:rPr>
        <w:t>means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pStyle w:val="TextBody"/>
        <w:spacing w:lineRule="auto" w:line="300" w:before="238" w:after="120"/>
        <w:ind w:left="0" w:right="0" w:hanging="72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val="false"/>
          <w:color w:val="000000"/>
          <w:sz w:val="22"/>
          <w:u w:val="single"/>
        </w:rPr>
        <w:t>Qualifying Termination</w:t>
      </w:r>
      <w:r>
        <w:rPr>
          <w:color w:val="000000"/>
        </w:rPr>
        <w:t xml:space="preserve">” </w:t>
      </w:r>
      <w:r>
        <w:rPr>
          <w:rFonts w:ascii="Times New Roman;sans-serif" w:hAnsi="Times New Roman;sans-serif"/>
          <w:b w:val="false"/>
          <w:color w:val="000000"/>
          <w:sz w:val="22"/>
        </w:rPr>
        <w:t>means any of the following: (i) a Separation from Service by action of the Company that is not for Cause, or (ii) a Separation from Service by action of the Executive that is for Good Reason.</w:t>
      </w:r>
    </w:p>
    <w:p>
      <w:pPr>
        <w:pStyle w:val="TextBody"/>
        <w:spacing w:lineRule="auto" w:line="300" w:before="26" w:after="120"/>
        <w:ind w:left="0" w:right="0" w:hanging="72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2"/>
          <w:u w:val="single"/>
        </w:rPr>
        <w:t>Restrictive Period</w:t>
      </w:r>
      <w:r>
        <w:rPr>
          <w:color w:val="000000"/>
        </w:rPr>
        <w:t xml:space="preserve">” </w:t>
      </w:r>
      <w:r>
        <w:rPr>
          <w:rFonts w:ascii="Times New Roman;sans-serif" w:hAnsi="Times New Roman;sans-serif"/>
          <w:b w:val="false"/>
          <w:color w:val="000000"/>
          <w:sz w:val="22"/>
        </w:rPr>
        <w:t xml:space="preserve">means (i) a number of months following Executive’s termination of employment pursuant to paragraph 1(a) or 1(c) above which is equal to the number of months for which the Executive is entitled to, and does in fact, receive his base salary under paragraph 1(a)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6" name="Frame3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lineRule="auto" w:line="300" w:before="26" w:after="120"/>
        <w:jc w:val="both"/>
        <w:rPr>
          <w:rFonts w:ascii="Times New Roman;sans-serif" w:hAnsi="Times New Roman;sans-serif"/>
          <w:b w:val="false"/>
          <w:color w:val="000000"/>
          <w:sz w:val="22"/>
        </w:rPr>
      </w:pPr>
      <w:r>
        <w:rPr>
          <w:rFonts w:ascii="Times New Roman;sans-serif" w:hAnsi="Times New Roman;sans-serif"/>
          <w:b w:val="false"/>
          <w:color w:val="000000"/>
          <w:sz w:val="22"/>
        </w:rPr>
        <w:t>or 1(c) above, or (ii) a period of 12 months following Executive’s termination of employment pursuant to paragraph 1(b) above.</w:t>
      </w:r>
    </w:p>
    <w:p>
      <w:pPr>
        <w:pStyle w:val="TextBody"/>
        <w:spacing w:lineRule="auto" w:line="300" w:before="243" w:after="283"/>
        <w:ind w:left="0" w:right="0" w:hanging="720"/>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Separation from Service</w:t>
      </w:r>
      <w:r>
        <w:rPr>
          <w:color w:val="000000"/>
        </w:rPr>
        <w:t xml:space="preserve">” </w:t>
      </w:r>
      <w:r>
        <w:rPr>
          <w:rFonts w:ascii="Times New Roman;sans-serif" w:hAnsi="Times New Roman;sans-serif"/>
          <w:b w:val="false"/>
          <w:color w:val="000000"/>
          <w:sz w:val="22"/>
        </w:rPr>
        <w:t>means Executive’s “separation from service” as defined in Treasury Regulation Section 1.409A-1(h).</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7" name="Frame3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lineRule="auto" w:line="302" w:before="754" w:after="283"/>
        <w:ind w:left="0" w:right="0" w:firstLine="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Executive and the Company (by action of its duly authorized officers) have executed this Agreement as of the date first above written.</w:t>
      </w:r>
    </w:p>
    <w:p>
      <w:pPr>
        <w:pStyle w:val="TextBody"/>
        <w:spacing w:lineRule="auto" w:line="292" w:before="243" w:after="283"/>
        <w:rPr>
          <w:rFonts w:ascii="Times New Roman;sans-serif" w:hAnsi="Times New Roman;sans-serif"/>
          <w:b/>
          <w:color w:val="000000"/>
          <w:sz w:val="22"/>
        </w:rPr>
      </w:pPr>
      <w:r>
        <w:rPr>
          <w:rFonts w:ascii="Times New Roman;sans-serif" w:hAnsi="Times New Roman;sans-serif"/>
          <w:b/>
          <w:color w:val="000000"/>
          <w:sz w:val="22"/>
        </w:rPr>
        <w:t>NN, INC.</w:t>
      </w:r>
    </w:p>
    <w:p>
      <w:pPr>
        <w:pStyle w:val="TextBody"/>
        <w:spacing w:lineRule="auto" w:line="292" w:before="243" w:after="283"/>
        <w:rPr/>
      </w:pPr>
      <w:r>
        <w:rPr>
          <w:rFonts w:ascii="Times New Roman;sans-serif" w:hAnsi="Times New Roman;sans-serif"/>
          <w:b/>
          <w:color w:val="000000"/>
          <w:sz w:val="22"/>
        </w:rPr>
        <w:br/>
      </w:r>
      <w:r>
        <w:rPr>
          <w:rFonts w:ascii="Times New Roman;sans-serif" w:hAnsi="Times New Roman;sans-serif"/>
          <w:b w:val="false"/>
          <w:color w:val="000000"/>
          <w:sz w:val="22"/>
        </w:rPr>
        <w:t>By:___________________________________________</w:t>
        <w:br/>
        <w:t>Name:     Michael C. Felcher</w:t>
        <w:br/>
        <w:t>Title:     Senior Vice President – Chief Financial Officer</w:t>
      </w:r>
    </w:p>
    <w:p>
      <w:pPr>
        <w:pStyle w:val="TextBody"/>
        <w:spacing w:lineRule="auto" w:line="292" w:before="243" w:after="283"/>
        <w:rPr>
          <w:rFonts w:ascii="Times New Roman;sans-serif" w:hAnsi="Times New Roman;sans-serif"/>
          <w:b/>
          <w:color w:val="000000"/>
          <w:sz w:val="22"/>
        </w:rPr>
      </w:pPr>
      <w:r>
        <w:rPr>
          <w:rFonts w:ascii="Times New Roman;sans-serif" w:hAnsi="Times New Roman;sans-serif"/>
          <w:b/>
          <w:color w:val="000000"/>
          <w:sz w:val="22"/>
        </w:rPr>
        <w:t>EXECUTIVE:</w:t>
      </w:r>
    </w:p>
    <w:p>
      <w:pPr>
        <w:pStyle w:val="TextBody"/>
        <w:spacing w:before="243" w:after="283"/>
        <w:rPr/>
      </w:pPr>
      <w:r>
        <w:rPr/>
      </w:r>
    </w:p>
    <w:p>
      <w:pPr>
        <w:pStyle w:val="TextBody"/>
        <w:spacing w:lineRule="auto" w:line="292" w:before="243" w:after="283"/>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______________________________________________</w:t>
        <w:br/>
        <w:t>Name: Harold Bevis</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38" name="Frame3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lineRule="auto" w:line="314" w:before="2118" w:after="283"/>
        <w:jc w:val="center"/>
        <w:rPr>
          <w:rFonts w:ascii="Times New Roman;sans-serif" w:hAnsi="Times New Roman;sans-serif"/>
          <w:b/>
          <w:color w:val="000000"/>
          <w:sz w:val="22"/>
        </w:rPr>
      </w:pPr>
      <w:r>
        <w:rPr>
          <w:rFonts w:ascii="Times New Roman;sans-serif" w:hAnsi="Times New Roman;sans-serif"/>
          <w:b/>
          <w:color w:val="000000"/>
          <w:sz w:val="22"/>
        </w:rPr>
        <w:t>SCHEDULE A</w:t>
      </w:r>
    </w:p>
    <w:p>
      <w:pPr>
        <w:pStyle w:val="TextBody"/>
        <w:spacing w:before="0" w:after="0"/>
        <w:jc w:val="center"/>
        <w:rPr/>
      </w:pPr>
      <w:r>
        <w:rPr/>
      </w:r>
    </w:p>
    <w:p>
      <w:pPr>
        <w:pStyle w:val="TextBody"/>
        <w:spacing w:lineRule="auto" w:line="300" w:before="0" w:after="160"/>
        <w:rPr>
          <w:rFonts w:ascii="Times New Roman;sans-serif" w:hAnsi="Times New Roman;sans-serif"/>
          <w:b w:val="false"/>
          <w:color w:val="000000"/>
          <w:sz w:val="22"/>
        </w:rPr>
      </w:pPr>
      <w:r>
        <w:rPr>
          <w:rFonts w:ascii="Times New Roman;sans-serif" w:hAnsi="Times New Roman;sans-serif"/>
          <w:b w:val="false"/>
          <w:color w:val="000000"/>
          <w:sz w:val="22"/>
        </w:rPr>
        <w:t>Executive’s Severance Payment subsequent to a Change in Control as provided in paragraph 1(c)(i) shall be a lump sum payment equal to:</w:t>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1.2.0 times Executive’s base salary (as of the date of Executive’s termination); plus</w:t>
      </w:r>
    </w:p>
    <w:p>
      <w:pPr>
        <w:pStyle w:val="TextBody"/>
        <w:spacing w:lineRule="auto" w:line="249"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2.2.0 times Executive’s target bonus.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39" name="Frame3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SCHEDULE B</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Release of Claims</w:t>
      </w:r>
    </w:p>
    <w:p>
      <w:pPr>
        <w:pStyle w:val="TextBody"/>
        <w:spacing w:before="0" w:after="0"/>
        <w:jc w:val="center"/>
        <w:rPr/>
      </w:pPr>
      <w:r>
        <w:rPr/>
      </w:r>
    </w:p>
    <w:p>
      <w:pPr>
        <w:pStyle w:val="TextBody"/>
        <w:spacing w:lineRule="auto" w:line="319" w:before="0" w:after="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Release of Claims</w:t>
      </w:r>
      <w:r>
        <w:rPr>
          <w:color w:val="000000"/>
        </w:rPr>
        <w:t xml:space="preserve"> </w:t>
      </w:r>
    </w:p>
    <w:p>
      <w:pPr>
        <w:pStyle w:val="TextBody"/>
        <w:spacing w:before="0" w:after="0"/>
        <w:jc w:val="both"/>
        <w:rPr/>
      </w:pPr>
      <w:r>
        <w:rPr/>
      </w:r>
    </w:p>
    <w:p>
      <w:pPr>
        <w:pStyle w:val="TextBody"/>
        <w:spacing w:lineRule="auto" w:line="319"/>
        <w:jc w:val="both"/>
        <w:rPr/>
      </w:pPr>
      <w:r>
        <w:rPr>
          <w:color w:val="000000"/>
        </w:rPr>
        <w:t>    </w:t>
      </w:r>
      <w:r>
        <w:rPr>
          <w:rFonts w:ascii="Times New Roman;sans-serif" w:hAnsi="Times New Roman;sans-serif"/>
          <w:b w:val="false"/>
          <w:color w:val="000000"/>
          <w:sz w:val="22"/>
        </w:rPr>
        <w:t>In partial consideration of the payments and benefits described in the Separation Agreement (the “</w:t>
      </w:r>
      <w:r>
        <w:rPr>
          <w:rFonts w:ascii="Times New Roman;sans-serif" w:hAnsi="Times New Roman;sans-serif"/>
          <w:b w:val="false"/>
          <w:color w:val="000000"/>
          <w:sz w:val="22"/>
          <w:u w:val="single"/>
        </w:rPr>
        <w:t>Separation Agreement</w:t>
      </w:r>
      <w:r>
        <w:rPr>
          <w:color w:val="000000"/>
        </w:rPr>
        <w:t>”</w:t>
      </w:r>
      <w:r>
        <w:rPr>
          <w:rFonts w:ascii="Times New Roman;sans-serif" w:hAnsi="Times New Roman;sans-serif"/>
          <w:b w:val="false"/>
          <w:color w:val="000000"/>
          <w:sz w:val="22"/>
        </w:rPr>
        <w:t>) dated as of May 22, 2023, by and among Harold Bevis (hereinafter “you” or “Executive”) and NN,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to which you agree that you are not entitled until and unless you execute this Release of Claims (“</w:t>
      </w:r>
      <w:r>
        <w:rPr>
          <w:rFonts w:ascii="Times New Roman;sans-serif" w:hAnsi="Times New Roman;sans-serif"/>
          <w:b w:val="false"/>
          <w:color w:val="000000"/>
          <w:sz w:val="22"/>
          <w:u w:val="single"/>
        </w:rPr>
        <w:t>Release</w:t>
      </w:r>
      <w:r>
        <w:rPr>
          <w:color w:val="000000"/>
        </w:rPr>
        <w:t>”</w:t>
      </w:r>
      <w:r>
        <w:rPr>
          <w:rFonts w:ascii="Times New Roman;sans-serif" w:hAnsi="Times New Roman;sans-serif"/>
          <w:b w:val="false"/>
          <w:color w:val="000000"/>
          <w:sz w:val="22"/>
        </w:rPr>
        <w:t>) and it becomes effective in accordance with the terms hereof, you, for and on behalf of yourself and your heirs, successors and assigns, except as provided in this Release, hereby waive and release the following (the “</w:t>
      </w:r>
      <w:r>
        <w:rPr>
          <w:rFonts w:ascii="Times New Roman;sans-serif" w:hAnsi="Times New Roman;sans-serif"/>
          <w:b w:val="false"/>
          <w:color w:val="000000"/>
          <w:sz w:val="22"/>
          <w:u w:val="single"/>
        </w:rPr>
        <w:t>Released Claims</w:t>
      </w:r>
      <w:r>
        <w:rPr>
          <w:color w:val="000000"/>
        </w:rPr>
        <w:t>”</w:t>
      </w:r>
      <w:r>
        <w:rPr>
          <w:rFonts w:ascii="Times New Roman;sans-serif" w:hAnsi="Times New Roman;sans-serif"/>
          <w:b w:val="false"/>
          <w:color w:val="000000"/>
          <w:sz w:val="22"/>
        </w:rPr>
        <w:t>): any common law, statutory or other complaints, claims, charges or causes of action of any kind whatsoever, both known and unknown, in law or in equity, which you ever had, now have or may have against the Company and each of its subsidiaries, predecessors, successors, assigns, directors, officers, employees, trustees (in their official and individual capacities), employee benefit plans and their administrators and fiduciaries (in their official and individual capacities), representatives or agents, and each of their affiliates, successors and assigns, (collectively, the “</w:t>
      </w:r>
      <w:r>
        <w:rPr>
          <w:rFonts w:ascii="Times New Roman;sans-serif" w:hAnsi="Times New Roman;sans-serif"/>
          <w:b w:val="false"/>
          <w:color w:val="000000"/>
          <w:sz w:val="22"/>
          <w:u w:val="single"/>
        </w:rPr>
        <w:t>Releasees</w:t>
      </w:r>
      <w:r>
        <w:rPr>
          <w:color w:val="000000"/>
        </w:rPr>
        <w:t>”</w:t>
      </w:r>
      <w:r>
        <w:rPr>
          <w:rFonts w:ascii="Times New Roman;sans-serif" w:hAnsi="Times New Roman;sans-serif"/>
          <w:b w:val="false"/>
          <w:color w:val="000000"/>
          <w:sz w:val="22"/>
        </w:rPr>
        <w:t>) by reason of acts or omissions which have occurred on or prior to the date that you sign this Release, on account of, arising out of or in connection with your employment and/or the termination thereof, or the provision of any services to the Releasees, or any term or condition of that employment or service, arising under federal, state or local laws pertaining to employment, including the Age Discrimination in Employment Act of 1967 (“</w:t>
      </w:r>
      <w:r>
        <w:rPr>
          <w:rFonts w:ascii="Times New Roman;sans-serif" w:hAnsi="Times New Roman;sans-serif"/>
          <w:b w:val="false"/>
          <w:color w:val="000000"/>
          <w:sz w:val="22"/>
          <w:u w:val="single"/>
        </w:rPr>
        <w:t>ADEA</w:t>
      </w:r>
      <w:r>
        <w:rPr>
          <w:rFonts w:ascii="Times New Roman;sans-serif" w:hAnsi="Times New Roman;sans-serif"/>
          <w:b w:val="false"/>
          <w:color w:val="000000"/>
          <w:sz w:val="22"/>
        </w:rPr>
        <w:t>,” a law which prohibits discrimination on the basis of age), the Older Workers Benefit Protection Act, the National Labor Relations Act, the Civil Rights Act of 1991, the Americans With Disabilities Act of 1990, Title VII of the Civil Rights Act of 1964, the Employee Retirement Income Security Act of 1974, the Family and Medical Leave Act, the Sarbanes-Oxley Act of 2002, all as amended, and any other Federal, state and local laws relating to discrimination on the basis of age, sex or other protected class, all claims under Federal, state or local laws for express or implied breach of contract, wrongful discharge, defamation, intentional infliction of emotional distress, and any related claims for attorneys’ fees and costs. By signing this Release, you acknowledge that you intend to waive and release any rights known or unknown that you may have against the Releasees with respect to the Released Claims under these and any other laws by reason of acts or omissions which have occurred on or prior to the date that you sign this Release, on account of, arising out of or in connection with your employment and/or the termination thereof, or the provision of any services to the Releasees, or any term or condition of that employment or service. Notwithstanding anything herein to the contrary, you do not waive or release, and the Released Claims do not include, any claims with respect to (a) rights that cannot be so released as a matter of applicable law, (b) your rights arising under this Release, the Indemnification Agreement signed by you and the Company on May 22, 2023 and/or the Separation Agreement (including, without limitation, as a result of the Company’s breach of the terms, provisions or covenants thereof), (c) accrued vested benefits under employee benefit plans of the Company and its subsidiaries subject to the terms and conditions of such plans and applicable law, (d) any rights you may have solely in connection with your capacity as a security holder of the Company or its affiliates (without regard to your employment or termination of employment with the Company), (e) any claim arising after the effective date of this Release, and (f) any claims subject to (A) indemnification by Company under any current article, section or provision of Company’s certificate of incorporation or bylaws related to liability and/or indemnification of officers and directors of the Company or under any former article, section or provision of any of the foregoing which remain in force, or (B) coverage under any of Company’s director and officer insurance policies (collectively, the “</w:t>
      </w:r>
      <w:r>
        <w:rPr>
          <w:rFonts w:ascii="Times New Roman;sans-serif" w:hAnsi="Times New Roman;sans-serif"/>
          <w:b w:val="false"/>
          <w:color w:val="000000"/>
          <w:sz w:val="22"/>
          <w:u w:val="single"/>
        </w:rPr>
        <w:t>Unreleased Claims</w:t>
      </w:r>
      <w:r>
        <w:rPr>
          <w:color w:val="000000"/>
        </w:rPr>
        <w:t>”</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0" name="Frame3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v:rect>
            </w:pict>
          </mc:Fallback>
        </mc:AlternateContent>
      </w:r>
    </w:p>
    <w:p>
      <w:pPr>
        <w:pStyle w:val="TextBody"/>
        <w:spacing w:before="0" w:after="0"/>
        <w:jc w:val="both"/>
        <w:rPr/>
      </w:pPr>
      <w:r>
        <w:rPr/>
      </w:r>
    </w:p>
    <w:p>
      <w:pPr>
        <w:pStyle w:val="TextBody"/>
        <w:spacing w:lineRule="auto" w:line="319" w:before="0" w:after="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Proceedings</w:t>
      </w:r>
    </w:p>
    <w:p>
      <w:pPr>
        <w:pStyle w:val="TextBody"/>
        <w:spacing w:before="0" w:after="0"/>
        <w:jc w:val="both"/>
        <w:rPr/>
      </w:pPr>
      <w:r>
        <w:rPr/>
      </w:r>
    </w:p>
    <w:p>
      <w:pPr>
        <w:pStyle w:val="TextBody"/>
        <w:spacing w:lineRule="auto" w:line="319" w:before="0" w:after="0"/>
        <w:jc w:val="both"/>
        <w:rPr/>
      </w:pPr>
      <w:r>
        <w:rPr>
          <w:color w:val="000000"/>
        </w:rPr>
        <w:t>    </w:t>
      </w:r>
      <w:r>
        <w:rPr>
          <w:rFonts w:ascii="Times New Roman;sans-serif" w:hAnsi="Times New Roman;sans-serif"/>
          <w:b w:val="false"/>
          <w:color w:val="000000"/>
          <w:sz w:val="22"/>
        </w:rPr>
        <w:t>You acknowledge that you have not filed any complaint, charge, claim or proceeding, against any of the Releasees before any local, state or federal agency, court or other body (each individually a “</w:t>
      </w:r>
      <w:r>
        <w:rPr>
          <w:rFonts w:ascii="Times New Roman;sans-serif" w:hAnsi="Times New Roman;sans-serif"/>
          <w:b w:val="false"/>
          <w:color w:val="000000"/>
          <w:sz w:val="22"/>
          <w:u w:val="single"/>
        </w:rPr>
        <w:t>Proceeding</w:t>
      </w:r>
      <w:r>
        <w:rPr>
          <w:color w:val="000000"/>
        </w:rPr>
        <w:t>”</w:t>
      </w:r>
      <w:r>
        <w:rPr>
          <w:rFonts w:ascii="Times New Roman;sans-serif" w:hAnsi="Times New Roman;sans-serif"/>
          <w:b w:val="false"/>
          <w:color w:val="000000"/>
          <w:sz w:val="22"/>
        </w:rPr>
        <w:t>). Except with respect to Unreleased Claims, you (i) acknowledge that you will not initiate or cause to be initiated any Proceeding and will not participate in any Proceeding related to any claims released by you under Section 1 of this Release, in each case, except as required by law; and (ii) waive any right you may have to benefit in any manner from any relief (whether monetary or otherwise) arising out of any Proceeding related to any claims released by you under Section 1 of this Release, including any Proceeding conducted by the Equal Employment Opportunity Commission (“</w:t>
      </w:r>
      <w:r>
        <w:rPr>
          <w:rFonts w:ascii="Times New Roman;sans-serif" w:hAnsi="Times New Roman;sans-serif"/>
          <w:b w:val="false"/>
          <w:color w:val="000000"/>
          <w:sz w:val="22"/>
          <w:u w:val="single"/>
        </w:rPr>
        <w:t>EEOC</w:t>
      </w:r>
      <w:r>
        <w:rPr>
          <w:color w:val="000000"/>
        </w:rPr>
        <w:t>”</w:t>
      </w:r>
      <w:r>
        <w:rPr>
          <w:rFonts w:ascii="Times New Roman;sans-serif" w:hAnsi="Times New Roman;sans-serif"/>
          <w:b w:val="false"/>
          <w:color w:val="000000"/>
          <w:sz w:val="22"/>
        </w:rPr>
        <w:t>). Further, you understand that, by executing this Release, you will be limiting the availability of certain remedies that you may have against the Company and limiting also your ability to pursue certain claims against the Releasees. Notwithstanding the above, nothing in Section 1 of this Release shall prevent you from (i) initiating or causing to be initiated any complaint, charge, claim or proceeding against the Company before any local, state or federal agency, court or other body challenging the validity of the waiver of claims under the ADEA contained in Section 1 of this Release (but no other portion of such waiver); (ii) initiating or participating in an investigation or proceeding conducted by the EEOC or any other Federal, State or Local governmental or quasi-governmental entity; or (iii) filing any claim for unemployment or workers’ compensation benefits.</w:t>
      </w:r>
    </w:p>
    <w:p>
      <w:pPr>
        <w:pStyle w:val="TextBody"/>
        <w:spacing w:before="0" w:after="0"/>
        <w:jc w:val="both"/>
        <w:rPr/>
      </w:pPr>
      <w:r>
        <w:rPr/>
      </w:r>
    </w:p>
    <w:p>
      <w:pPr>
        <w:pStyle w:val="TextBody"/>
        <w:spacing w:lineRule="auto" w:line="319" w:before="0" w:after="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Time to Consider</w:t>
      </w:r>
    </w:p>
    <w:p>
      <w:pPr>
        <w:pStyle w:val="TextBody"/>
        <w:spacing w:before="0" w:after="0"/>
        <w:jc w:val="both"/>
        <w:rPr/>
      </w:pPr>
      <w:r>
        <w:rPr/>
      </w:r>
    </w:p>
    <w:p>
      <w:pPr>
        <w:pStyle w:val="TextBody"/>
        <w:spacing w:lineRule="auto" w:line="319" w:before="0" w:after="0"/>
        <w:jc w:val="both"/>
        <w:rPr>
          <w:color w:val="000000"/>
        </w:rPr>
      </w:pPr>
      <w:r>
        <w:rPr>
          <w:color w:val="000000"/>
        </w:rPr>
        <w:t>    </w:t>
      </w:r>
      <w:r>
        <w:rPr>
          <w:rFonts w:ascii="Times New Roman;sans-serif" w:hAnsi="Times New Roman;sans-serif"/>
          <w:b w:val="false"/>
          <w:color w:val="000000"/>
          <w:sz w:val="22"/>
        </w:rPr>
        <w:t>You acknowledge that you have been advised that you have twenty-one (21) days from the date of receipt of this Release to consider all the provisions of this Release and, by signing this Release prior to the expiration of the twenty-one (21) day review period, you do hereby knowingly and voluntarily waive the remainder of said given twenty-one (21) day period.</w:t>
      </w:r>
    </w:p>
    <w:p>
      <w:pPr>
        <w:pStyle w:val="TextBody"/>
        <w:spacing w:lineRule="auto" w:line="319" w:before="0" w:after="0"/>
        <w:jc w:val="both"/>
        <w:rPr>
          <w:color w:val="000000"/>
        </w:rPr>
      </w:pPr>
      <w:r>
        <w:rPr>
          <w:color w:val="000000"/>
        </w:rPr>
        <w:t>    </w:t>
      </w:r>
    </w:p>
    <w:p>
      <w:pPr>
        <w:pStyle w:val="TextBody"/>
        <w:spacing w:lineRule="auto" w:line="319" w:before="0" w:after="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Revocation</w:t>
      </w:r>
    </w:p>
    <w:p>
      <w:pPr>
        <w:pStyle w:val="TextBody"/>
        <w:spacing w:lineRule="auto" w:line="319" w:before="0" w:after="0"/>
        <w:jc w:val="both"/>
        <w:rPr>
          <w:color w:val="000000"/>
        </w:rPr>
      </w:pPr>
      <w:r>
        <w:rPr>
          <w:color w:val="000000"/>
        </w:rPr>
        <w:t>    </w:t>
      </w:r>
    </w:p>
    <w:p>
      <w:pPr>
        <w:pStyle w:val="TextBody"/>
        <w:spacing w:lineRule="auto" w:line="319" w:before="0" w:after="0"/>
        <w:jc w:val="both"/>
        <w:rPr>
          <w:color w:val="000000"/>
        </w:rPr>
      </w:pPr>
      <w:r>
        <w:rPr>
          <w:color w:val="000000"/>
        </w:rPr>
        <w:t>    </w:t>
      </w:r>
      <w:r>
        <w:rPr>
          <w:rFonts w:ascii="Times New Roman;sans-serif" w:hAnsi="Times New Roman;sans-serif"/>
          <w:b w:val="false"/>
          <w:color w:val="000000"/>
          <w:sz w:val="22"/>
        </w:rPr>
        <w:t>You hereby acknowledge and understand that you shall have seven (7) days from the date of execution of this Release to revoke this Release and that neither the Company nor any other person is obligated to provide any benefits to you pursuant to this Release until eight (8) days have passed since your signing of this Release without you having revoked this Release. If you revoke this Release, you will be deemed not to have accepted the terms of this Release, and no action will be required of the Company under any section of this Release, nor shall any severance payments or benefits be paid under the Separation Agreement.</w:t>
      </w:r>
    </w:p>
    <w:p>
      <w:pPr>
        <w:pStyle w:val="TextBody"/>
        <w:spacing w:before="0" w:after="0"/>
        <w:jc w:val="both"/>
        <w:rPr/>
      </w:pPr>
      <w:r>
        <w:rPr/>
      </w:r>
    </w:p>
    <w:p>
      <w:pPr>
        <w:pStyle w:val="TextBody"/>
        <w:spacing w:lineRule="auto" w:line="319" w:before="0" w:after="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No Admission</w:t>
      </w:r>
    </w:p>
    <w:p>
      <w:pPr>
        <w:pStyle w:val="TextBody"/>
        <w:spacing w:before="0" w:after="0"/>
        <w:jc w:val="both"/>
        <w:rPr/>
      </w:pPr>
      <w:r>
        <w:rPr/>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Release does not constitute an admission of liability or wrongdoing of any kind by Executive or the Company.</w:t>
      </w:r>
    </w:p>
    <w:p>
      <w:pPr>
        <w:pStyle w:val="TextBody"/>
        <w:spacing w:lineRule="auto" w:line="240" w:before="0" w:after="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Non-Disparagement</w:t>
      </w:r>
    </w:p>
    <w:p>
      <w:pPr>
        <w:pStyle w:val="TextBody"/>
        <w:spacing w:before="0" w:after="0"/>
        <w:jc w:val="both"/>
        <w:rPr/>
      </w:pPr>
      <w:r>
        <w:rPr/>
      </w:r>
    </w:p>
    <w:p>
      <w:pPr>
        <w:pStyle w:val="TextBody"/>
        <w:spacing w:lineRule="auto" w:line="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Executive agrees and covenants not to disparage the Company, or any of the Releasees, in public or to any third party, or otherwise take any action or make any comment that would harm or injure the goodwill and professional reputation of the Company or any of the Releasees. </w:t>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1" name="Frame3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v:rect>
            </w:pict>
          </mc:Fallback>
        </mc:AlternateConten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Disclosure</w:t>
      </w:r>
      <w:r>
        <w:rPr>
          <w:color w:val="000000"/>
        </w:rPr>
        <w:t xml:space="preserve"> </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Executive acknowledges and warrants that Executive is not aware of, or that he has fully disclosed to Company, any matters for which Executive was responsible or which came to Executive’s attention as an employee of Company that might give rise to, evidence, or support any claim of illegal conduct, regulatory violation, unlawful discrimination, or other cause of action against Company. </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Company Property</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All records, files, lists, including computer generated lists, data, drawings, documents, equipment and similar items relating to the Company’s business that Executive generated or received from the Company remains the Company’s sole and exclusive property. Executive agrees to promptly return to the Company all property of the Company in his possession as of the end of his employment. Executive further represents that he has not copied or caused to be copied, printed out, or caused to be printed out any documents or other material originating with or belonging to the Company, except to be used on behalf of the Company. Executive additionally represents that, following his employment, he will not retain in his possession any such documents or other materials. </w:t>
      </w:r>
    </w:p>
    <w:p>
      <w:pPr>
        <w:pStyle w:val="TextBody"/>
        <w:spacing w:before="0" w:after="0"/>
        <w:jc w:val="both"/>
        <w:rPr/>
      </w:pPr>
      <w:r>
        <w:rPr/>
      </w:r>
    </w:p>
    <w:p>
      <w:pPr>
        <w:pStyle w:val="TextBody"/>
        <w:spacing w:lineRule="auto" w:line="319"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9.    Acknowledgments</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YOU ACKNOWLEDGE THAT YOU HAVE READ THIS RELEASE CAREFULLY, YOU HAVE BEEN ADVISED BY THE COMPANY TO CONSULT AN ATTORNEY, AND FULLY UNDERSTAND THAT BY SIGNING BELOW YOU ARE IS GIVING UP CERTAIN RIGHTS WHICH YOU MAY HAVE TO SUE OR ASSERT A CLAIM AGAINST ANY OF THE RELEASEES (INCLUDING CLAIMS UNDER THE AGE DISCRIMIANTION IN EMPLOYMENT ACT). YOU ACKNOWLEDGE THAT YOU HAVE NOT BEEN FORCED OR PRESSURED IN ANY MANNER WHATSOEVER TO SIGN THIS RELEASE, AND YOU AGREE TO ALL OF ITS TERMS VOLUNTARILY. YOU AGREE THAT THE CONSIDERAITON PROVIDED IN THE SEPARATION AGREEMENT CONSTITUTES GOOD AND VALUABLE CONSIDERATION. YOU ACKNOWLEDGE THAT OTHER THAN THE PAYMENTS TO BE MADE PURSUANT TO THE SEPARATION AGREEMENT, YOU HAVE BEEN PAID ALL OTHER COMPENSATION OWED TO YOU BY THE COMPANY, INCLUDING ANY APPLICABLE SALARY, BONUS AND INCENTIVE COMPENSATION.</w:t>
      </w:r>
    </w:p>
    <w:p>
      <w:pPr>
        <w:pStyle w:val="TextBody"/>
        <w:spacing w:lineRule="auto" w:line="319" w:before="0" w:after="24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General Provisions</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any provision of this Release is determined to be so broad as to be unenforceable, such provision shall be interpreted to be only so broad as is enforceable, and in the event that any provision is determined to be entirely unenforceable, such provision shall be deemed severable, such that all other provisions of this Release shall remain valid and binding upon Executive and the Releasees. If Executive breaches the release of claims herein, the Company shall be entitled to its reasonable attorneys’ fees and expenses incurred in the defense of such action and any related counterclaim for Executive’s breach of this Release. This Release shall be binding upon and inure to the benefit of Executive and the Company, and their officers, directors, employees, agents, legal counsel, heirs, successors and assigns.</w:t>
      </w:r>
    </w:p>
    <w:p>
      <w:pPr>
        <w:pStyle w:val="TextBody"/>
        <w:spacing w:lineRule="auto" w:line="319" w:before="0" w:after="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Governing Law</w:t>
      </w:r>
    </w:p>
    <w:p>
      <w:pPr>
        <w:pStyle w:val="TextBody"/>
        <w:spacing w:before="0" w:after="0"/>
        <w:jc w:val="both"/>
        <w:rPr/>
      </w:pPr>
      <w:r>
        <w:rPr/>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validity, interpretations, construction and performance of this Release shall be governed by the laws of the State of Delaware without giving effect to conflict of laws principles. Any dispute or claim arising out of or relating to this Release shall be settled by final and binding arbitration in Charlotte, North Carolina in accordance with the Commercial Arbitration rules of the American Arbitration </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2" name="Frame3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v:rect>
            </w:pict>
          </mc:Fallback>
        </mc:AlternateContent>
      </w:r>
    </w:p>
    <w:p>
      <w:pPr>
        <w:pStyle w:val="TextBody"/>
        <w:spacing w:lineRule="auto" w:line="319"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Association, and judgment upon the award rendered by the arbitrators may be entered in any court having jurisdiction thereof.</w:t>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3" name="Frame3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v:rect>
            </w:pict>
          </mc:Fallback>
        </mc:AlternateContent>
      </w:r>
    </w:p>
    <w:tbl>
      <w:tblPr>
        <w:tblW w:w="5857" w:type="dxa"/>
        <w:jc w:val="left"/>
        <w:tblInd w:w="0" w:type="dxa"/>
        <w:tblCellMar>
          <w:top w:w="28" w:type="dxa"/>
          <w:left w:w="28" w:type="dxa"/>
          <w:bottom w:w="28" w:type="dxa"/>
          <w:right w:w="28" w:type="dxa"/>
        </w:tblCellMar>
      </w:tblPr>
      <w:tblGrid>
        <w:gridCol w:w="852"/>
        <w:gridCol w:w="749"/>
        <w:gridCol w:w="750"/>
        <w:gridCol w:w="1027"/>
        <w:gridCol w:w="1027"/>
        <w:gridCol w:w="1452"/>
      </w:tblGrid>
      <w:tr>
        <w:trPr/>
        <w:tc>
          <w:tcPr>
            <w:tcW w:w="85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r>
      <w:tr>
        <w:trPr/>
        <w:tc>
          <w:tcPr>
            <w:tcW w:w="235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428750" cy="1400175"/>
                  <wp:effectExtent l="0" t="0" r="0" b="0"/>
                  <wp:docPr id="4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5" descr=""/>
                          <pic:cNvPicPr>
                            <a:picLocks noChangeAspect="1" noChangeArrowheads="1"/>
                          </pic:cNvPicPr>
                        </pic:nvPicPr>
                        <pic:blipFill>
                          <a:blip r:embed="rId9"/>
                          <a:stretch>
                            <a:fillRect/>
                          </a:stretch>
                        </pic:blipFill>
                        <pic:spPr bwMode="auto">
                          <a:xfrm>
                            <a:off x="0" y="0"/>
                            <a:ext cx="1428750" cy="1400175"/>
                          </a:xfrm>
                          <a:prstGeom prst="rect">
                            <a:avLst/>
                          </a:prstGeom>
                        </pic:spPr>
                      </pic:pic>
                    </a:graphicData>
                  </a:graphic>
                </wp:inline>
              </w:drawing>
            </w:r>
          </w:p>
        </w:tc>
        <w:tc>
          <w:tcPr>
            <w:tcW w:w="3506" w:type="dxa"/>
            <w:gridSpan w:val="3"/>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2143125" cy="685800"/>
                  <wp:effectExtent l="0" t="0" r="0" b="0"/>
                  <wp:docPr id="4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6" descr=""/>
                          <pic:cNvPicPr>
                            <a:picLocks noChangeAspect="1" noChangeArrowheads="1"/>
                          </pic:cNvPicPr>
                        </pic:nvPicPr>
                        <pic:blipFill>
                          <a:blip r:embed="rId10"/>
                          <a:stretch>
                            <a:fillRect/>
                          </a:stretch>
                        </pic:blipFill>
                        <pic:spPr bwMode="auto">
                          <a:xfrm>
                            <a:off x="0" y="0"/>
                            <a:ext cx="2143125" cy="685800"/>
                          </a:xfrm>
                          <a:prstGeom prst="rect">
                            <a:avLst/>
                          </a:prstGeom>
                        </pic:spPr>
                      </pic:pic>
                    </a:graphicData>
                  </a:graphic>
                </wp:inline>
              </w:drawing>
            </w:r>
          </w:p>
        </w:tc>
      </w:tr>
    </w:tbl>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NN, Inc.</w:t>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6210 Ardrey Kell Road, Suite 600</w:t>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Charlotte, NC 28277</w:t>
      </w:r>
    </w:p>
    <w:p>
      <w:pPr>
        <w:pStyle w:val="TextBody"/>
        <w:spacing w:before="0" w:after="0"/>
        <w:rPr/>
      </w:pPr>
      <w:r>
        <w:rPr/>
      </w:r>
    </w:p>
    <w:p>
      <w:pPr>
        <w:pStyle w:val="TextBody"/>
        <w:spacing w:lineRule="auto" w:line="288" w:before="0" w:after="0"/>
        <w:rPr>
          <w:rFonts w:ascii="Calibri;sans-serif" w:hAnsi="Calibri;sans-serif"/>
          <w:b/>
          <w:color w:val="000000"/>
          <w:sz w:val="22"/>
        </w:rPr>
      </w:pPr>
      <w:r>
        <w:rPr>
          <w:rFonts w:ascii="Calibri;sans-serif" w:hAnsi="Calibri;sans-serif"/>
          <w:b/>
          <w:color w:val="000000"/>
          <w:sz w:val="22"/>
        </w:rPr>
        <w:t>FOR IMMEDIATE RELEASE</w:t>
      </w:r>
    </w:p>
    <w:p>
      <w:pPr>
        <w:pStyle w:val="TextBody"/>
        <w:spacing w:before="0" w:after="0"/>
        <w:rPr/>
      </w:pPr>
      <w:r>
        <w:rPr/>
      </w:r>
    </w:p>
    <w:p>
      <w:pPr>
        <w:pStyle w:val="TextBody"/>
        <w:spacing w:lineRule="auto" w:line="288" w:before="0" w:after="60"/>
        <w:jc w:val="center"/>
        <w:rPr>
          <w:rFonts w:ascii="Calibri;sans-serif" w:hAnsi="Calibri;sans-serif"/>
          <w:b/>
          <w:color w:val="000000"/>
          <w:sz w:val="22"/>
        </w:rPr>
      </w:pPr>
      <w:r>
        <w:rPr>
          <w:rFonts w:ascii="Calibri;sans-serif" w:hAnsi="Calibri;sans-serif"/>
          <w:b/>
          <w:color w:val="000000"/>
          <w:sz w:val="22"/>
        </w:rPr>
        <w:t>NN, INC. ANNOUNCES HAROLD BEVIS AS PRESIDENT AND CHIEF EXECUTIVE OFFICER</w:t>
      </w:r>
    </w:p>
    <w:p>
      <w:pPr>
        <w:pStyle w:val="TextBody"/>
        <w:spacing w:lineRule="auto" w:line="300" w:before="0" w:after="200"/>
        <w:jc w:val="center"/>
        <w:rPr>
          <w:rFonts w:ascii="Calibri;sans-serif" w:hAnsi="Calibri;sans-serif"/>
          <w:b w:val="false"/>
          <w:i/>
          <w:color w:val="000000"/>
          <w:sz w:val="20"/>
        </w:rPr>
      </w:pPr>
      <w:r>
        <w:rPr>
          <w:rFonts w:ascii="Calibri;sans-serif" w:hAnsi="Calibri;sans-serif"/>
          <w:b w:val="false"/>
          <w:i/>
          <w:color w:val="000000"/>
          <w:sz w:val="20"/>
        </w:rPr>
        <w:t>Industry Veteran Brings Decades of Experience in Electric Vehicles, Technology, Business Transformation and Growth</w:t>
      </w:r>
    </w:p>
    <w:p>
      <w:pPr>
        <w:pStyle w:val="TextBody"/>
        <w:spacing w:lineRule="auto" w:line="300" w:before="0" w:after="200"/>
        <w:rPr/>
      </w:pPr>
      <w:r>
        <w:rPr>
          <w:rFonts w:ascii="Calibri;sans-serif" w:hAnsi="Calibri;sans-serif"/>
          <w:b/>
          <w:color w:val="000000"/>
          <w:sz w:val="22"/>
        </w:rPr>
        <w:t>CHARLOTTE, N.C., May 9, 2023</w:t>
      </w:r>
      <w:r>
        <w:rPr>
          <w:color w:val="000000"/>
        </w:rPr>
        <w:t xml:space="preserve"> – </w:t>
      </w:r>
      <w:r>
        <w:rPr>
          <w:rFonts w:ascii="Calibri;sans-serif" w:hAnsi="Calibri;sans-serif"/>
          <w:b w:val="false"/>
          <w:color w:val="000000"/>
          <w:sz w:val="22"/>
        </w:rPr>
        <w:t>NN, Inc. (NASDAQ: NNBR), a global diversified industrial company that manufactures high-precision components and assemblies, today announced the appointment of Harold Bevis as President and Chief Executive Officer effective May 22, 2023. Mr. Bevis will succeed Warren Veltman, who will retire just prior to the new CEO start date, in alignment with the planned executive transition announced November 1, 2022.</w: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Jeri Harman, Chairman of the Board of NN, commented, “The Board of NN is pleased to welcome Harold Bevis as the Company’s new President and Chief Executive Officer. Harold brings an impressive track record of operational excellence and driving growth in core, new and adjacent markets. Throughout his career, he has developed a deep knowledge and extensive industry experience in electric vehicles, communication technologies, and electrical components and assemblies which can be directly applied to NN’s largest targeted end markets. We believe Harold has the right skills in business transformation and optimization, empowering teams, and value creation, which will allow NN to drive sustainable growth and increase shareholder value.”</w: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Ms. Harman added, “On behalf of our Board of Directors and the entire Company, I want to thank Warren for his leadership and dedication to NN over his many years of service. We greatly appreciate the significant contributions he has made to NN.”</w: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Harold Bevis, President and Chief Executive Officer of NN, commented, “I am honored to join NN as its next President and Chief Executive Officer, and I am eager to continue the work of transforming the business to reach the financial and operational potential inherent in the business. Our Company stands at the center of converging trends in both electric vehicles and the improvements in the power grid required to satisfy the significant increase in worldwide electrical power demand. I am looking forward to leveraging my skills and experience to drive NN’s future success providing our global customers with precision components and assemblies.”</w: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 xml:space="preserve">Mr. Bevis has more than 25 years of business leadership experience, including more than 20 years’ experience in the CEO role at a number of companies. He was previously President and CEO of Commercial Vehicle Group, Inc. (NASDAQ: CVGI), a publicly traded manufacturer of electrical, mechanical and seating systems for electric and internal combustion engine commercial vehicles, as well as industrial automation and robotic systems to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retailers and ecommerce shippers. At CVGI, Mr. Bevis demonstrated a track record of driving new business wins in the electric vehicle industry and he repositioned CVGI towards electrification, automation and connectivity. Prior to his experience at CVGI, Mr. Bevis was Chairman and CEO of Boxlight, a startup company focused on education technology solutions. Previously, Mr. Bevis led a number of companies in the packaging industry, including as President and CEO of Xerium Technologies, Inc., Chairman and CEO of Prolamina, and President and CEO of Pliant Corporation. Mr. Bevis has a bachelor’s degree in industrial engineering from Iowa State University, and an MBA in marketing from Columbia Business School.</w: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As a material inducement to Mr. Bevis to enter into employment with the Company, the Board of Directors approved the grant of the following inducement equity awards (collectively, the Inducement Awards), granted outside the Company’s stockholder-approved equity incentive plan, with a grant date of May 22, 2023: (i) 1,500,000 time-vesting restricted stock units (RSUs), which will vest ratably in one-fifth increments on each of the first five anniversaries of the grant date; and (ii) 2,500,000 performance-vesting RSUs (PSUs), 250,000 of which will be earned upon the Company’s average stock price meeting or exceeding a price of $2.00 per share over a period of 20 consecutive days, with an additional 250,000 PSUs being earned for each dollar increase to the average stock price thereafter, with a cap of $11.00, subject further to a five-year vesting period.</w: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As a result of the Inducement Grants, the Company does not anticipate granting any further equity, as part of his annual compensation or otherwise, to Mr. Bevis before 2028, and as such, the Inducement Awards, effectively serve as his 2023, 2024, 2025, 2026 and 2027 annual long-term incentive awards. The Company designed the Inducement Awards, in part, to (i) replace, in the case of the RSUs, the compensation forfeited by Mr. Bevis when he joined NN, (ii) align, in case of the PSUs, the interests of Mr. Bevis and the Company’s shareholders, as the equity is only earned as shareholders experience value creation, and (iii) prioritize retention of Mr. Bevis through the entire five-year performance and vesting periods.</w:t>
      </w:r>
    </w:p>
    <w:p>
      <w:pPr>
        <w:pStyle w:val="TextBody"/>
        <w:spacing w:before="0" w:after="2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00"/>
        <w:rPr>
          <w:rFonts w:ascii="Calibri;sans-serif" w:hAnsi="Calibri;sans-serif"/>
          <w:b/>
          <w:color w:val="000000"/>
          <w:sz w:val="22"/>
          <w:u w:val="single"/>
        </w:rPr>
      </w:pPr>
      <w:r>
        <w:rPr>
          <w:rFonts w:ascii="Calibri;sans-serif" w:hAnsi="Calibri;sans-serif"/>
          <w:b/>
          <w:color w:val="000000"/>
          <w:sz w:val="22"/>
          <w:u w:val="single"/>
        </w:rPr>
        <w:t>About NN, Inc.</w: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31 facilities in North America, Europe, South America, and Asia.</w:t>
      </w:r>
    </w:p>
    <w:p>
      <w:pPr>
        <w:pStyle w:val="TextBody"/>
        <w:spacing w:lineRule="auto" w:line="300" w:before="0" w:after="200"/>
        <w:rPr>
          <w:rFonts w:ascii="Calibri;sans-serif" w:hAnsi="Calibri;sans-serif"/>
          <w:b w:val="false"/>
          <w:i/>
          <w:color w:val="000000"/>
          <w:sz w:val="20"/>
        </w:rPr>
      </w:pPr>
      <w:r>
        <w:rPr>
          <w:rFonts w:ascii="Calibri;sans-serif" w:hAnsi="Calibri;sans-serif"/>
          <w:b w:val="false"/>
          <w:i/>
          <w:color w:val="000000"/>
          <w:sz w:val="20"/>
        </w:rPr>
        <w:t xml:space="preserve">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including the COVID-19 pandemic,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currency fluctuation, and other risks of doing business outside of the United States; inflationary pressures and changes in the cost or availability of materials, supply chain shortages and disruptions, and the availability of labor; our dependence on certain major customers, some of whom are not parties to long-term agreements (and/or are terminable on short notice); the impact of acquisitions and divestitures; our ability to hire or retain key personnel; the level of our indebtedness; the restrictions contained in our debt agreements; our ability to obtain financing at favorable rates, if at all, and to refinance existing debt as it matures; unanticipated difficulties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200"/>
        <w:rPr>
          <w:rFonts w:ascii="Calibri;sans-serif" w:hAnsi="Calibri;sans-serif"/>
          <w:b w:val="false"/>
          <w:i/>
          <w:color w:val="000000"/>
          <w:sz w:val="20"/>
        </w:rPr>
      </w:pPr>
      <w:r>
        <w:rPr>
          <w:rFonts w:ascii="Calibri;sans-serif" w:hAnsi="Calibri;sans-serif"/>
          <w:b w:val="false"/>
          <w:i/>
          <w:color w:val="000000"/>
          <w:sz w:val="20"/>
        </w:rPr>
        <w:t>integrating acquisitions;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pStyle w:val="TextBody"/>
        <w:spacing w:before="0" w:after="0"/>
        <w:rPr/>
      </w:pPr>
      <w:r>
        <w:rPr/>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FOR FURTHER INFORMATION:</w:t>
      </w:r>
    </w:p>
    <w:p>
      <w:pPr>
        <w:pStyle w:val="TextBody"/>
        <w:spacing w:before="0" w:after="0"/>
        <w:rPr/>
      </w:pPr>
      <w:r>
        <w:rPr/>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 xml:space="preserve">Jeff Tryka, CFA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Investor Relations Contact</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 xml:space="preserve">jtryka@lambert.com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(616) 258-5766</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918541/000095013102002704/dex106.txt" TargetMode="External"/><Relationship Id="rId4" Type="http://schemas.openxmlformats.org/officeDocument/2006/relationships/hyperlink" Target="http://www.sec.gov/Archives/edgar/data/918541/000095013102002704/dex106.txt" TargetMode="External"/><Relationship Id="rId5" Type="http://schemas.openxmlformats.org/officeDocument/2006/relationships/hyperlink" Target="http://www.sec.gov/Archives/edgar/data/918541/000095013102002704/dex106.txt" TargetMode="External"/><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pn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39</Pages>
  <Words>19005</Words>
  <CharactersWithSpaces>120504</CharactersWithSpaces>
  <Paragraphs>548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