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388620</wp:posOffset>
            </wp:positionV>
            <wp:extent cx="82359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359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Johnson City, Tennessee</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8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 and Financial Condition.</w:t>
      </w:r>
    </w:p>
    <w:p>
      <w:pPr>
        <w:spacing w:after="0" w:line="121"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On March 8, 2018, NN, Inc. (the “Company”) announced its earnings for the three and twelve months ended December 31, 2017 in a press release, which was an exhibit to its Current Report on Form 8-K dated March 9, 2018. On April 2, 2018, the Company issued a press release describing certain changes to previously announced results, which press release is furnished as Exhibit 99.1 and is incorporated herein by reference</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Pursuant to the rules and regulations of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1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9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74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68"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NN, Inc. dated April 2, 2018</w:t>
        </w:r>
      </w:hyperlink>
    </w:p>
    <w:p>
      <w:pPr>
        <w:sectPr>
          <w:pgSz w:w="11900" w:h="16838" w:orient="portrait"/>
          <w:cols w:equalWidth="0" w:num="1">
            <w:col w:w="11420"/>
          </w:cols>
          <w:pgMar w:left="240" w:top="270"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2, 2018</w:t>
      </w:r>
      <w:r>
        <w:rPr>
          <w:sz w:val="20"/>
          <w:szCs w:val="20"/>
          <w:color w:val="auto"/>
        </w:rPr>
        <w:tab/>
      </w:r>
      <w:r>
        <w:rPr>
          <w:rFonts w:ascii="Arial" w:cs="Arial" w:eastAsia="Arial" w:hAnsi="Arial"/>
          <w:sz w:val="17"/>
          <w:szCs w:val="17"/>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S. Heiter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General Counsel</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172085</wp:posOffset>
            </wp:positionV>
            <wp:extent cx="176657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66570" cy="4629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848995" cy="831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899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Tom Burwell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SVP and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0" w:lineRule="exact"/>
        <w:rPr>
          <w:sz w:val="20"/>
          <w:szCs w:val="20"/>
          <w:color w:val="auto"/>
        </w:rPr>
      </w:pPr>
    </w:p>
    <w:p>
      <w:pPr>
        <w:sectPr>
          <w:pgSz w:w="11900" w:h="16838" w:orient="portrait"/>
          <w:cols w:equalWidth="0" w:num="2">
            <w:col w:w="3920" w:space="720"/>
            <w:col w:w="678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FILES ANNUAL REPORT ON FORM 10-K FOR 2017</w:t>
      </w:r>
    </w:p>
    <w:p>
      <w:pPr>
        <w:spacing w:after="0" w:line="225" w:lineRule="exact"/>
        <w:rPr>
          <w:sz w:val="20"/>
          <w:szCs w:val="20"/>
          <w:color w:val="auto"/>
        </w:rPr>
      </w:pPr>
    </w:p>
    <w:p>
      <w:pPr>
        <w:jc w:val="both"/>
        <w:ind w:right="240"/>
        <w:spacing w:after="0" w:line="289" w:lineRule="auto"/>
        <w:rPr>
          <w:sz w:val="20"/>
          <w:szCs w:val="20"/>
          <w:color w:val="auto"/>
        </w:rPr>
      </w:pPr>
      <w:r>
        <w:rPr>
          <w:rFonts w:ascii="Arial" w:cs="Arial" w:eastAsia="Arial" w:hAnsi="Arial"/>
          <w:sz w:val="17"/>
          <w:szCs w:val="17"/>
          <w:b w:val="1"/>
          <w:bCs w:val="1"/>
          <w:color w:val="auto"/>
        </w:rPr>
        <w:t xml:space="preserve">Johnson City, Tenn., April 2, 2018 - </w:t>
      </w:r>
      <w:r>
        <w:rPr>
          <w:rFonts w:ascii="Arial" w:cs="Arial" w:eastAsia="Arial" w:hAnsi="Arial"/>
          <w:sz w:val="17"/>
          <w:szCs w:val="17"/>
          <w:color w:val="auto"/>
        </w:rPr>
        <w:t>NN, Inc., (NASDAQ: NNBR), a diversified industrial company, reported that it has today filed its Annual Report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Form 10-K for the year ended December 31, 2017. The report may be viewed or downloaded from the company’s website, </w:t>
      </w:r>
      <w:r>
        <w:rPr>
          <w:rFonts w:ascii="Arial" w:cs="Arial" w:eastAsia="Arial" w:hAnsi="Arial"/>
          <w:sz w:val="17"/>
          <w:szCs w:val="17"/>
          <w:u w:val="single" w:color="auto"/>
          <w:color w:val="auto"/>
        </w:rPr>
        <w:t>www.nninc.com</w:t>
      </w:r>
      <w:r>
        <w:rPr>
          <w:rFonts w:ascii="Arial" w:cs="Arial" w:eastAsia="Arial" w:hAnsi="Arial"/>
          <w:sz w:val="17"/>
          <w:szCs w:val="17"/>
          <w:color w:val="auto"/>
        </w:rPr>
        <w:t>. The Company initially reported its financial results for the fourth quarter and year ended December 31, 2017 on April 2,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table reflects the changes in the GAAP Results as reported in the Company’s Annual Report on Form 10-K for the year ended December 31, 2017 as compared against the GAAP Results reported for both the year ended December 31, 2017 and the three months ended December 31, 2017 as contained in the Company’s March 8, 2018 release, the Company:</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Twelve Months Ended</w:t>
            </w:r>
          </w:p>
        </w:tc>
      </w:tr>
      <w:tr>
        <w:trPr>
          <w:trHeight w:val="162"/>
        </w:trPr>
        <w:tc>
          <w:tcPr>
            <w:tcW w:w="2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 2017</w:t>
            </w:r>
          </w:p>
        </w:tc>
      </w:tr>
      <w:tr>
        <w:trPr>
          <w:trHeight w:val="149"/>
        </w:trPr>
        <w:tc>
          <w:tcPr>
            <w:tcW w:w="28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As Reported</w:t>
            </w:r>
          </w:p>
        </w:tc>
        <w:tc>
          <w:tcPr>
            <w:tcW w:w="24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As Reported in</w:t>
            </w:r>
          </w:p>
        </w:tc>
        <w:tc>
          <w:tcPr>
            <w:tcW w:w="24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As Reported</w:t>
            </w: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As Reported</w:t>
            </w:r>
          </w:p>
        </w:tc>
      </w:tr>
      <w:tr>
        <w:trPr>
          <w:trHeight w:val="149"/>
        </w:trPr>
        <w:tc>
          <w:tcPr>
            <w:tcW w:w="28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in March 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the 10-K on</w:t>
            </w:r>
          </w:p>
        </w:tc>
        <w:tc>
          <w:tcPr>
            <w:tcW w:w="24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 March 8,</w:t>
            </w: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the 10-K</w:t>
            </w:r>
          </w:p>
        </w:tc>
      </w:tr>
      <w:tr>
        <w:trPr>
          <w:trHeight w:val="149"/>
        </w:trPr>
        <w:tc>
          <w:tcPr>
            <w:tcW w:w="28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2018 Press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April 2,</w:t>
            </w:r>
          </w:p>
        </w:tc>
        <w:tc>
          <w:tcPr>
            <w:tcW w:w="24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2018 Press</w:t>
            </w: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on April 2,</w:t>
            </w:r>
          </w:p>
        </w:tc>
      </w:tr>
      <w:tr>
        <w:trPr>
          <w:trHeight w:val="171"/>
        </w:trPr>
        <w:tc>
          <w:tcPr>
            <w:tcW w:w="5260" w:type="dxa"/>
            <w:vAlign w:val="bottom"/>
            <w:gridSpan w:val="2"/>
          </w:tcPr>
          <w:p>
            <w:pPr>
              <w:spacing w:after="0"/>
              <w:rPr>
                <w:sz w:val="20"/>
                <w:szCs w:val="20"/>
                <w:color w:val="auto"/>
              </w:rPr>
            </w:pPr>
            <w:r>
              <w:rPr>
                <w:rFonts w:ascii="Arial" w:cs="Arial" w:eastAsia="Arial" w:hAnsi="Arial"/>
                <w:sz w:val="14"/>
                <w:szCs w:val="14"/>
                <w:color w:val="auto"/>
              </w:rPr>
              <w:t>(In Thousands of Dollars, Except Per Share Data)</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Release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Release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7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156,135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156,135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619,793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619,793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rPr>
              <w:t>Cost of products sold (exclusive of depreciation and amortization</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118,364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118,814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458,629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458,090</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74,112</w:t>
            </w:r>
          </w:p>
        </w:tc>
      </w:tr>
      <w:tr>
        <w:trPr>
          <w:trHeight w:val="202"/>
        </w:trPr>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rPr>
              <w:t>Acquisition related costs excluded from selling, general and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administrative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52,406</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(Gain) loss on disposal of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3,993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33,543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33,114</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52,085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52,085</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Write-off of unamortized debt issuance cost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2,448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2,448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42,087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42,087</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payments (receipts) on interest rate swap</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w w:val="99"/>
              </w:rPr>
              <w:t>Derivative (gains) losses on change in interest rate swap fair value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w:t>
            </w:r>
          </w:p>
        </w:tc>
      </w:tr>
      <w:tr>
        <w:trPr>
          <w:trHeight w:val="310"/>
        </w:trPr>
        <w:tc>
          <w:tcPr>
            <w:tcW w:w="5260" w:type="dxa"/>
            <w:vAlign w:val="bottom"/>
            <w:gridSpan w:val="2"/>
          </w:tcPr>
          <w:p>
            <w:pPr>
              <w:spacing w:after="0"/>
              <w:rPr>
                <w:sz w:val="20"/>
                <w:szCs w:val="20"/>
                <w:color w:val="auto"/>
              </w:rPr>
            </w:pPr>
            <w:r>
              <w:rPr>
                <w:rFonts w:ascii="Arial" w:cs="Arial" w:eastAsia="Arial" w:hAnsi="Arial"/>
                <w:sz w:val="18"/>
                <w:szCs w:val="18"/>
                <w:color w:val="auto"/>
                <w:w w:val="97"/>
              </w:rPr>
              <w:t>Continuing income (loss) before provision (benefit) for income taxes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and share of net income from joint venture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(9,514)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(12,569)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(58,313)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(58,873)</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expense for income taxes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(79,026)</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987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1,072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5,126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5,211</w:t>
            </w:r>
          </w:p>
        </w:tc>
      </w:tr>
      <w:tr>
        <w:trPr>
          <w:trHeight w:val="94"/>
        </w:trPr>
        <w:tc>
          <w:tcPr>
            <w:tcW w:w="28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25,364</w:t>
            </w:r>
          </w:p>
        </w:tc>
      </w:tr>
    </w:tbl>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Adjusted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noted above slightly impacted the Company’s previously reported adjusted results.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Adjusted income from operations for the fourth quarter of 2017 was $13.7 million and was previously reported as $15.5 million. Adjusted income from continuing operations was $8.1 million and was previously reported as $8.2 million. Adjusted income from continuing operations per diluted share was $0.29 and was previously reported as $0.30.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Adjusted income from operations for 2017 was $68.5 million and was previously reported as $67.8 million. Adjusted income from continuing operations was $43 million and was previously reported as $42.8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following reconciliation of changes to the income statement attached in the tables below.</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discloses in this press release the non-GAAP financial measures of adjusted income from operations, adjusted income (loss) from continuing operations and adjusted income from continuing operations per diluted share. Each of adjusted income from operations, adjusted income (loss) from continuing operations and adjusted income from continuing operations per diluted share. provide supplementary information about the impacts of acquisition related expenses, foreign-exchange and other non-operating impacts on our business.</w:t>
      </w:r>
    </w:p>
    <w:p>
      <w:pPr>
        <w:spacing w:after="0" w:line="18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financial tables found later in this press release include a reconciliation of adjusted income from operations, adjusted income (loss) from continuing operations to the U.S. GAAP financial measures of income from operations, and income (loss) from continuing operations.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44 facilities in North America, Western Europe, Eastern Europe, South America and China.</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w:t>
      </w:r>
    </w:p>
    <w:p>
      <w:pPr>
        <w:sectPr>
          <w:pgSz w:w="11900" w:h="16838" w:orient="portrait"/>
          <w:cols w:equalWidth="0" w:num="1">
            <w:col w:w="11380"/>
          </w:cols>
          <w:pgMar w:left="240" w:top="270" w:right="27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8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2017. Except as required by law, we undertake no obligation to update or revise any forward-looking statements we make in our press releases,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Tables Follow</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0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Twelve Months Ended</w:t>
            </w:r>
          </w:p>
        </w:tc>
      </w:tr>
      <w:tr>
        <w:trPr>
          <w:trHeight w:val="153"/>
        </w:trPr>
        <w:tc>
          <w:tcPr>
            <w:tcW w:w="28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5"/>
          </w:tcPr>
          <w:p>
            <w:pPr>
              <w:jc w:val="right"/>
              <w:ind w:right="880"/>
              <w:spacing w:after="0" w:line="153" w:lineRule="exact"/>
              <w:rPr>
                <w:sz w:val="20"/>
                <w:szCs w:val="20"/>
                <w:color w:val="auto"/>
              </w:rPr>
            </w:pPr>
            <w:r>
              <w:rPr>
                <w:rFonts w:ascii="Arial" w:cs="Arial" w:eastAsia="Arial" w:hAnsi="Arial"/>
                <w:sz w:val="14"/>
                <w:szCs w:val="14"/>
                <w:b w:val="1"/>
                <w:bCs w:val="1"/>
                <w:color w:val="auto"/>
              </w:rPr>
              <w:t>December 31, 2017</w:t>
            </w:r>
          </w:p>
        </w:tc>
        <w:tc>
          <w:tcPr>
            <w:tcW w:w="2080" w:type="dxa"/>
            <w:vAlign w:val="bottom"/>
            <w:gridSpan w:val="6"/>
          </w:tcPr>
          <w:p>
            <w:pPr>
              <w:jc w:val="right"/>
              <w:ind w:right="520"/>
              <w:spacing w:after="0" w:line="153" w:lineRule="exact"/>
              <w:rPr>
                <w:sz w:val="20"/>
                <w:szCs w:val="20"/>
                <w:color w:val="auto"/>
              </w:rPr>
            </w:pPr>
            <w:r>
              <w:rPr>
                <w:rFonts w:ascii="Arial" w:cs="Arial" w:eastAsia="Arial" w:hAnsi="Arial"/>
                <w:sz w:val="14"/>
                <w:szCs w:val="14"/>
                <w:b w:val="1"/>
                <w:bCs w:val="1"/>
                <w:color w:val="auto"/>
              </w:rPr>
              <w:t>December 31, 2017</w:t>
            </w:r>
          </w:p>
        </w:tc>
      </w:tr>
      <w:tr>
        <w:trPr>
          <w:trHeight w:val="149"/>
        </w:trPr>
        <w:tc>
          <w:tcPr>
            <w:tcW w:w="28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As Reported</w:t>
            </w:r>
          </w:p>
        </w:tc>
        <w:tc>
          <w:tcPr>
            <w:tcW w:w="13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As Reported in</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As Reported</w:t>
            </w:r>
          </w:p>
        </w:tc>
        <w:tc>
          <w:tcPr>
            <w:tcW w:w="16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As Reported</w:t>
            </w:r>
          </w:p>
        </w:tc>
      </w:tr>
      <w:tr>
        <w:trPr>
          <w:trHeight w:val="149"/>
        </w:trPr>
        <w:tc>
          <w:tcPr>
            <w:tcW w:w="28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 March 8,</w:t>
            </w:r>
          </w:p>
        </w:tc>
        <w:tc>
          <w:tcPr>
            <w:tcW w:w="10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the 10-K on</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 March 8,</w:t>
            </w:r>
          </w:p>
        </w:tc>
        <w:tc>
          <w:tcPr>
            <w:tcW w:w="16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the 10-K</w:t>
            </w:r>
          </w:p>
        </w:tc>
      </w:tr>
      <w:tr>
        <w:trPr>
          <w:trHeight w:val="149"/>
        </w:trPr>
        <w:tc>
          <w:tcPr>
            <w:tcW w:w="28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2018 Press</w:t>
            </w:r>
          </w:p>
        </w:tc>
        <w:tc>
          <w:tcPr>
            <w:tcW w:w="1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April 2,</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2018 Press</w:t>
            </w:r>
          </w:p>
        </w:tc>
        <w:tc>
          <w:tcPr>
            <w:tcW w:w="16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on April 2,</w:t>
            </w:r>
          </w:p>
        </w:tc>
      </w:tr>
      <w:tr>
        <w:trPr>
          <w:trHeight w:val="171"/>
        </w:trPr>
        <w:tc>
          <w:tcPr>
            <w:tcW w:w="6500" w:type="dxa"/>
            <w:vAlign w:val="bottom"/>
            <w:gridSpan w:val="2"/>
          </w:tcPr>
          <w:p>
            <w:pPr>
              <w:spacing w:after="0"/>
              <w:rPr>
                <w:sz w:val="20"/>
                <w:szCs w:val="20"/>
                <w:color w:val="auto"/>
              </w:rPr>
            </w:pPr>
            <w:r>
              <w:rPr>
                <w:rFonts w:ascii="Arial" w:cs="Arial" w:eastAsia="Arial" w:hAnsi="Arial"/>
                <w:sz w:val="14"/>
                <w:szCs w:val="14"/>
                <w:color w:val="auto"/>
              </w:rPr>
              <w:t>(In Thousands of Dollars, Except Per Share Data)</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Release</w:t>
            </w:r>
          </w:p>
        </w:tc>
        <w:tc>
          <w:tcPr>
            <w:tcW w:w="100" w:type="dxa"/>
            <w:vAlign w:val="bottom"/>
          </w:tcPr>
          <w:p>
            <w:pPr>
              <w:spacing w:after="0"/>
              <w:rPr>
                <w:sz w:val="14"/>
                <w:szCs w:val="14"/>
                <w:color w:val="auto"/>
              </w:rPr>
            </w:pPr>
          </w:p>
        </w:tc>
        <w:tc>
          <w:tcPr>
            <w:tcW w:w="84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2018</w:t>
            </w:r>
          </w:p>
        </w:tc>
        <w:tc>
          <w:tcPr>
            <w:tcW w:w="4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Release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7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156,135</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156,135</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619,793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619,793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6500" w:type="dxa"/>
            <w:vAlign w:val="bottom"/>
            <w:gridSpan w:val="2"/>
          </w:tcPr>
          <w:p>
            <w:pPr>
              <w:spacing w:after="0" w:line="201" w:lineRule="exact"/>
              <w:rPr>
                <w:sz w:val="20"/>
                <w:szCs w:val="20"/>
                <w:color w:val="auto"/>
              </w:rPr>
            </w:pPr>
            <w:r>
              <w:rPr>
                <w:rFonts w:ascii="Arial" w:cs="Arial" w:eastAsia="Arial" w:hAnsi="Arial"/>
                <w:sz w:val="18"/>
                <w:szCs w:val="18"/>
                <w:color w:val="auto"/>
                <w:w w:val="98"/>
              </w:rPr>
              <w:t>Cost of products sold (exclusive of depreciation and amortization shown separately</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500" w:type="dxa"/>
            <w:vAlign w:val="bottom"/>
            <w:gridSpan w:val="2"/>
          </w:tcPr>
          <w:p>
            <w:pPr>
              <w:ind w:left="180"/>
              <w:spacing w:after="0"/>
              <w:rPr>
                <w:sz w:val="20"/>
                <w:szCs w:val="20"/>
                <w:color w:val="auto"/>
              </w:rPr>
            </w:pPr>
            <w:r>
              <w:rPr>
                <w:rFonts w:ascii="Arial" w:cs="Arial" w:eastAsia="Arial" w:hAnsi="Arial"/>
                <w:sz w:val="18"/>
                <w:szCs w:val="18"/>
                <w:color w:val="auto"/>
              </w:rPr>
              <w:t>below)</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118,364</w:t>
            </w: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118,814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458,629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459,080</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20,743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21,863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74,112</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344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13,775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52,406</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(Gain) loss on disposal of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621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324"/>
        </w:trPr>
        <w:tc>
          <w:tcPr>
            <w:tcW w:w="65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1,069</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33,543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33,114</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12,169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12,169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52,085</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Write-off of unamortized debt issuance cost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2,448</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42,087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42,087</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payments (receipts) on interest rate swap</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Derivative (gains) losses on change in interest rate swap fair value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(87)</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(892)</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w:t>
            </w:r>
          </w:p>
        </w:tc>
      </w:tr>
      <w:tr>
        <w:trPr>
          <w:trHeight w:val="310"/>
        </w:trPr>
        <w:tc>
          <w:tcPr>
            <w:tcW w:w="6500" w:type="dxa"/>
            <w:vAlign w:val="bottom"/>
            <w:gridSpan w:val="2"/>
          </w:tcPr>
          <w:p>
            <w:pPr>
              <w:spacing w:after="0"/>
              <w:rPr>
                <w:sz w:val="20"/>
                <w:szCs w:val="20"/>
                <w:color w:val="auto"/>
              </w:rPr>
            </w:pPr>
            <w:r>
              <w:rPr>
                <w:rFonts w:ascii="Arial" w:cs="Arial" w:eastAsia="Arial" w:hAnsi="Arial"/>
                <w:sz w:val="18"/>
                <w:szCs w:val="18"/>
                <w:color w:val="auto"/>
                <w:w w:val="96"/>
              </w:rPr>
              <w:t>Continuing income (loss) before provision (benefit) for income taxes and share of net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500" w:type="dxa"/>
            <w:vAlign w:val="bottom"/>
            <w:gridSpan w:val="2"/>
          </w:tcPr>
          <w:p>
            <w:pPr>
              <w:ind w:left="180"/>
              <w:spacing w:after="0"/>
              <w:rPr>
                <w:sz w:val="20"/>
                <w:szCs w:val="20"/>
                <w:color w:val="auto"/>
              </w:rPr>
            </w:pPr>
            <w:r>
              <w:rPr>
                <w:rFonts w:ascii="Arial" w:cs="Arial" w:eastAsia="Arial" w:hAnsi="Arial"/>
                <w:sz w:val="18"/>
                <w:szCs w:val="18"/>
                <w:color w:val="auto"/>
              </w:rPr>
              <w:t>income from joint venture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(12,569)</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(58,313)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(58,873)</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expense for income taxes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(62,818)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(64,822)</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(79,214)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(79,026)</w:t>
            </w: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1,072</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5,126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5,211</w:t>
            </w:r>
          </w:p>
        </w:tc>
      </w:tr>
      <w:tr>
        <w:trPr>
          <w:trHeight w:val="94"/>
        </w:trPr>
        <w:tc>
          <w:tcPr>
            <w:tcW w:w="28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54,291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53,325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25,364</w:t>
            </w: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66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NN, Inc. Consolidated</w:t>
            </w: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 (a)</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12,897</w:t>
            </w:r>
          </w:p>
        </w:tc>
        <w:tc>
          <w:tcPr>
            <w:tcW w:w="0" w:type="dxa"/>
            <w:vAlign w:val="bottom"/>
          </w:tcPr>
          <w:p>
            <w:pPr>
              <w:spacing w:after="0"/>
              <w:rPr>
                <w:sz w:val="1"/>
                <w:szCs w:val="1"/>
                <w:color w:val="auto"/>
              </w:rPr>
            </w:pPr>
          </w:p>
        </w:tc>
      </w:tr>
      <w:tr>
        <w:trPr>
          <w:trHeight w:val="324"/>
        </w:trPr>
        <w:tc>
          <w:tcPr>
            <w:tcW w:w="6620" w:type="dxa"/>
            <w:vAlign w:val="bottom"/>
            <w:gridSpan w:val="2"/>
          </w:tcPr>
          <w:p>
            <w:pPr>
              <w:spacing w:after="0"/>
              <w:rPr>
                <w:sz w:val="20"/>
                <w:szCs w:val="20"/>
                <w:color w:val="auto"/>
              </w:rPr>
            </w:pPr>
            <w:r>
              <w:rPr>
                <w:rFonts w:ascii="Arial" w:cs="Arial" w:eastAsia="Arial" w:hAnsi="Arial"/>
                <w:sz w:val="18"/>
                <w:szCs w:val="18"/>
                <w:color w:val="auto"/>
              </w:rPr>
              <w:t>GAAP net sales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156,135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141,644</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66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Precision Engineered Products</w:t>
            </w: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4,952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 (a)</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14,036</w:t>
            </w:r>
          </w:p>
        </w:tc>
        <w:tc>
          <w:tcPr>
            <w:tcW w:w="0" w:type="dxa"/>
            <w:vAlign w:val="bottom"/>
          </w:tcPr>
          <w:p>
            <w:pPr>
              <w:spacing w:after="0"/>
              <w:rPr>
                <w:sz w:val="1"/>
                <w:szCs w:val="1"/>
                <w:color w:val="auto"/>
              </w:rPr>
            </w:pPr>
          </w:p>
        </w:tc>
      </w:tr>
      <w:tr>
        <w:trPr>
          <w:trHeight w:val="324"/>
        </w:trPr>
        <w:tc>
          <w:tcPr>
            <w:tcW w:w="6620" w:type="dxa"/>
            <w:vAlign w:val="bottom"/>
            <w:gridSpan w:val="2"/>
          </w:tcPr>
          <w:p>
            <w:pPr>
              <w:spacing w:after="0"/>
              <w:rPr>
                <w:sz w:val="20"/>
                <w:szCs w:val="20"/>
                <w:color w:val="auto"/>
              </w:rPr>
            </w:pPr>
            <w:r>
              <w:rPr>
                <w:rFonts w:ascii="Arial" w:cs="Arial" w:eastAsia="Arial" w:hAnsi="Arial"/>
                <w:sz w:val="18"/>
                <w:szCs w:val="18"/>
                <w:color w:val="auto"/>
              </w:rPr>
              <w:t>GAAP net sales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74,051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62,979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66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Autocam Precision Components</w:t>
            </w: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 (a)</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324"/>
        </w:trPr>
        <w:tc>
          <w:tcPr>
            <w:tcW w:w="6620" w:type="dxa"/>
            <w:vAlign w:val="bottom"/>
            <w:gridSpan w:val="2"/>
          </w:tcPr>
          <w:p>
            <w:pPr>
              <w:spacing w:after="0"/>
              <w:rPr>
                <w:sz w:val="20"/>
                <w:szCs w:val="20"/>
                <w:color w:val="auto"/>
              </w:rPr>
            </w:pPr>
            <w:r>
              <w:rPr>
                <w:rFonts w:ascii="Arial" w:cs="Arial" w:eastAsia="Arial" w:hAnsi="Arial"/>
                <w:sz w:val="18"/>
                <w:szCs w:val="18"/>
                <w:color w:val="auto"/>
              </w:rPr>
              <w:t>GAAP net sales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82,084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78,665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162"/>
        </w:trPr>
        <w:tc>
          <w:tcPr>
            <w:tcW w:w="6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NN, Inc. Consolidated</w:t>
            </w: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33,114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11,570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23,460</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25,998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 (a)</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69,890</w:t>
            </w:r>
          </w:p>
        </w:tc>
        <w:tc>
          <w:tcPr>
            <w:tcW w:w="0" w:type="dxa"/>
            <w:vAlign w:val="bottom"/>
          </w:tcPr>
          <w:p>
            <w:pPr>
              <w:spacing w:after="0"/>
              <w:rPr>
                <w:sz w:val="1"/>
                <w:szCs w:val="1"/>
                <w:color w:val="auto"/>
              </w:rPr>
            </w:pPr>
          </w:p>
        </w:tc>
      </w:tr>
      <w:tr>
        <w:trPr>
          <w:trHeight w:val="324"/>
        </w:trPr>
        <w:tc>
          <w:tcPr>
            <w:tcW w:w="6620" w:type="dxa"/>
            <w:vAlign w:val="bottom"/>
            <w:gridSpan w:val="2"/>
          </w:tcPr>
          <w:p>
            <w:pPr>
              <w:spacing w:after="0"/>
              <w:rPr>
                <w:sz w:val="20"/>
                <w:szCs w:val="20"/>
                <w:color w:val="auto"/>
              </w:rPr>
            </w:pPr>
            <w:r>
              <w:rPr>
                <w:rFonts w:ascii="Arial" w:cs="Arial" w:eastAsia="Arial" w:hAnsi="Arial"/>
                <w:sz w:val="18"/>
                <w:szCs w:val="18"/>
                <w:color w:val="auto"/>
              </w:rPr>
              <w:t>GAAP net sales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619,793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584,954</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149"/>
        </w:trPr>
        <w:tc>
          <w:tcPr>
            <w:tcW w:w="66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Precision Engineered Products</w:t>
            </w: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36,711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19,980</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22,465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 (a)</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58,401</w:t>
            </w:r>
          </w:p>
        </w:tc>
        <w:tc>
          <w:tcPr>
            <w:tcW w:w="0" w:type="dxa"/>
            <w:vAlign w:val="bottom"/>
          </w:tcPr>
          <w:p>
            <w:pPr>
              <w:spacing w:after="0"/>
              <w:rPr>
                <w:sz w:val="1"/>
                <w:szCs w:val="1"/>
                <w:color w:val="auto"/>
              </w:rPr>
            </w:pPr>
          </w:p>
        </w:tc>
      </w:tr>
      <w:tr>
        <w:trPr>
          <w:trHeight w:val="324"/>
        </w:trPr>
        <w:tc>
          <w:tcPr>
            <w:tcW w:w="6620" w:type="dxa"/>
            <w:vAlign w:val="bottom"/>
            <w:gridSpan w:val="2"/>
          </w:tcPr>
          <w:p>
            <w:pPr>
              <w:spacing w:after="0"/>
              <w:rPr>
                <w:sz w:val="20"/>
                <w:szCs w:val="20"/>
                <w:color w:val="auto"/>
              </w:rPr>
            </w:pPr>
            <w:r>
              <w:rPr>
                <w:rFonts w:ascii="Arial" w:cs="Arial" w:eastAsia="Arial" w:hAnsi="Arial"/>
                <w:sz w:val="18"/>
                <w:szCs w:val="18"/>
                <w:color w:val="auto"/>
              </w:rPr>
              <w:t>GAAP net sales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282,941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258,816</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162"/>
        </w:trPr>
        <w:tc>
          <w:tcPr>
            <w:tcW w:w="6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Autocam Precision Components</w:t>
            </w: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34,405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 (a)</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37,363</w:t>
            </w:r>
          </w:p>
        </w:tc>
        <w:tc>
          <w:tcPr>
            <w:tcW w:w="0" w:type="dxa"/>
            <w:vAlign w:val="bottom"/>
          </w:tcPr>
          <w:p>
            <w:pPr>
              <w:spacing w:after="0"/>
              <w:rPr>
                <w:sz w:val="1"/>
                <w:szCs w:val="1"/>
                <w:color w:val="auto"/>
              </w:rPr>
            </w:pPr>
          </w:p>
        </w:tc>
      </w:tr>
      <w:tr>
        <w:trPr>
          <w:trHeight w:val="324"/>
        </w:trPr>
        <w:tc>
          <w:tcPr>
            <w:tcW w:w="6620" w:type="dxa"/>
            <w:vAlign w:val="bottom"/>
            <w:gridSpan w:val="2"/>
          </w:tcPr>
          <w:p>
            <w:pPr>
              <w:spacing w:after="0"/>
              <w:rPr>
                <w:sz w:val="20"/>
                <w:szCs w:val="20"/>
                <w:color w:val="auto"/>
              </w:rPr>
            </w:pPr>
            <w:r>
              <w:rPr>
                <w:rFonts w:ascii="Arial" w:cs="Arial" w:eastAsia="Arial" w:hAnsi="Arial"/>
                <w:sz w:val="18"/>
                <w:szCs w:val="18"/>
                <w:color w:val="auto"/>
              </w:rPr>
              <w:t>GAAP net sales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336,852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326,138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Income (Loss) from Continuing Operations to Non-GAAP Adjusted Income (Loss) from Continuing Operations and Income (Loss) from Continuing Operations per diluted share to Adjusted Income (Loss) from Continuing Operations per diluted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6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53,325</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(2,186)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25,364</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(9,490)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800" w:type="dxa"/>
            <w:vAlign w:val="bottom"/>
            <w:gridSpan w:val="2"/>
          </w:tcPr>
          <w:p>
            <w:pPr>
              <w:spacing w:after="0"/>
              <w:rPr>
                <w:sz w:val="20"/>
                <w:szCs w:val="20"/>
                <w:color w:val="auto"/>
              </w:rPr>
            </w:pPr>
            <w:r>
              <w:rPr>
                <w:rFonts w:ascii="Arial" w:cs="Arial" w:eastAsia="Arial" w:hAnsi="Arial"/>
                <w:sz w:val="18"/>
                <w:szCs w:val="18"/>
                <w:color w:val="auto"/>
              </w:rPr>
              <w:t>Pre-tax acquisition and transition expense</w:t>
            </w: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6,696</w:t>
            </w:r>
          </w:p>
        </w:tc>
        <w:tc>
          <w:tcPr>
            <w:tcW w:w="8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11,570</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(gain)/loss on inter-company loans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unamortized debt issuance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42,087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Pre-tax write-off interest rate swap</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7,014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27,894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3,720</w:t>
            </w: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6,160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adjustment reflected above (c)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(3,502)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(22,858)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Earnings from Precision Bearing Components group (1)</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12,085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Impact due to Tax Cuts and Jobs Act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(51,823)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(51,823)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Divesture of Business Segment, exclusive of tax reform</w:t>
            </w: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(7,983)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(7,983)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(loss) from continuing operations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43,039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33,933</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4"/>
                <w:szCs w:val="2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6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Amounts per share, diluted</w:t>
            </w:r>
          </w:p>
        </w:tc>
        <w:tc>
          <w:tcPr>
            <w:tcW w:w="10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800" w:type="dxa"/>
            <w:vAlign w:val="bottom"/>
            <w:gridSpan w:val="2"/>
          </w:tcPr>
          <w:p>
            <w:pPr>
              <w:spacing w:after="0"/>
              <w:rPr>
                <w:sz w:val="20"/>
                <w:szCs w:val="20"/>
                <w:color w:val="auto"/>
              </w:rPr>
            </w:pPr>
            <w:r>
              <w:rPr>
                <w:rFonts w:ascii="Arial" w:cs="Arial" w:eastAsia="Arial" w:hAnsi="Arial"/>
                <w:sz w:val="18"/>
                <w:szCs w:val="18"/>
                <w:color w:val="auto"/>
              </w:rPr>
              <w:t>Pre-tax acquisition and transition expense</w:t>
            </w: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(gain)/loss on inter-company loans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unamortized debt issuance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Pre-tax write-off interest rate swap</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adjustment reflected above (c)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Earnings from Precision Bearing Components group (1)</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Impact due to Tax Cuts and Jobs Act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Divesture of Business Segment, exclusive of tax reform</w:t>
            </w: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(loss) from continuing operations per share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24"/>
        </w:trPr>
        <w:tc>
          <w:tcPr>
            <w:tcW w:w="7800" w:type="dxa"/>
            <w:vAlign w:val="bottom"/>
            <w:gridSpan w:val="2"/>
          </w:tcPr>
          <w:p>
            <w:pPr>
              <w:spacing w:after="0"/>
              <w:rPr>
                <w:sz w:val="20"/>
                <w:szCs w:val="20"/>
                <w:color w:val="auto"/>
              </w:rPr>
            </w:pPr>
            <w:r>
              <w:rPr>
                <w:rFonts w:ascii="Arial" w:cs="Arial" w:eastAsia="Arial" w:hAnsi="Arial"/>
                <w:sz w:val="18"/>
                <w:szCs w:val="18"/>
                <w:color w:val="auto"/>
              </w:rPr>
              <w:t>Weighted average shares outstanding, diluted</w:t>
            </w: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27,925</w:t>
            </w:r>
          </w:p>
        </w:tc>
        <w:tc>
          <w:tcPr>
            <w:tcW w:w="8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27,241</w:t>
            </w: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27,755</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27,241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Precision Bearing Components group earnings for the period January 1 - August 16, 2017 and actual 2016 earnings</w:t>
      </w:r>
    </w:p>
    <w:p>
      <w:pPr>
        <w:sectPr>
          <w:pgSz w:w="11900" w:h="16838" w:orient="portrait"/>
          <w:cols w:equalWidth="0" w:num="1">
            <w:col w:w="11420"/>
          </w:cols>
          <w:pgMar w:left="240" w:top="270" w:right="239" w:bottom="1440" w:gutter="0" w:footer="0" w:header="0"/>
        </w:sectPr>
      </w:pPr>
    </w:p>
    <w:bookmarkStart w:id="10" w:name="page11"/>
    <w:bookmarkEnd w:id="10"/>
    <w:p>
      <w:pPr>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discloses in this presentation the non-GAAP financial measures of adjusted income from operations and Non-GAAP adjusted operating margin. Each of these non-GAAP financial measures provide supplementary information about the impacts of acquisition, divestiture and integration related expenses, foreign-exchange impacts on inter-company loans reorganizational and impairment charges. Over the past four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such as, the write-off of our interest rate swap, are excluded as the charges on not indicative of our ongoing operating cost. We believe the presentation of adjusted income from operations and adjusted operating margin provide useful information in assessing our underlying business trends and facilitates comparison of our long-term performance over given periods.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88" w:lineRule="exact"/>
        <w:rPr>
          <w:sz w:val="20"/>
          <w:szCs w:val="20"/>
          <w:color w:val="auto"/>
        </w:rPr>
      </w:pPr>
    </w:p>
    <w:p>
      <w:pPr>
        <w:ind w:right="20" w:firstLine="8"/>
        <w:spacing w:after="0" w:line="293"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Non-GAAP Adjusted income from operations, represents GAAP income from operations, adjusted to exclude the effects of restructuring and integration expense, non-operational charges related to acquisition, divestiture and restructuring and integration costs,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64"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Non-GAAP adjusted income (loss) from continuing operations , represents GAAP income (loss) from continuing operations, adjusted to exclude the</w:t>
      </w:r>
    </w:p>
    <w:p>
      <w:pPr>
        <w:spacing w:after="0" w:line="3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tax-affected effects of restructuring and 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and foreign exchange gain (loss) on inter-company loans.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income(loss) from segment operations is not a measure of financial performance under GAAP and should not be considered as a measure of liquidity or as an alternative to GAAP income (loss) from continuing operations.</w:t>
      </w:r>
    </w:p>
    <w:p>
      <w:pPr>
        <w:spacing w:after="0" w:line="181" w:lineRule="exact"/>
        <w:rPr>
          <w:sz w:val="20"/>
          <w:szCs w:val="20"/>
          <w:color w:val="auto"/>
        </w:rPr>
      </w:pPr>
    </w:p>
    <w:p>
      <w:pPr>
        <w:ind w:right="60" w:firstLine="8"/>
        <w:spacing w:after="0" w:line="259"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line item reflects the aggregate tax effect of all nontax adjustments reflected in the table above. In addition, the footnotes above indicate the after-tax amount of each individual adjustment item. NN, Inc. estimates the tax effect of the adjustment items identified in the reconciliation schedule above by applying NN, Inc’s. overall estimated effective tax rate to the pretax amount, unless the nature of the item and/or the tax jurisdiction in which the item has been recorded requires application of a specific tax rate or tax treatment.</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2019-12-28T23:03:01Z</dcterms:created>
  <dcterms:modified xsi:type="dcterms:W3CDTF">2019-12-28T23:03:01Z</dcterms:modified>
</cp:coreProperties>
</file>