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ind w:left="5200"/>
        <w:spacing w:after="0"/>
        <w:rPr>
          <w:sz w:val="20"/>
          <w:szCs w:val="20"/>
          <w:color w:val="auto"/>
        </w:rPr>
      </w:pPr>
      <w:r>
        <w:rPr>
          <w:rFonts w:ascii="Arial" w:cs="Arial" w:eastAsia="Arial" w:hAnsi="Arial"/>
          <w:sz w:val="14"/>
          <w:szCs w:val="14"/>
          <w:b w:val="1"/>
          <w:bCs w:val="1"/>
          <w:color w:val="auto"/>
        </w:rPr>
        <w:t>(CUSIP Number)</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EXPLANATORY NOTE</w:t>
      </w:r>
    </w:p>
    <w:p>
      <w:pPr>
        <w:spacing w:after="0" w:line="158" w:lineRule="exact"/>
        <w:rPr>
          <w:sz w:val="24"/>
          <w:szCs w:val="24"/>
          <w:color w:val="auto"/>
        </w:rPr>
      </w:pPr>
    </w:p>
    <w:p>
      <w:pPr>
        <w:ind w:right="340"/>
        <w:spacing w:after="0" w:line="259" w:lineRule="auto"/>
        <w:rPr>
          <w:sz w:val="20"/>
          <w:szCs w:val="20"/>
          <w:color w:val="auto"/>
        </w:rPr>
      </w:pPr>
      <w:r>
        <w:rPr>
          <w:rFonts w:ascii="Arial" w:cs="Arial" w:eastAsia="Arial" w:hAnsi="Arial"/>
          <w:sz w:val="18"/>
          <w:szCs w:val="18"/>
          <w:color w:val="auto"/>
        </w:rPr>
        <w:t>This Schedule 13G is filed by Wells Fargo &amp; Company on its own behalf and on behalf of any subsidiaries listed on Attachment A. Aggregate beneficial ownership reported by Wells Fargo &amp; Company under Item 9 on page 2 is on a consolidated basis and includes any beneficial ownership separately reported herein by a subsidiary.</w:t>
      </w:r>
    </w:p>
    <w:p>
      <w:pPr>
        <w:sectPr>
          <w:pgSz w:w="11900" w:h="16838" w:orient="portrait"/>
          <w:cols w:equalWidth="0" w:num="1">
            <w:col w:w="11340"/>
          </w:cols>
          <w:pgMar w:left="240" w:top="219"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CUSIP NO. 629337106</w:t>
            </w:r>
          </w:p>
        </w:tc>
        <w:tc>
          <w:tcPr>
            <w:tcW w:w="2440" w:type="dxa"/>
            <w:vAlign w:val="bottom"/>
          </w:tcPr>
          <w:p>
            <w:pPr>
              <w:ind w:left="2140"/>
              <w:spacing w:after="0"/>
              <w:rPr>
                <w:sz w:val="20"/>
                <w:szCs w:val="20"/>
                <w:color w:val="auto"/>
              </w:rPr>
            </w:pPr>
            <w:r>
              <w:rPr>
                <w:rFonts w:ascii="Arial" w:cs="Arial" w:eastAsia="Arial" w:hAnsi="Arial"/>
                <w:sz w:val="18"/>
                <w:szCs w:val="18"/>
                <w:color w:val="auto"/>
                <w:w w:val="82"/>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Wells Fargo &amp; Company</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Tax Identification No. 41-0449260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18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 CITIZENSHIP OR PLACE OF ORGANIZATION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700"/>
        <w:spacing w:after="0"/>
        <w:tabs>
          <w:tab w:leader="none" w:pos="1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540" w:type="dxa"/>
            <w:vAlign w:val="bottom"/>
          </w:tcPr>
          <w:p>
            <w:pPr>
              <w:ind w:left="600"/>
              <w:spacing w:after="0"/>
              <w:rPr>
                <w:sz w:val="20"/>
                <w:szCs w:val="20"/>
                <w:color w:val="auto"/>
              </w:rPr>
            </w:pPr>
            <w:r>
              <w:rPr>
                <w:rFonts w:ascii="Arial" w:cs="Arial" w:eastAsia="Arial" w:hAnsi="Arial"/>
                <w:sz w:val="22"/>
                <w:szCs w:val="22"/>
                <w:color w:val="auto"/>
              </w:rPr>
              <w:t>2,321,600</w:t>
            </w:r>
          </w:p>
        </w:tc>
        <w:tc>
          <w:tcPr>
            <w:tcW w:w="0" w:type="dxa"/>
            <w:vAlign w:val="bottom"/>
          </w:tcPr>
          <w:p>
            <w:pPr>
              <w:spacing w:after="0"/>
              <w:rPr>
                <w:sz w:val="1"/>
                <w:szCs w:val="1"/>
                <w:color w:val="auto"/>
              </w:rPr>
            </w:pPr>
          </w:p>
        </w:tc>
      </w:tr>
      <w:tr>
        <w:trPr>
          <w:trHeight w:val="9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4"/>
              </w:rPr>
              <w:t>NUMBER OF</w:t>
            </w: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48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5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89"/>
              </w:rPr>
              <w:t>SHARES</w:t>
            </w:r>
          </w:p>
        </w:tc>
        <w:tc>
          <w:tcPr>
            <w:tcW w:w="2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52"/>
              <w:spacing w:after="0"/>
              <w:rPr>
                <w:sz w:val="20"/>
                <w:szCs w:val="20"/>
                <w:color w:val="auto"/>
              </w:rPr>
            </w:pPr>
            <w:r>
              <w:rPr>
                <w:rFonts w:ascii="Arial" w:cs="Arial" w:eastAsia="Arial" w:hAnsi="Arial"/>
                <w:sz w:val="18"/>
                <w:szCs w:val="18"/>
                <w:color w:val="auto"/>
                <w:w w:val="97"/>
              </w:rPr>
              <w:t>BENEFICIALLY</w:t>
            </w:r>
          </w:p>
        </w:tc>
        <w:tc>
          <w:tcPr>
            <w:tcW w:w="26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6"/>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5"/>
              </w:rPr>
              <w:t>OWNED BY</w:t>
            </w:r>
          </w:p>
        </w:tc>
        <w:tc>
          <w:tcPr>
            <w:tcW w:w="260" w:type="dxa"/>
            <w:vAlign w:val="bottom"/>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48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480" w:type="dxa"/>
            <w:vAlign w:val="bottom"/>
          </w:tcPr>
          <w:p>
            <w:pPr>
              <w:jc w:val="center"/>
              <w:ind w:right="172"/>
              <w:spacing w:after="0" w:line="190" w:lineRule="exact"/>
              <w:rPr>
                <w:sz w:val="20"/>
                <w:szCs w:val="20"/>
                <w:color w:val="auto"/>
              </w:rPr>
            </w:pPr>
            <w:r>
              <w:rPr>
                <w:rFonts w:ascii="Arial" w:cs="Arial" w:eastAsia="Arial" w:hAnsi="Arial"/>
                <w:sz w:val="18"/>
                <w:szCs w:val="18"/>
                <w:color w:val="auto"/>
                <w:w w:val="91"/>
              </w:rPr>
              <w:t>EACH</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54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1"/>
              </w:rPr>
              <w:t>REPORTING</w:t>
            </w:r>
          </w:p>
        </w:tc>
        <w:tc>
          <w:tcPr>
            <w:tcW w:w="260" w:type="dxa"/>
            <w:vAlign w:val="bottom"/>
            <w:vMerge w:val="continue"/>
          </w:tcPr>
          <w:p>
            <w:pPr>
              <w:spacing w:after="0"/>
              <w:rPr>
                <w:sz w:val="11"/>
                <w:szCs w:val="11"/>
                <w:color w:val="auto"/>
              </w:rPr>
            </w:pPr>
          </w:p>
        </w:tc>
        <w:tc>
          <w:tcPr>
            <w:tcW w:w="9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480" w:type="dxa"/>
            <w:vAlign w:val="bottom"/>
          </w:tcPr>
          <w:p>
            <w:pPr>
              <w:jc w:val="center"/>
              <w:ind w:right="172"/>
              <w:spacing w:after="0"/>
              <w:rPr>
                <w:sz w:val="20"/>
                <w:szCs w:val="20"/>
                <w:color w:val="auto"/>
              </w:rPr>
            </w:pPr>
            <w:r>
              <w:rPr>
                <w:rFonts w:ascii="Arial" w:cs="Arial" w:eastAsia="Arial" w:hAnsi="Arial"/>
                <w:sz w:val="18"/>
                <w:szCs w:val="18"/>
                <w:color w:val="auto"/>
                <w:w w:val="86"/>
              </w:rPr>
              <w:t>PERSON</w:t>
            </w:r>
          </w:p>
        </w:tc>
        <w:tc>
          <w:tcPr>
            <w:tcW w:w="260" w:type="dxa"/>
            <w:vAlign w:val="bottom"/>
          </w:tcPr>
          <w:p>
            <w:pPr>
              <w:spacing w:after="0"/>
              <w:rPr>
                <w:sz w:val="21"/>
                <w:szCs w:val="21"/>
                <w:color w:val="auto"/>
              </w:rPr>
            </w:pPr>
          </w:p>
        </w:tc>
        <w:tc>
          <w:tcPr>
            <w:tcW w:w="9540" w:type="dxa"/>
            <w:vAlign w:val="bottom"/>
          </w:tcPr>
          <w:p>
            <w:pPr>
              <w:ind w:left="600"/>
              <w:spacing w:after="0" w:line="251" w:lineRule="exact"/>
              <w:rPr>
                <w:sz w:val="20"/>
                <w:szCs w:val="20"/>
                <w:color w:val="auto"/>
              </w:rPr>
            </w:pPr>
            <w:r>
              <w:rPr>
                <w:rFonts w:ascii="Arial" w:cs="Arial" w:eastAsia="Arial" w:hAnsi="Arial"/>
                <w:sz w:val="22"/>
                <w:szCs w:val="22"/>
                <w:color w:val="auto"/>
              </w:rPr>
              <w:t>2,011,849</w:t>
            </w:r>
          </w:p>
        </w:tc>
        <w:tc>
          <w:tcPr>
            <w:tcW w:w="0" w:type="dxa"/>
            <w:vAlign w:val="bottom"/>
          </w:tcPr>
          <w:p>
            <w:pPr>
              <w:spacing w:after="0"/>
              <w:rPr>
                <w:sz w:val="1"/>
                <w:szCs w:val="1"/>
                <w:color w:val="auto"/>
              </w:rPr>
            </w:pPr>
          </w:p>
        </w:tc>
      </w:tr>
      <w:tr>
        <w:trPr>
          <w:trHeight w:val="162"/>
        </w:trPr>
        <w:tc>
          <w:tcPr>
            <w:tcW w:w="1480" w:type="dxa"/>
            <w:vAlign w:val="bottom"/>
          </w:tcPr>
          <w:p>
            <w:pPr>
              <w:jc w:val="center"/>
              <w:ind w:right="172"/>
              <w:spacing w:after="0" w:line="162" w:lineRule="exact"/>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95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12,608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 AGGREGATE AMOUNT BENEFICIALLY OWNED BY EACH REPORTING PERSON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2,503,757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10 CHECK IF THE AGGREGATE AMOUNT IN ROW (9) EXCLUDES CERTAIN SHARES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11 PERCENT OF CLASS REPRESENTED BY AMOUNT IN ROW 9</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12 TYPE OF REPORTING PERSON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CUSIP NO. 629337106</w:t>
            </w:r>
          </w:p>
        </w:tc>
        <w:tc>
          <w:tcPr>
            <w:tcW w:w="2440" w:type="dxa"/>
            <w:vAlign w:val="bottom"/>
          </w:tcPr>
          <w:p>
            <w:pPr>
              <w:ind w:left="2140"/>
              <w:spacing w:after="0"/>
              <w:rPr>
                <w:sz w:val="20"/>
                <w:szCs w:val="20"/>
                <w:color w:val="auto"/>
              </w:rPr>
            </w:pPr>
            <w:r>
              <w:rPr>
                <w:rFonts w:ascii="Arial" w:cs="Arial" w:eastAsia="Arial" w:hAnsi="Arial"/>
                <w:sz w:val="18"/>
                <w:szCs w:val="18"/>
                <w:color w:val="auto"/>
                <w:w w:val="82"/>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0"/>
          <w:szCs w:val="20"/>
          <w:color w:val="auto"/>
        </w:rPr>
      </w:pPr>
    </w:p>
    <w:p>
      <w:pPr>
        <w:ind w:left="280" w:hanging="184"/>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Wells Capital Management Incorporated</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Federal ID No. 95-3692822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184"/>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 CITIZENSHIP OR PLACE OF ORGANIZATION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700"/>
        <w:spacing w:after="0"/>
        <w:tabs>
          <w:tab w:leader="none" w:pos="1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540" w:type="dxa"/>
            <w:vAlign w:val="bottom"/>
          </w:tcPr>
          <w:p>
            <w:pPr>
              <w:ind w:left="600"/>
              <w:spacing w:after="0"/>
              <w:rPr>
                <w:sz w:val="20"/>
                <w:szCs w:val="20"/>
                <w:color w:val="auto"/>
              </w:rPr>
            </w:pPr>
            <w:r>
              <w:rPr>
                <w:rFonts w:ascii="Arial" w:cs="Arial" w:eastAsia="Arial" w:hAnsi="Arial"/>
                <w:sz w:val="22"/>
                <w:szCs w:val="22"/>
                <w:color w:val="auto"/>
              </w:rPr>
              <w:t>1,842,300</w:t>
            </w:r>
          </w:p>
        </w:tc>
        <w:tc>
          <w:tcPr>
            <w:tcW w:w="0" w:type="dxa"/>
            <w:vAlign w:val="bottom"/>
          </w:tcPr>
          <w:p>
            <w:pPr>
              <w:spacing w:after="0"/>
              <w:rPr>
                <w:sz w:val="1"/>
                <w:szCs w:val="1"/>
                <w:color w:val="auto"/>
              </w:rPr>
            </w:pPr>
          </w:p>
        </w:tc>
      </w:tr>
      <w:tr>
        <w:trPr>
          <w:trHeight w:val="9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4"/>
              </w:rPr>
              <w:t>NUMBER OF</w:t>
            </w: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48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5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89"/>
              </w:rPr>
              <w:t>SHARES</w:t>
            </w:r>
          </w:p>
        </w:tc>
        <w:tc>
          <w:tcPr>
            <w:tcW w:w="2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52"/>
              <w:spacing w:after="0"/>
              <w:rPr>
                <w:sz w:val="20"/>
                <w:szCs w:val="20"/>
                <w:color w:val="auto"/>
              </w:rPr>
            </w:pPr>
            <w:r>
              <w:rPr>
                <w:rFonts w:ascii="Arial" w:cs="Arial" w:eastAsia="Arial" w:hAnsi="Arial"/>
                <w:sz w:val="18"/>
                <w:szCs w:val="18"/>
                <w:color w:val="auto"/>
                <w:w w:val="97"/>
              </w:rPr>
              <w:t>BENEFICIALLY</w:t>
            </w:r>
          </w:p>
        </w:tc>
        <w:tc>
          <w:tcPr>
            <w:tcW w:w="26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6"/>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5"/>
              </w:rPr>
              <w:t>OWNED BY</w:t>
            </w:r>
          </w:p>
        </w:tc>
        <w:tc>
          <w:tcPr>
            <w:tcW w:w="260" w:type="dxa"/>
            <w:vAlign w:val="bottom"/>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48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480" w:type="dxa"/>
            <w:vAlign w:val="bottom"/>
          </w:tcPr>
          <w:p>
            <w:pPr>
              <w:jc w:val="center"/>
              <w:ind w:right="172"/>
              <w:spacing w:after="0" w:line="190" w:lineRule="exact"/>
              <w:rPr>
                <w:sz w:val="20"/>
                <w:szCs w:val="20"/>
                <w:color w:val="auto"/>
              </w:rPr>
            </w:pPr>
            <w:r>
              <w:rPr>
                <w:rFonts w:ascii="Arial" w:cs="Arial" w:eastAsia="Arial" w:hAnsi="Arial"/>
                <w:sz w:val="18"/>
                <w:szCs w:val="18"/>
                <w:color w:val="auto"/>
                <w:w w:val="91"/>
              </w:rPr>
              <w:t>EACH</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54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1"/>
              </w:rPr>
              <w:t>REPORTING</w:t>
            </w:r>
          </w:p>
        </w:tc>
        <w:tc>
          <w:tcPr>
            <w:tcW w:w="260" w:type="dxa"/>
            <w:vAlign w:val="bottom"/>
            <w:vMerge w:val="continue"/>
          </w:tcPr>
          <w:p>
            <w:pPr>
              <w:spacing w:after="0"/>
              <w:rPr>
                <w:sz w:val="11"/>
                <w:szCs w:val="11"/>
                <w:color w:val="auto"/>
              </w:rPr>
            </w:pPr>
          </w:p>
        </w:tc>
        <w:tc>
          <w:tcPr>
            <w:tcW w:w="9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480" w:type="dxa"/>
            <w:vAlign w:val="bottom"/>
          </w:tcPr>
          <w:p>
            <w:pPr>
              <w:jc w:val="center"/>
              <w:ind w:right="172"/>
              <w:spacing w:after="0"/>
              <w:rPr>
                <w:sz w:val="20"/>
                <w:szCs w:val="20"/>
                <w:color w:val="auto"/>
              </w:rPr>
            </w:pPr>
            <w:r>
              <w:rPr>
                <w:rFonts w:ascii="Arial" w:cs="Arial" w:eastAsia="Arial" w:hAnsi="Arial"/>
                <w:sz w:val="18"/>
                <w:szCs w:val="18"/>
                <w:color w:val="auto"/>
                <w:w w:val="86"/>
              </w:rPr>
              <w:t>PERSON</w:t>
            </w:r>
          </w:p>
        </w:tc>
        <w:tc>
          <w:tcPr>
            <w:tcW w:w="260" w:type="dxa"/>
            <w:vAlign w:val="bottom"/>
          </w:tcPr>
          <w:p>
            <w:pPr>
              <w:spacing w:after="0"/>
              <w:rPr>
                <w:sz w:val="21"/>
                <w:szCs w:val="21"/>
                <w:color w:val="auto"/>
              </w:rPr>
            </w:pPr>
          </w:p>
        </w:tc>
        <w:tc>
          <w:tcPr>
            <w:tcW w:w="9540" w:type="dxa"/>
            <w:vAlign w:val="bottom"/>
          </w:tcPr>
          <w:p>
            <w:pPr>
              <w:ind w:left="600"/>
              <w:spacing w:after="0" w:line="251" w:lineRule="exact"/>
              <w:rPr>
                <w:sz w:val="20"/>
                <w:szCs w:val="20"/>
                <w:color w:val="auto"/>
              </w:rPr>
            </w:pPr>
            <w:r>
              <w:rPr>
                <w:rFonts w:ascii="Arial" w:cs="Arial" w:eastAsia="Arial" w:hAnsi="Arial"/>
                <w:sz w:val="22"/>
                <w:szCs w:val="22"/>
                <w:color w:val="auto"/>
              </w:rPr>
              <w:t>1,977,150</w:t>
            </w:r>
          </w:p>
        </w:tc>
        <w:tc>
          <w:tcPr>
            <w:tcW w:w="0" w:type="dxa"/>
            <w:vAlign w:val="bottom"/>
          </w:tcPr>
          <w:p>
            <w:pPr>
              <w:spacing w:after="0"/>
              <w:rPr>
                <w:sz w:val="1"/>
                <w:szCs w:val="1"/>
                <w:color w:val="auto"/>
              </w:rPr>
            </w:pPr>
          </w:p>
        </w:tc>
      </w:tr>
      <w:tr>
        <w:trPr>
          <w:trHeight w:val="162"/>
        </w:trPr>
        <w:tc>
          <w:tcPr>
            <w:tcW w:w="1480" w:type="dxa"/>
            <w:vAlign w:val="bottom"/>
          </w:tcPr>
          <w:p>
            <w:pPr>
              <w:jc w:val="center"/>
              <w:ind w:right="172"/>
              <w:spacing w:after="0" w:line="162" w:lineRule="exact"/>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95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 AGGREGATE AMOUNT BENEFICIALLY OWNED BY EACH REPORTING PERSON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1,977,150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10 CHECK IF THE AGGREGATE AMOUNT IN ROW (9) EXCLUDES CERTAIN SHARES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11 PERCENT OF CLASS REPRESENTED BY AMOUNT IN ROW 9</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12 TYPE OF REPORTING PERSON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13G</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No. 2)</w:t>
      </w:r>
    </w:p>
    <w:p>
      <w:pPr>
        <w:spacing w:after="0" w:line="14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DISCLAIMER: </w:t>
      </w:r>
      <w:r>
        <w:rPr>
          <w:rFonts w:ascii="Arial" w:cs="Arial" w:eastAsia="Arial" w:hAnsi="Arial"/>
          <w:sz w:val="18"/>
          <w:szCs w:val="18"/>
          <w:color w:val="auto"/>
        </w:rPr>
        <w:t>Information in this Schedule 13G is provided solely for the purpose of complying with Sections 13(d) and 13(g) of the Act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 and is not to be construed as an admission that Wells Fargo &amp; Company or any of its subsidiaries is the beneficial owner of the securities covered by this Schedule 13G for any purpose whatsoever.</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Name of Issuer:</w:t>
            </w:r>
          </w:p>
        </w:tc>
      </w:tr>
      <w:tr>
        <w:trPr>
          <w:trHeight w:val="28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NN, Inc.</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Address of Issuer’s Principal Executive Offices:</w:t>
            </w:r>
          </w:p>
        </w:tc>
      </w:tr>
      <w:tr>
        <w:trPr>
          <w:trHeight w:val="277"/>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2000 Waters Edge Drive</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Building C, Suite 12</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Johnson City, TN 37604</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Name of Person Filing:</w:t>
            </w:r>
          </w:p>
        </w:tc>
      </w:tr>
      <w:tr>
        <w:trPr>
          <w:trHeight w:val="28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Wells Fargo &amp; Company</w:t>
            </w:r>
          </w:p>
        </w:tc>
      </w:tr>
      <w:tr>
        <w:trPr>
          <w:trHeight w:val="28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Wells Capital Management Incorporated</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w w:val="88"/>
              </w:rPr>
              <w:t>Address of Principal Business Office or, if None, Residence:</w:t>
            </w:r>
          </w:p>
        </w:tc>
      </w:tr>
      <w:tr>
        <w:trPr>
          <w:trHeight w:val="277"/>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1.</w:t>
            </w:r>
          </w:p>
        </w:tc>
        <w:tc>
          <w:tcPr>
            <w:tcW w:w="4000" w:type="dxa"/>
            <w:vAlign w:val="bottom"/>
          </w:tcPr>
          <w:p>
            <w:pPr>
              <w:ind w:left="120"/>
              <w:spacing w:after="0"/>
              <w:rPr>
                <w:sz w:val="20"/>
                <w:szCs w:val="20"/>
                <w:color w:val="auto"/>
              </w:rPr>
            </w:pPr>
            <w:r>
              <w:rPr>
                <w:rFonts w:ascii="Arial" w:cs="Arial" w:eastAsia="Arial" w:hAnsi="Arial"/>
                <w:sz w:val="18"/>
                <w:szCs w:val="18"/>
                <w:color w:val="auto"/>
              </w:rPr>
              <w:t>Wells Fargo &amp; Company</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420 Montgomery Street</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San Francisco, CA 94104</w:t>
            </w:r>
          </w:p>
        </w:tc>
      </w:tr>
      <w:tr>
        <w:trPr>
          <w:trHeight w:val="277"/>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2.</w:t>
            </w:r>
          </w:p>
        </w:tc>
        <w:tc>
          <w:tcPr>
            <w:tcW w:w="4000" w:type="dxa"/>
            <w:vAlign w:val="bottom"/>
          </w:tcPr>
          <w:p>
            <w:pPr>
              <w:ind w:left="120"/>
              <w:spacing w:after="0"/>
              <w:rPr>
                <w:sz w:val="20"/>
                <w:szCs w:val="20"/>
                <w:color w:val="auto"/>
              </w:rPr>
            </w:pPr>
            <w:r>
              <w:rPr>
                <w:rFonts w:ascii="Arial" w:cs="Arial" w:eastAsia="Arial" w:hAnsi="Arial"/>
                <w:sz w:val="18"/>
                <w:szCs w:val="18"/>
                <w:color w:val="auto"/>
              </w:rPr>
              <w:t>Wells Capital Management Incorporated</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0" w:type="dxa"/>
            <w:vAlign w:val="bottom"/>
          </w:tcPr>
          <w:p>
            <w:pPr>
              <w:ind w:left="160"/>
              <w:spacing w:after="0" w:line="217" w:lineRule="exact"/>
              <w:rPr>
                <w:sz w:val="20"/>
                <w:szCs w:val="20"/>
                <w:color w:val="auto"/>
              </w:rPr>
            </w:pPr>
            <w:r>
              <w:rPr>
                <w:rFonts w:ascii="Arial" w:cs="Arial" w:eastAsia="Arial" w:hAnsi="Arial"/>
                <w:sz w:val="18"/>
                <w:szCs w:val="18"/>
                <w:color w:val="auto"/>
              </w:rPr>
              <w:t>525 Market Street,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San Francisco, CA 94104</w:t>
            </w:r>
          </w:p>
        </w:tc>
      </w:tr>
    </w:tbl>
    <w:p>
      <w:pPr>
        <w:spacing w:after="0" w:line="115"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color w:val="auto"/>
        </w:rPr>
        <w:t>Item 2</w:t>
        <w:tab/>
        <w:t>(c)</w:t>
      </w:r>
      <w:r>
        <w:rPr>
          <w:sz w:val="20"/>
          <w:szCs w:val="20"/>
          <w:color w:val="auto"/>
        </w:rPr>
        <w:tab/>
      </w:r>
      <w:r>
        <w:rPr>
          <w:rFonts w:ascii="Arial" w:cs="Arial" w:eastAsia="Arial" w:hAnsi="Arial"/>
          <w:sz w:val="16"/>
          <w:szCs w:val="16"/>
          <w:color w:val="auto"/>
        </w:rPr>
        <w:t>Citizenship:</w:t>
      </w:r>
    </w:p>
    <w:p>
      <w:pPr>
        <w:spacing w:after="0" w:line="77" w:lineRule="exact"/>
        <w:rPr>
          <w:sz w:val="20"/>
          <w:szCs w:val="20"/>
          <w:color w:val="auto"/>
        </w:rPr>
      </w:pPr>
    </w:p>
    <w:p>
      <w:pPr>
        <w:ind w:left="1840" w:right="7780" w:hanging="427"/>
        <w:spacing w:after="0" w:line="328"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Wells Fargo &amp; Company: Delaware</w:t>
      </w:r>
    </w:p>
    <w:p>
      <w:pPr>
        <w:spacing w:after="0" w:line="1" w:lineRule="exact"/>
        <w:rPr>
          <w:rFonts w:ascii="Arial" w:cs="Arial" w:eastAsia="Arial" w:hAnsi="Arial"/>
          <w:sz w:val="18"/>
          <w:szCs w:val="18"/>
          <w:color w:val="auto"/>
        </w:rPr>
      </w:pPr>
    </w:p>
    <w:p>
      <w:pPr>
        <w:ind w:left="1840" w:right="6680" w:hanging="427"/>
        <w:spacing w:after="0" w:line="346"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Wells Capital Management Incorporated: California</w:t>
      </w:r>
    </w:p>
    <w:p>
      <w:pPr>
        <w:spacing w:after="0" w:line="24"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color w:val="auto"/>
        </w:rPr>
        <w:t>Item 2</w:t>
        <w:tab/>
        <w:t>(d)</w:t>
      </w:r>
      <w:r>
        <w:rPr>
          <w:sz w:val="20"/>
          <w:szCs w:val="20"/>
          <w:color w:val="auto"/>
        </w:rPr>
        <w:tab/>
      </w:r>
      <w:r>
        <w:rPr>
          <w:rFonts w:ascii="Arial" w:cs="Arial" w:eastAsia="Arial" w:hAnsi="Arial"/>
          <w:sz w:val="16"/>
          <w:szCs w:val="16"/>
          <w:color w:val="auto"/>
        </w:rPr>
        <w:t>Title of Class of Securities:</w:t>
      </w:r>
    </w:p>
    <w:p>
      <w:pPr>
        <w:spacing w:after="0" w:line="7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Common Stock, $0.01 par value</w:t>
      </w:r>
    </w:p>
    <w:p>
      <w:pPr>
        <w:spacing w:after="0" w:line="131"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color w:val="auto"/>
        </w:rPr>
        <w:t>Item 2</w:t>
        <w:tab/>
        <w:t>(e)</w:t>
      </w:r>
      <w:r>
        <w:rPr>
          <w:sz w:val="20"/>
          <w:szCs w:val="20"/>
          <w:color w:val="auto"/>
        </w:rPr>
        <w:tab/>
      </w:r>
      <w:r>
        <w:rPr>
          <w:rFonts w:ascii="Arial" w:cs="Arial" w:eastAsia="Arial" w:hAnsi="Arial"/>
          <w:sz w:val="16"/>
          <w:szCs w:val="16"/>
          <w:color w:val="auto"/>
        </w:rPr>
        <w:t>CUSIP Number:</w:t>
      </w:r>
    </w:p>
    <w:p>
      <w:pPr>
        <w:spacing w:after="0" w:line="7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629337106</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The person filing is a:</w:t>
      </w:r>
    </w:p>
    <w:p>
      <w:pPr>
        <w:spacing w:after="0" w:line="117" w:lineRule="exact"/>
        <w:rPr>
          <w:sz w:val="20"/>
          <w:szCs w:val="20"/>
          <w:color w:val="auto"/>
        </w:rPr>
      </w:pPr>
    </w:p>
    <w:p>
      <w:pPr>
        <w:ind w:left="1420" w:hanging="710"/>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Wells Fargo &amp; Company:</w:t>
      </w:r>
    </w:p>
    <w:p>
      <w:pPr>
        <w:spacing w:after="0" w:line="76"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Parent Holding Company in accordance with 240.13d-1(b)(1)(ii)(G)</w:t>
      </w:r>
    </w:p>
    <w:p>
      <w:pPr>
        <w:spacing w:after="0" w:line="130" w:lineRule="exact"/>
        <w:rPr>
          <w:rFonts w:ascii="Arial" w:cs="Arial" w:eastAsia="Arial" w:hAnsi="Arial"/>
          <w:sz w:val="18"/>
          <w:szCs w:val="18"/>
          <w:color w:val="auto"/>
        </w:rPr>
      </w:pPr>
    </w:p>
    <w:p>
      <w:pPr>
        <w:ind w:left="1420" w:hanging="710"/>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Wells Capital Management Incorporated:</w:t>
      </w:r>
    </w:p>
    <w:p>
      <w:pPr>
        <w:spacing w:after="0" w:line="76"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Registered Investment Advisor in accordance with Regulation 13d-1(b)(1)(ii)(E)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 w:name="page5"/>
    <w:bookmarkEnd w:id="4"/>
    <w:p>
      <w:pPr>
        <w:spacing w:after="0"/>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5-11 of each cover page. Information as of December 31, 2005.</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77" w:lineRule="exact"/>
        <w:rPr>
          <w:sz w:val="20"/>
          <w:szCs w:val="20"/>
          <w:color w:val="auto"/>
        </w:rPr>
      </w:pPr>
    </w:p>
    <w:p>
      <w:pPr>
        <w:ind w:left="700" w:right="139"/>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9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3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Attachment A</w:t>
      </w:r>
    </w:p>
    <w:p>
      <w:pPr>
        <w:spacing w:after="0" w:line="13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3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3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77" w:lineRule="exact"/>
        <w:rPr>
          <w:sz w:val="20"/>
          <w:szCs w:val="20"/>
          <w:color w:val="auto"/>
        </w:rPr>
      </w:pPr>
    </w:p>
    <w:p>
      <w:pPr>
        <w:ind w:left="700" w:right="399"/>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388"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WELLS FARGO &amp;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 /s/ Mark B. Kraske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80010</wp:posOffset>
            </wp:positionV>
            <wp:extent cx="2693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B. Kraske,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VP Trust Operations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Support Services</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240" w:top="280" w:right="819" w:bottom="1440" w:gutter="0" w:footer="0" w:header="0"/>
        </w:sectPr>
      </w:pPr>
    </w:p>
    <w:bookmarkStart w:id="6" w:name="page7"/>
    <w:bookmarkEnd w:id="6"/>
    <w:p>
      <w:pPr>
        <w:ind w:left="50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A</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Schedule 13G to which this attachment is appended is filed by Wells Fargo &amp; Company on behalf of the following subsidiaries: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Capital Management Incorporated (1)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 (2)</w:t>
      </w:r>
    </w:p>
    <w:p>
      <w:pPr>
        <w:spacing w:after="0" w:line="15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Classified as a registered investment advisor in accordance with Regulation 13d-1(b)(1)(ii)(E).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Classified as a bank in accordance with Regulation 13d-1(b)(1)(ii)(B).</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2"/>
      <w:numFmt w:val="bullet"/>
      <w:start w:val="1"/>
    </w:lvl>
    <w:lvl w:ilvl="1">
      <w:lvlJc w:val="left"/>
      <w:lvlText w:val="(%2)"/>
      <w:numFmt w:val="lowerLetter"/>
      <w:start w:val="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2"/>
      <w:numFmt w:val="bullet"/>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2019-12-14T02:35:29Z</dcterms:created>
  <dcterms:modified xsi:type="dcterms:W3CDTF">2019-12-14T02:35:29Z</dcterms:modified>
</cp:coreProperties>
</file>